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42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E293B"/>
          <w:sz w:val="20"/>
        </w:rPr>
        <w:t>Commercial Strategy &amp; Systematic Operations Leader  •  Human-in-the-Loop Architecture</w:t>
      </w:r>
    </w:p>
    <w:p>
      <w:pPr>
        <w:spacing w:before="0" w:after="120"/>
        <w:jc w:val="center"/>
      </w:pPr>
      <w:r>
        <w:rPr>
          <w:rFonts w:ascii="Calibri" w:hAnsi="Calibri"/>
          <w:color w:val="505F73"/>
          <w:sz w:val="19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60" w:after="4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2"/>
        </w:rPr>
        <w:t>EXECUTIVE PROFILE</w:t>
      </w:r>
    </w:p>
    <w:p>
      <w:pPr>
        <w:spacing w:before="60" w:after="100" w:line="283" w:lineRule="auto"/>
      </w:pPr>
      <w:r>
        <w:rPr>
          <w:rFonts w:ascii="Calibri" w:hAnsi="Calibri"/>
          <w:color w:val="1E293B"/>
          <w:sz w:val="19"/>
        </w:rPr>
        <w:t>Results-driven Commercial Strategist and Operations Leader with demonstrated success scaling customer acquisition, revenue performance, and frontline service execution. Combines university empirical research modeling (p &lt; .001) with operational discipline to engineer practical solutions that lift retail foot-traffic +25%, preserve 100% full-price gross margins without discounting, ensure 99% fulfillment reliability, and deliver board-ready financial telemetry.</w:t>
      </w:r>
    </w:p>
    <w:p>
      <w:pPr>
        <w:keepNext/>
        <w:spacing w:before="160" w:after="4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2"/>
        </w:rPr>
        <w:t>CORE COMPETENCIES &amp; TECHNICAL CAPABILITIES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Commercial Strategy &amp; Revenue Growth:</w:t>
      </w:r>
      <w:r>
        <w:rPr>
          <w:rFonts w:ascii="Calibri" w:hAnsi="Calibri"/>
          <w:color w:val="1E293B"/>
          <w:sz w:val="19"/>
        </w:rPr>
        <w:t xml:space="preserve"> Unit Economics, Margin Defense, Customer Catchment, Consultative Selling, A/B Testing, Pricing Architecture, P&amp;L Analysis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AI &amp; Workflow Systems Architecture:</w:t>
      </w:r>
      <w:r>
        <w:rPr>
          <w:rFonts w:ascii="Calibri" w:hAnsi="Calibri"/>
          <w:color w:val="1E293B"/>
          <w:sz w:val="19"/>
        </w:rPr>
        <w:t xml:space="preserve"> Human-in-the-Loop Systems, Multi-Model LLM Routing, Prompt Engineering, Gemini / Claude / OpenAI CLI, Automated Data Pipelines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Analytics &amp; Data Infrastructure:</w:t>
      </w:r>
      <w:r>
        <w:rPr>
          <w:rFonts w:ascii="Calibri" w:hAnsi="Calibri"/>
          <w:color w:val="1E293B"/>
          <w:sz w:val="19"/>
        </w:rPr>
        <w:t xml:space="preserve"> Advanced Microsoft Excel (Certified), SPSS Statistical Modeling, KPI Dashboards, SheetJS, Cloudflare Zero Trust, POS Ingestion</w:t>
      </w:r>
    </w:p>
    <w:p>
      <w:pPr>
        <w:keepNext/>
        <w:spacing w:before="160" w:after="4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2"/>
        </w:rPr>
        <w:t>FEATURED 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color w:val="000000"/>
                <w:sz w:val="21"/>
              </w:rPr>
              <w:t>Founder &amp; Strategic Operator</w:t>
            </w:r>
            <w:r>
              <w:rPr>
                <w:rFonts w:ascii="Calibri" w:hAnsi="Calibri"/>
                <w:b/>
                <w:color w:val="1E293B"/>
                <w:sz w:val="20"/>
              </w:rPr>
              <w:t xml:space="preserve"> | Consultant Studio (www.consultant-studio.app)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4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Feb 2026 – Present</w:t>
            </w:r>
          </w:p>
        </w:tc>
      </w:tr>
    </w:tbl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Executive Operations &amp; Strategy Platform:</w:t>
      </w:r>
      <w:r>
        <w:rPr>
          <w:rFonts w:ascii="Calibri" w:hAnsi="Calibri"/>
          <w:color w:val="1E293B"/>
          <w:sz w:val="19"/>
        </w:rPr>
        <w:t xml:space="preserve"> Architected and deployed a real-time executive operations suite delivering 13-week cash flow forecasting, P&amp;L margin triage, and automated 1-click boardroom reporting in sub-3s execution cycles.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Zero-Database Client-Side Privacy Stack:</w:t>
      </w:r>
      <w:r>
        <w:rPr>
          <w:rFonts w:ascii="Calibri" w:hAnsi="Calibri"/>
          <w:color w:val="1E293B"/>
          <w:sz w:val="19"/>
        </w:rPr>
        <w:t xml:space="preserve"> Engineered local client ingestion for .docx, .pdf, and .xlsx files with 100% client-side encryption and zero cloud database dependency, embedding interactive What-If sensitivity recalculation and instant C-suite exports.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Turnaround Diagnostics &amp; Model Validation:</w:t>
      </w:r>
      <w:r>
        <w:rPr>
          <w:rFonts w:ascii="Calibri" w:hAnsi="Calibri"/>
          <w:color w:val="1E293B"/>
          <w:sz w:val="19"/>
        </w:rPr>
        <w:t xml:space="preserve"> Built diagnostic workflows to benchmark unit physics, isolate variable vs. fixed overhead leaks, and translate operational data into institutional lender covenant bridge memos.</w:t>
      </w:r>
    </w:p>
    <w:p>
      <w:pPr>
        <w:keepNext/>
        <w:spacing w:before="160" w:after="4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2"/>
        </w:rPr>
        <w:t>PROFESSIONAL EXPERIENCE &amp; OPERATIONAL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color w:val="000000"/>
                <w:sz w:val="21"/>
              </w:rPr>
              <w:t>Lead Marketing Strategist</w:t>
            </w:r>
            <w:r>
              <w:rPr>
                <w:rFonts w:ascii="Calibri" w:hAnsi="Calibri"/>
                <w:b/>
                <w:color w:val="1E293B"/>
                <w:sz w:val="20"/>
              </w:rPr>
              <w:t xml:space="preserve"> | Ma's Diner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4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Customer Growth &amp; Margin Defense:</w:t>
      </w:r>
      <w:r>
        <w:rPr>
          <w:rFonts w:ascii="Calibri" w:hAnsi="Calibri"/>
          <w:color w:val="1E293B"/>
          <w:sz w:val="19"/>
        </w:rPr>
        <w:t xml:space="preserve"> Engineered targeted neighborhood acquisition campaigns (Analog Connection / Community Huddle), driving a verified 25% lift in weekday foot traffic over an 8-week launch window while defending 100% full-price gross margins by eliminating coupon discounting.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Trade-Area Demographics &amp; Spatial Capture:</w:t>
      </w:r>
      <w:r>
        <w:rPr>
          <w:rFonts w:ascii="Calibri" w:hAnsi="Calibri"/>
          <w:color w:val="1E293B"/>
          <w:sz w:val="19"/>
        </w:rPr>
        <w:t xml:space="preserve"> Audited trade-area competitor pricing and commuter walk-shed geometry, deploying print collateral across local high-density touchpoints to establish a 5% repeat resident customer baseline without margin erosion.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Kitchen Flow &amp; Service Efficiency Alignment:</w:t>
      </w:r>
      <w:r>
        <w:rPr>
          <w:rFonts w:ascii="Calibri" w:hAnsi="Calibri"/>
          <w:color w:val="1E293B"/>
          <w:sz w:val="19"/>
        </w:rPr>
        <w:t xml:space="preserve"> Restructured kitchen preparation and order handoff sequencing with ownership, collapsing table ticket turnaround from 8 to 5 minutes to unlock +3 covers/hour during peak rush windows and align customer surges directly with kitchen capacity.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color w:val="000000"/>
                <w:sz w:val="21"/>
              </w:rPr>
              <w:t>Operations &amp; Dispatch Lead</w:t>
            </w:r>
            <w:r>
              <w:rPr>
                <w:rFonts w:ascii="Calibri" w:hAnsi="Calibri"/>
                <w:b/>
                <w:color w:val="1E293B"/>
                <w:sz w:val="20"/>
              </w:rPr>
              <w:t xml:space="preserve"> | Independent Micro-Logistics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4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High-Volume Peak SLA Execution:</w:t>
      </w:r>
      <w:r>
        <w:rPr>
          <w:rFonts w:ascii="Calibri" w:hAnsi="Calibri"/>
          <w:color w:val="1E293B"/>
          <w:sz w:val="19"/>
        </w:rPr>
        <w:t xml:space="preserve"> Executed 800+ time-critical fulfillment deliveries across high-volatility peak demand periods, sustaining a 99% on-time completion rate and a customer satisfaction rating above 90%.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Route Efficiency &amp; Yield Optimization:</w:t>
      </w:r>
      <w:r>
        <w:rPr>
          <w:rFonts w:ascii="Calibri" w:hAnsi="Calibri"/>
          <w:color w:val="1E293B"/>
          <w:sz w:val="19"/>
        </w:rPr>
        <w:t xml:space="preserve"> Analyzed multi-point route density, transit bottlenecks, and fuel costs to improve hourly delivery completion velocity and strengthen net route contribution margins.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color w:val="000000"/>
                <w:sz w:val="21"/>
              </w:rPr>
              <w:t>Frontline Operations &amp; Dispatch Coordinator</w:t>
            </w:r>
            <w:r>
              <w:rPr>
                <w:rFonts w:ascii="Calibri" w:hAnsi="Calibri"/>
                <w:b/>
                <w:color w:val="1E293B"/>
                <w:sz w:val="20"/>
              </w:rPr>
              <w:t xml:space="preserve"> | Walk-On's Sports Bistreaux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4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High-Capacity Peak Flow Management:</w:t>
      </w:r>
      <w:r>
        <w:rPr>
          <w:rFonts w:ascii="Calibri" w:hAnsi="Calibri"/>
          <w:color w:val="1E293B"/>
          <w:sz w:val="19"/>
        </w:rPr>
        <w:t xml:space="preserve"> Orchestrated guest seating logistics and directed 10–60 concurrent to-go fulfillment orders during high-capacity game-day volume surges with a zero-defect order error rate.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Team Training &amp; Process Standardization:</w:t>
      </w:r>
      <w:r>
        <w:rPr>
          <w:rFonts w:ascii="Calibri" w:hAnsi="Calibri"/>
          <w:color w:val="1E293B"/>
          <w:sz w:val="19"/>
        </w:rPr>
        <w:t xml:space="preserve"> Trained and mentored 4 frontline team members, standardizing station setup workflows and cutting new-hire onboarding cycle time by 20%.</w:t>
      </w:r>
    </w:p>
    <w:p>
      <w:pPr>
        <w:keepNext/>
        <w:spacing w:before="160" w:after="40"/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2"/>
        </w:rPr>
        <w:t>EDUCATION, EMPIRICAL RESEARCH &amp; HONORS</w:t>
      </w:r>
    </w:p>
    <w:p>
      <w:pPr>
        <w:spacing w:before="60" w:after="40" w:line="276" w:lineRule="auto"/>
      </w:pPr>
      <w:r>
        <w:rPr>
          <w:rFonts w:ascii="Calibri" w:hAnsi="Calibri"/>
          <w:b/>
          <w:color w:val="000000"/>
          <w:sz w:val="19"/>
        </w:rPr>
        <w:t>Florida State University  —  Bachelor of Science in Marketing</w:t>
        <w:tab/>
        <w:t>Tallahassee, FL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Co-Authored Empirical Research:</w:t>
      </w:r>
      <w:r>
        <w:rPr>
          <w:rFonts w:ascii="Calibri" w:hAnsi="Calibri"/>
          <w:color w:val="1E293B"/>
          <w:sz w:val="19"/>
        </w:rPr>
        <w:t xml:space="preserve"> Co-authored university consumer trust study analyzing institutional decision-making frameworks with statistically significant findings (p &lt; .001).</w:t>
      </w:r>
    </w:p>
    <w:p>
      <w:pPr>
        <w:pStyle w:val="ListBullet"/>
        <w:spacing w:before="20" w:after="60" w:line="276" w:lineRule="auto"/>
        <w:ind w:left="288"/>
      </w:pPr>
      <w:r>
        <w:rPr>
          <w:rFonts w:ascii="Calibri" w:hAnsi="Calibri"/>
          <w:b/>
          <w:color w:val="000000"/>
          <w:sz w:val="19"/>
        </w:rPr>
        <w:t>Honors &amp; Professional Credentials:</w:t>
      </w:r>
      <w:r>
        <w:rPr>
          <w:rFonts w:ascii="Calibri" w:hAnsi="Calibri"/>
          <w:color w:val="1E293B"/>
          <w:sz w:val="19"/>
        </w:rPr>
        <w:t xml:space="preserve"> Eagle Scout (Boy Scouts of America)   •   Google AI Professional Certification   •   Microsoft Excel Certified   •   Tallahassee State College (AA, Dean's List 3x)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