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local marketing manager who increases foot traffic, protects full-price margins, and cuts ticket times through hands-on floor management and data-driven process design. Combines financial modeling (P&amp;L, unit economics, cash flow) with frontline execution to deliver measurable results in high-volume restaurant and logistics environments.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promotional ROI, pricing strategy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data ingestion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 (consultant-studio.app)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Built operational templates for small businesses:</w:t>
      </w:r>
      <w:r>
        <w:rPr>
          <w:rFonts w:ascii="Calibri" w:hAnsi="Calibri"/>
          <w:color w:val="1E293B"/>
          <w:sz w:val="19"/>
        </w:rPr>
        <w:t xml:space="preserve"> 13-week cash flow forecasts, margin leak diagnostics, automated P&amp;L reporting — all browser-side with no third-party cloud exposure.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Designed diagnostic workflows that isolate variable cost leaks and fixed-overhead bloat for independent operators.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Executed a grassroots local marketing campaign that lifted weekday lunch foot traffic by 25% over 8 weeks while maintaining 100% full-price menu margins — no discounting.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Kitchen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handoff, cutting average ticket times from 8 to 5 minutes — unlocking capacity for 3+ additional tables per hour during peak rush.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Market Intelligence: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then placed targeted print and direct outreach to build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Dispatch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Independent Logistics (DoorDash &amp; Uber)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Completed 800+ time-sensitive deliveries during peak demand with a 99% on-time rate and 90%+ customer satisfaction.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Analyzed route density, transit constraints, and fuel costs to improve hourly delivery completion rates and route profitability.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Shift Lead &amp; Operations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Managed floor seating and directed 10–60 concurrent to-go/delivery orders during high-volume game days with zero order-accuracy defects.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Standardized station setup checklists and trained new hires, cutting onboarding time by 20%.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20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2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Co-authored empirical consumer trust study analyzing institutional decision-making frameworks (p &lt; .001).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