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F172A"/>
          <w:sz w:val="36"/>
        </w:rPr>
        <w:t>LANDEN JACKSON</w:t>
      </w:r>
    </w:p>
    <w:p>
      <w:pPr>
        <w:spacing w:before="0" w:after="40"/>
        <w:jc w:val="center"/>
      </w:pPr>
      <w:r>
        <w:rPr>
          <w:rFonts w:ascii="Calibri" w:hAnsi="Calibri"/>
          <w:b/>
          <w:color w:val="15803D"/>
          <w:sz w:val="19"/>
        </w:rPr>
        <w:t>Commercial Strategy &amp; Systematic Operations Leader  •  Human-in-the-Loop Architecture</w:t>
      </w:r>
    </w:p>
    <w:p>
      <w:pPr>
        <w:spacing w:before="0" w:after="80"/>
        <w:jc w:val="center"/>
      </w:pPr>
      <w:r>
        <w:rPr>
          <w:rFonts w:ascii="Calibri" w:hAnsi="Calibri"/>
          <w:color w:val="475569"/>
          <w:sz w:val="17"/>
        </w:rPr>
        <w:t>Tallahassee, FL   •   (850) 459-9148   •   jacksonlanden3986@gmail.com   •   linkedin.com/in/landenjackson   •   www.consultant-studio.app</w:t>
      </w:r>
    </w:p>
    <w:p>
      <w:pPr>
        <w:keepNext/>
        <w:spacing w:before="120" w:after="40"/>
        <w:pBdr>
          <w:bottom w:val="single" w:sz="8" w:space="2" w:color="94A3B8"/>
        </w:pBdr>
      </w:pPr>
      <w:r>
        <w:rPr>
          <w:rFonts w:ascii="Calibri" w:hAnsi="Calibri"/>
          <w:b/>
          <w:color w:val="0F172A"/>
          <w:sz w:val="20"/>
        </w:rPr>
        <w:t>EXECUTIVE PROFILE</w:t>
      </w:r>
    </w:p>
    <w:p>
      <w:pPr>
        <w:spacing w:before="40" w:after="80" w:line="269" w:lineRule="auto"/>
      </w:pPr>
      <w:r>
        <w:rPr>
          <w:rFonts w:ascii="Calibri" w:hAnsi="Calibri"/>
          <w:color w:val="1E293B"/>
          <w:sz w:val="18"/>
        </w:rPr>
        <w:t>Commercial strategy and operations professional with demonstrated success scaling revenue performance, customer acquisition, and service execution. Combines university empirical research modeling (p &lt; .001) with frontline discipline to engineer practical operational workflows that lift customer foot-traffic, protect full-price gross margins, ensure 99% fulfillment reliability, and generate C-suite strategic deliverables.</w:t>
      </w:r>
    </w:p>
    <w:p>
      <w:pPr>
        <w:keepNext/>
        <w:spacing w:before="120" w:after="40"/>
        <w:pBdr>
          <w:bottom w:val="single" w:sz="8" w:space="2" w:color="94A3B8"/>
        </w:pBdr>
      </w:pPr>
      <w:r>
        <w:rPr>
          <w:rFonts w:ascii="Calibri" w:hAnsi="Calibri"/>
          <w:b/>
          <w:color w:val="0F172A"/>
          <w:sz w:val="20"/>
        </w:rPr>
        <w:t>CORE COMPETENCIES &amp; TECHNICAL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024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0F172A"/>
                <w:sz w:val="17"/>
              </w:rPr>
              <w:t>Commercial Strategy &amp; Revenue:</w:t>
            </w:r>
          </w:p>
        </w:tc>
        <w:tc>
          <w:tcPr>
            <w:tcW w:type="dxa" w:w="7632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spacing w:before="10" w:after="10"/>
            </w:pPr>
            <w:r>
              <w:rPr>
                <w:rFonts w:ascii="Calibri" w:hAnsi="Calibri"/>
                <w:color w:val="1E293B"/>
                <w:sz w:val="17"/>
              </w:rPr>
              <w:t>Revenue Analysis, Unit Economics, Margin Management, Customer Acquisition, A/B Testing, Pricing Strategy</w:t>
            </w:r>
          </w:p>
        </w:tc>
      </w:tr>
      <w:tr>
        <w:tc>
          <w:tcPr>
            <w:tcW w:type="dxa" w:w="3024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0F172A"/>
                <w:sz w:val="17"/>
              </w:rPr>
              <w:t>AI &amp; Workflow Systems:</w:t>
            </w:r>
          </w:p>
        </w:tc>
        <w:tc>
          <w:tcPr>
            <w:tcW w:type="dxa" w:w="7632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spacing w:before="10" w:after="10"/>
            </w:pPr>
            <w:r>
              <w:rPr>
                <w:rFonts w:ascii="Calibri" w:hAnsi="Calibri"/>
                <w:color w:val="1E293B"/>
                <w:sz w:val="17"/>
              </w:rPr>
              <w:t>Human-in-the-Loop Systems, Multi-Model Routing, Prompt Engineering, Gemini, Claude, OpenAI, Automated Pipelines</w:t>
            </w:r>
          </w:p>
        </w:tc>
      </w:tr>
      <w:tr>
        <w:tc>
          <w:tcPr>
            <w:tcW w:type="dxa" w:w="3024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0F172A"/>
                <w:sz w:val="17"/>
              </w:rPr>
              <w:t>Analytics &amp; Data Infrastructure:</w:t>
            </w:r>
          </w:p>
        </w:tc>
        <w:tc>
          <w:tcPr>
            <w:tcW w:type="dxa" w:w="7632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spacing w:before="10" w:after="10"/>
            </w:pPr>
            <w:r>
              <w:rPr>
                <w:rFonts w:ascii="Calibri" w:hAnsi="Calibri"/>
                <w:color w:val="1E293B"/>
                <w:sz w:val="17"/>
              </w:rPr>
              <w:t>Microsoft Excel (Certified), SPSS Statistical Modeling, KPI Dashboards, SheetJS, Cloudflare Zero Trust, POS Ingestion</w:t>
            </w:r>
          </w:p>
        </w:tc>
      </w:tr>
    </w:tbl>
    <w:p>
      <w:pPr>
        <w:keepNext/>
        <w:spacing w:before="120" w:after="40"/>
        <w:pBdr>
          <w:bottom w:val="single" w:sz="8" w:space="2" w:color="94A3B8"/>
        </w:pBdr>
      </w:pPr>
      <w:r>
        <w:rPr>
          <w:rFonts w:ascii="Calibri" w:hAnsi="Calibri"/>
          <w:b/>
          <w:color w:val="0F172A"/>
          <w:sz w:val="20"/>
        </w:rPr>
        <w:t>FEATURED VENTURE &amp; SYSTEMS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776"/>
            <w:tcMar>
              <w:top w:w="1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F172A"/>
                <w:sz w:val="19"/>
              </w:rPr>
              <w:t>Founder &amp; Strategic Operator</w:t>
            </w:r>
            <w:r>
              <w:rPr>
                <w:rFonts w:ascii="Calibri" w:hAnsi="Calibri"/>
                <w:color w:val="475569"/>
                <w:sz w:val="18"/>
              </w:rPr>
              <w:t xml:space="preserve">  |  </w:t>
            </w:r>
            <w:r>
              <w:rPr>
                <w:rFonts w:ascii="Calibri" w:hAnsi="Calibri"/>
                <w:b/>
                <w:color w:val="15803D"/>
                <w:sz w:val="19"/>
              </w:rPr>
              <w:t>Consultant Studio (www.consultant-studio.app)</w:t>
            </w:r>
          </w:p>
        </w:tc>
        <w:tc>
          <w:tcPr>
            <w:tcW w:type="dxa" w:w="2880"/>
            <w:tcMar>
              <w:top w:w="1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b/>
                <w:color w:val="475569"/>
                <w:sz w:val="18"/>
              </w:rPr>
              <w:t>Feb 2026 – Present</w:t>
            </w:r>
          </w:p>
        </w:tc>
      </w:tr>
    </w:tbl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b/>
          <w:color w:val="1E293B"/>
          <w:sz w:val="18"/>
        </w:rPr>
        <w:t xml:space="preserve">Operations &amp; Strategy Platform: </w:t>
      </w:r>
      <w:r>
        <w:rPr>
          <w:rFonts w:ascii="Calibri" w:hAnsi="Calibri"/>
          <w:color w:val="1E293B"/>
          <w:sz w:val="18"/>
        </w:rPr>
        <w:t>Architected and launched an executive operations suite delivering 13-week cash flow forecasting, P&amp;L margin triage, and automated 1-click boardroom reporting in sub-3s response cycles.</w:t>
      </w:r>
    </w:p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b/>
          <w:color w:val="1E293B"/>
          <w:sz w:val="18"/>
        </w:rPr>
        <w:t xml:space="preserve">Client-Side Privacy Architecture: </w:t>
      </w:r>
      <w:r>
        <w:rPr>
          <w:rFonts w:ascii="Calibri" w:hAnsi="Calibri"/>
          <w:color w:val="1E293B"/>
          <w:sz w:val="18"/>
        </w:rPr>
        <w:t>Engineered local client ingestion for .docx, .pdf, and .xlsx files with 100% client-side encryption and zero cloud database dependency, embedding interactive What-If sensitivity sliders and instant exports.</w:t>
      </w:r>
    </w:p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b/>
          <w:color w:val="1E293B"/>
          <w:sz w:val="18"/>
        </w:rPr>
        <w:t xml:space="preserve">Operational Diagnostics &amp; Validation: </w:t>
      </w:r>
      <w:r>
        <w:rPr>
          <w:rFonts w:ascii="Calibri" w:hAnsi="Calibri"/>
          <w:color w:val="1E293B"/>
          <w:sz w:val="18"/>
        </w:rPr>
        <w:t>Built diagnostic workflows to assess unit economics, identify variable vs. fixed cost leaks, and translate operational findings directly into lender covenant memos.</w:t>
      </w:r>
    </w:p>
    <w:p>
      <w:pPr>
        <w:keepNext/>
        <w:spacing w:before="120" w:after="40"/>
        <w:pBdr>
          <w:bottom w:val="single" w:sz="8" w:space="2" w:color="94A3B8"/>
        </w:pBdr>
      </w:pPr>
      <w:r>
        <w:rPr>
          <w:rFonts w:ascii="Calibri" w:hAnsi="Calibri"/>
          <w:b/>
          <w:color w:val="0F172A"/>
          <w:sz w:val="20"/>
        </w:rPr>
        <w:t>PROFESSIONAL EXPERIENCE &amp; QUANTIFIED IMPACT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776"/>
            <w:tcMar>
              <w:top w:w="1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F172A"/>
                <w:sz w:val="19"/>
              </w:rPr>
              <w:t>Lead Marketing Strategist</w:t>
            </w:r>
            <w:r>
              <w:rPr>
                <w:rFonts w:ascii="Calibri" w:hAnsi="Calibri"/>
                <w:color w:val="475569"/>
                <w:sz w:val="18"/>
              </w:rPr>
              <w:t xml:space="preserve">  |  </w:t>
            </w:r>
            <w:r>
              <w:rPr>
                <w:rFonts w:ascii="Calibri" w:hAnsi="Calibri"/>
                <w:b/>
                <w:color w:val="15803D"/>
                <w:sz w:val="19"/>
              </w:rPr>
              <w:t>Ma's Diner — Tallahassee, FL</w:t>
            </w:r>
          </w:p>
        </w:tc>
        <w:tc>
          <w:tcPr>
            <w:tcW w:type="dxa" w:w="2880"/>
            <w:tcMar>
              <w:top w:w="1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b/>
                <w:color w:val="475569"/>
                <w:sz w:val="18"/>
              </w:rPr>
              <w:t>Apr 2025 – Present</w:t>
            </w:r>
          </w:p>
        </w:tc>
      </w:tr>
    </w:tbl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b/>
          <w:color w:val="1E293B"/>
          <w:sz w:val="18"/>
        </w:rPr>
        <w:t xml:space="preserve">Customer Growth &amp; Margin Management: </w:t>
      </w:r>
      <w:r>
        <w:rPr>
          <w:rFonts w:ascii="Calibri" w:hAnsi="Calibri"/>
          <w:color w:val="1E293B"/>
          <w:sz w:val="18"/>
        </w:rPr>
        <w:t>Engineered targeted neighborhood acquisition campaigns (Analog Connection / Community Huddle), driving a 25% lift in weekday foot traffic over an 8-week launch window while maintaining full-price gross margins without coupon discounting.</w:t>
      </w:r>
    </w:p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b/>
          <w:color w:val="1E293B"/>
          <w:sz w:val="18"/>
        </w:rPr>
        <w:t xml:space="preserve">Trade-Area Capture &amp; Customer Retention: </w:t>
      </w:r>
      <w:r>
        <w:rPr>
          <w:rFonts w:ascii="Calibri" w:hAnsi="Calibri"/>
          <w:color w:val="1E293B"/>
          <w:sz w:val="18"/>
        </w:rPr>
        <w:t>Audited local competitor pricing and customer traffic patterns, deploying print marketing across high-traffic community touchpoints to establish a 5% repeat resident customer baseline.</w:t>
      </w:r>
    </w:p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b/>
          <w:color w:val="1E293B"/>
          <w:sz w:val="18"/>
        </w:rPr>
        <w:t xml:space="preserve">Kitchen Flow &amp; Service Efficiency: </w:t>
      </w:r>
      <w:r>
        <w:rPr>
          <w:rFonts w:ascii="Calibri" w:hAnsi="Calibri"/>
          <w:color w:val="1E293B"/>
          <w:sz w:val="18"/>
        </w:rPr>
        <w:t>Restructured kitchen preparation and order handoff sequencing with ownership, collapsing table ticket turnaround from 8 to 5 minutes to increase peak-hour capacity by +3 covers/hour.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776"/>
            <w:tcMar>
              <w:top w:w="1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F172A"/>
                <w:sz w:val="19"/>
              </w:rPr>
              <w:t>Operations &amp; Dispatch Lead</w:t>
            </w:r>
            <w:r>
              <w:rPr>
                <w:rFonts w:ascii="Calibri" w:hAnsi="Calibri"/>
                <w:color w:val="475569"/>
                <w:sz w:val="18"/>
              </w:rPr>
              <w:t xml:space="preserve">  |  </w:t>
            </w:r>
            <w:r>
              <w:rPr>
                <w:rFonts w:ascii="Calibri" w:hAnsi="Calibri"/>
                <w:b/>
                <w:color w:val="15803D"/>
                <w:sz w:val="19"/>
              </w:rPr>
              <w:t>Independent Micro-Logistics — Tallahassee, FL</w:t>
            </w:r>
          </w:p>
        </w:tc>
        <w:tc>
          <w:tcPr>
            <w:tcW w:type="dxa" w:w="2880"/>
            <w:tcMar>
              <w:top w:w="1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b/>
                <w:color w:val="475569"/>
                <w:sz w:val="18"/>
              </w:rPr>
              <w:t>May 2025 – Present</w:t>
            </w:r>
          </w:p>
        </w:tc>
      </w:tr>
    </w:tbl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b/>
          <w:color w:val="1E293B"/>
          <w:sz w:val="18"/>
        </w:rPr>
        <w:t xml:space="preserve">High-Volume Service Execution: </w:t>
      </w:r>
      <w:r>
        <w:rPr>
          <w:rFonts w:ascii="Calibri" w:hAnsi="Calibri"/>
          <w:color w:val="1E293B"/>
          <w:sz w:val="18"/>
        </w:rPr>
        <w:t>Completed 800+ time-sensitive fulfillment deliveries during peak demand periods while sustaining a 99% on-time completion rate and a customer satisfaction rating above 90%.</w:t>
      </w:r>
    </w:p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b/>
          <w:color w:val="1E293B"/>
          <w:sz w:val="18"/>
        </w:rPr>
        <w:t xml:space="preserve">Route Efficiency &amp; Yield Optimization: </w:t>
      </w:r>
      <w:r>
        <w:rPr>
          <w:rFonts w:ascii="Calibri" w:hAnsi="Calibri"/>
          <w:color w:val="1E293B"/>
          <w:sz w:val="18"/>
        </w:rPr>
        <w:t>Analyzed route density analytics, transit bottlenecks, and fuel costs to improve hourly delivery completion velocity and strengthen route contribution margins.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776"/>
            <w:tcMar>
              <w:top w:w="1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F172A"/>
                <w:sz w:val="19"/>
              </w:rPr>
              <w:t>Frontline Operations &amp; Dispatch Coordinator</w:t>
            </w:r>
            <w:r>
              <w:rPr>
                <w:rFonts w:ascii="Calibri" w:hAnsi="Calibri"/>
                <w:color w:val="475569"/>
                <w:sz w:val="18"/>
              </w:rPr>
              <w:t xml:space="preserve">  |  </w:t>
            </w:r>
            <w:r>
              <w:rPr>
                <w:rFonts w:ascii="Calibri" w:hAnsi="Calibri"/>
                <w:b/>
                <w:color w:val="15803D"/>
                <w:sz w:val="19"/>
              </w:rPr>
              <w:t>Walk-On's Sports Bistreaux — Tallahassee, FL</w:t>
            </w:r>
          </w:p>
        </w:tc>
        <w:tc>
          <w:tcPr>
            <w:tcW w:type="dxa" w:w="2880"/>
            <w:tcMar>
              <w:top w:w="1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b/>
                <w:color w:val="475569"/>
                <w:sz w:val="18"/>
              </w:rPr>
              <w:t>Jun 2021 – Feb 2025</w:t>
            </w:r>
          </w:p>
        </w:tc>
      </w:tr>
    </w:tbl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b/>
          <w:color w:val="1E293B"/>
          <w:sz w:val="18"/>
        </w:rPr>
        <w:t xml:space="preserve">Peak-Period Operations Management: </w:t>
      </w:r>
      <w:r>
        <w:rPr>
          <w:rFonts w:ascii="Calibri" w:hAnsi="Calibri"/>
          <w:color w:val="1E293B"/>
          <w:sz w:val="18"/>
        </w:rPr>
        <w:t>Orchestrated guest seating logistics and coordinated 10 to 60 concurrent to-go fulfillment orders during high-capacity game-day volume surges with a zero-defect order error rate.</w:t>
      </w:r>
    </w:p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b/>
          <w:color w:val="1E293B"/>
          <w:sz w:val="18"/>
        </w:rPr>
        <w:t xml:space="preserve">Team Training &amp; Process Standardization: </w:t>
      </w:r>
      <w:r>
        <w:rPr>
          <w:rFonts w:ascii="Calibri" w:hAnsi="Calibri"/>
          <w:color w:val="1E293B"/>
          <w:sz w:val="18"/>
        </w:rPr>
        <w:t>Trained and mentored 4 frontline associates, standardizing station setup procedures and cutting new-hire onboarding time by 20%.</w:t>
      </w:r>
    </w:p>
    <w:p>
      <w:pPr>
        <w:keepNext/>
        <w:spacing w:before="120" w:after="40"/>
        <w:pBdr>
          <w:bottom w:val="single" w:sz="8" w:space="2" w:color="94A3B8"/>
        </w:pBdr>
      </w:pPr>
      <w:r>
        <w:rPr>
          <w:rFonts w:ascii="Calibri" w:hAnsi="Calibri"/>
          <w:b/>
          <w:color w:val="0F172A"/>
          <w:sz w:val="20"/>
        </w:rPr>
        <w:t>EDUCATION, EMPIRICAL RESEARCH &amp; HONORS</w:t>
      </w:r>
    </w:p>
    <w:p>
      <w:pPr>
        <w:spacing w:before="40" w:after="20" w:line="264" w:lineRule="auto"/>
      </w:pPr>
      <w:r>
        <w:rPr>
          <w:rFonts w:ascii="Calibri" w:hAnsi="Calibri"/>
          <w:b/>
          <w:color w:val="0F172A"/>
          <w:sz w:val="18"/>
        </w:rPr>
        <w:t>Florida State University  —  Bachelor of Science in Marketing</w:t>
      </w:r>
    </w:p>
    <w:p>
      <w:pPr>
        <w:pStyle w:val="ListBullet"/>
        <w:spacing w:before="0" w:after="20" w:line="264" w:lineRule="auto"/>
        <w:ind w:left="288"/>
      </w:pPr>
      <w:r>
        <w:rPr>
          <w:rFonts w:ascii="Calibri" w:hAnsi="Calibri"/>
          <w:b/>
          <w:color w:val="1E293B"/>
          <w:sz w:val="17"/>
        </w:rPr>
        <w:t xml:space="preserve">Co-Authored Empirical Research: </w:t>
      </w:r>
      <w:r>
        <w:rPr>
          <w:rFonts w:ascii="Calibri" w:hAnsi="Calibri"/>
          <w:color w:val="1E293B"/>
          <w:sz w:val="17"/>
        </w:rPr>
        <w:t>Co-authored university consumer trust study analyzing institutional decision-making frameworks with statistically significant findings (p &lt; .001).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E293B"/>
          <w:sz w:val="17"/>
        </w:rPr>
        <w:t xml:space="preserve">Honors &amp; Professional Credentials: </w:t>
      </w:r>
      <w:r>
        <w:rPr>
          <w:rFonts w:ascii="Calibri" w:hAnsi="Calibri"/>
          <w:color w:val="1E293B"/>
          <w:sz w:val="17"/>
        </w:rPr>
        <w:t>Eagle Scout (Boy Scouts of America)   •   Google AI Professional Certification   •   Microsoft Excel Certified   •   Tallahassee State College (AA, Dean's List 3x)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