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000000"/>
          <w:sz w:val="40"/>
        </w:rPr>
        <w:t>LANDEN JACKSON</w:t>
      </w:r>
    </w:p>
    <w:p>
      <w:pPr>
        <w:spacing w:before="0" w:after="40"/>
        <w:jc w:val="center"/>
      </w:pPr>
      <w:r>
        <w:rPr>
          <w:rFonts w:ascii="Calibri" w:hAnsi="Calibri"/>
          <w:b/>
          <w:color w:val="1E293B"/>
          <w:sz w:val="20"/>
        </w:rPr>
        <w:t>Operations &amp; Marketing Manager • Systems &amp; Revenue Growth</w:t>
      </w:r>
    </w:p>
    <w:p>
      <w:pPr>
        <w:spacing w:before="0" w:after="80"/>
        <w:jc w:val="center"/>
      </w:pPr>
      <w:r>
        <w:rPr>
          <w:rFonts w:ascii="Calibri" w:hAnsi="Calibri"/>
          <w:color w:val="505F73"/>
          <w:sz w:val="17"/>
        </w:rPr>
        <w:t>Tallahassee, FL • (850) 459-9148 • jacksonlanden3986@gmail.com • linkedin.com/in/landenjackson • www.consultant-studio.app</w:t>
      </w:r>
    </w:p>
    <w:p>
      <w:pPr>
        <w:keepNext/>
        <w:spacing w:before="140" w:after="50"/>
        <w:pBdr>
          <w:bottom w:val="single" w:sz="8" w:space="1" w:color="000000"/>
        </w:pBdr>
      </w:pPr>
      <w:r>
        <w:rPr>
          <w:rFonts w:ascii="Calibri" w:hAnsi="Calibri"/>
          <w:b/>
          <w:color w:val="000000"/>
          <w:sz w:val="21"/>
        </w:rPr>
        <w:t>EXECUTIVE PROFILE</w:t>
      </w:r>
    </w:p>
    <w:p>
      <w:pPr>
        <w:spacing w:before="30" w:after="70" w:line="274" w:lineRule="auto"/>
      </w:pPr>
      <w:r>
        <w:rPr>
          <w:rFonts w:ascii="Calibri" w:hAnsi="Calibri"/>
          <w:color w:val="1E293B"/>
          <w:sz w:val="19"/>
        </w:rPr>
        <w:t>Operations and local marketing manager who increases foot traffic, protects full-price margins, and cuts ticket times through hands-on floor management and data-driven process design. Combines financial modeling (P&amp;L, unit economics, cash flow) with frontline execution to deliver measurable results in high-volume restaurant and logistics environments.</w:t>
      </w:r>
    </w:p>
    <w:p>
      <w:pPr>
        <w:keepNext/>
        <w:spacing w:before="140" w:after="50"/>
        <w:pBdr>
          <w:bottom w:val="single" w:sz="8" w:space="1" w:color="000000"/>
        </w:pBdr>
      </w:pPr>
      <w:r>
        <w:rPr>
          <w:rFonts w:ascii="Calibri" w:hAnsi="Calibri"/>
          <w:b/>
          <w:color w:val="000000"/>
          <w:sz w:val="21"/>
        </w:rPr>
        <w:t>CORE COMPETENCIES</w:t>
      </w:r>
    </w:p>
    <w:p>
      <w:pPr>
        <w:pStyle w:val="ListBullet"/>
        <w:spacing w:before="0" w:after="40" w:line="269" w:lineRule="auto"/>
        <w:ind w:left="288"/>
      </w:pPr>
      <w:r>
        <w:rPr>
          <w:rFonts w:ascii="Calibri" w:hAnsi="Calibri"/>
          <w:b/>
          <w:color w:val="000000"/>
          <w:sz w:val="19"/>
        </w:rPr>
        <w:t>Operations &amp; Service:</w:t>
      </w:r>
      <w:r>
        <w:rPr>
          <w:rFonts w:ascii="Calibri" w:hAnsi="Calibri"/>
          <w:color w:val="1E293B"/>
          <w:sz w:val="19"/>
        </w:rPr>
        <w:t xml:space="preserve"> Kitchen &amp; floor workflow, labor &amp; ticket time optimization, shift management, inventory &amp; COGS control</w:t>
      </w:r>
    </w:p>
    <w:p>
      <w:pPr>
        <w:pStyle w:val="ListBullet"/>
        <w:spacing w:before="0" w:after="40" w:line="269" w:lineRule="auto"/>
        <w:ind w:left="288"/>
      </w:pPr>
      <w:r>
        <w:rPr>
          <w:rFonts w:ascii="Calibri" w:hAnsi="Calibri"/>
          <w:b/>
          <w:color w:val="000000"/>
          <w:sz w:val="19"/>
        </w:rPr>
        <w:t>Revenue &amp; Marketing:</w:t>
      </w:r>
      <w:r>
        <w:rPr>
          <w:rFonts w:ascii="Calibri" w:hAnsi="Calibri"/>
          <w:color w:val="1E293B"/>
          <w:sz w:val="19"/>
        </w:rPr>
        <w:t xml:space="preserve"> Neighborhood market strategy, full-price margin protection, promotional ROI, pricing strategy</w:t>
      </w:r>
    </w:p>
    <w:p>
      <w:pPr>
        <w:pStyle w:val="ListBullet"/>
        <w:spacing w:before="0" w:after="40" w:line="269" w:lineRule="auto"/>
        <w:ind w:left="288"/>
      </w:pPr>
      <w:r>
        <w:rPr>
          <w:rFonts w:ascii="Calibri" w:hAnsi="Calibri"/>
          <w:b/>
          <w:color w:val="000000"/>
          <w:sz w:val="19"/>
        </w:rPr>
        <w:t>Systems &amp; Analytics:</w:t>
      </w:r>
      <w:r>
        <w:rPr>
          <w:rFonts w:ascii="Calibri" w:hAnsi="Calibri"/>
          <w:color w:val="1E293B"/>
          <w:sz w:val="19"/>
        </w:rPr>
        <w:t xml:space="preserve"> Advanced Excel financial modeling, KPI dashboards, process automation, POS data ingestion</w:t>
      </w:r>
    </w:p>
    <w:p>
      <w:pPr>
        <w:keepNext/>
        <w:spacing w:before="140" w:after="50"/>
        <w:pBdr>
          <w:bottom w:val="single" w:sz="8" w:space="1" w:color="000000"/>
        </w:pBdr>
      </w:pPr>
      <w:r>
        <w:rPr>
          <w:rFonts w:ascii="Calibri" w:hAnsi="Calibri"/>
          <w:b/>
          <w:color w:val="000000"/>
          <w:sz w:val="21"/>
        </w:rPr>
        <w:t>VENTURE &amp; SYSTEMS DEVELOPMENT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90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</w:pPr>
            <w:r>
              <w:rPr>
                <w:rFonts w:ascii="Calibri" w:hAnsi="Calibri"/>
                <w:b/>
                <w:color w:val="000000"/>
                <w:sz w:val="19"/>
              </w:rPr>
              <w:t>Founder &amp; Strategic Operator</w:t>
            </w:r>
            <w:r>
              <w:rPr>
                <w:rFonts w:ascii="Calibri" w:hAnsi="Calibri"/>
                <w:i/>
                <w:color w:val="1E293B"/>
                <w:sz w:val="19"/>
              </w:rPr>
              <w:t xml:space="preserve"> | Consultant Studio (consultant-studio.app)</w:t>
            </w:r>
          </w:p>
        </w:tc>
        <w:tc>
          <w:tcPr>
            <w:tcW w:type="dxa" w:w="1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2026 – Present</w:t>
            </w:r>
          </w:p>
        </w:tc>
      </w:tr>
    </w:tbl>
    <w:p>
      <w:pPr>
        <w:pStyle w:val="ListBullet"/>
        <w:spacing w:before="0" w:after="40" w:line="269" w:lineRule="auto"/>
        <w:ind w:left="288"/>
      </w:pPr>
      <w:r>
        <w:rPr>
          <w:rFonts w:ascii="Calibri" w:hAnsi="Calibri"/>
          <w:b/>
          <w:color w:val="000000"/>
          <w:sz w:val="19"/>
        </w:rPr>
        <w:t>Built operational templates for small businesses:</w:t>
      </w:r>
      <w:r>
        <w:rPr>
          <w:rFonts w:ascii="Calibri" w:hAnsi="Calibri"/>
          <w:color w:val="1E293B"/>
          <w:sz w:val="19"/>
        </w:rPr>
        <w:t xml:space="preserve"> 13-week cash flow forecasts, margin leak diagnostics, automated P&amp;L reporting — all browser-side with no third-party cloud exposure.</w:t>
      </w:r>
    </w:p>
    <w:p>
      <w:pPr>
        <w:pStyle w:val="ListBullet"/>
        <w:spacing w:before="0" w:after="40" w:line="269" w:lineRule="auto"/>
        <w:ind w:left="288"/>
      </w:pPr>
      <w:r>
        <w:rPr>
          <w:rFonts w:ascii="Calibri" w:hAnsi="Calibri"/>
          <w:color w:val="1E293B"/>
          <w:sz w:val="19"/>
        </w:rPr>
        <w:t>Designed diagnostic workflows that isolate variable cost leaks and fixed-overhead bloat for independent operators.</w:t>
      </w:r>
    </w:p>
    <w:p>
      <w:pPr>
        <w:keepNext/>
        <w:spacing w:before="140" w:after="50"/>
        <w:pBdr>
          <w:bottom w:val="single" w:sz="8" w:space="1" w:color="000000"/>
        </w:pBdr>
      </w:pPr>
      <w:r>
        <w:rPr>
          <w:rFonts w:ascii="Calibri" w:hAnsi="Calibri"/>
          <w:b/>
          <w:color w:val="000000"/>
          <w:sz w:val="21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90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</w:pPr>
            <w:r>
              <w:rPr>
                <w:rFonts w:ascii="Calibri" w:hAnsi="Calibri"/>
                <w:b/>
                <w:color w:val="000000"/>
                <w:sz w:val="19"/>
              </w:rPr>
              <w:t>Marketing &amp; Operations Lead</w:t>
            </w:r>
            <w:r>
              <w:rPr>
                <w:rFonts w:ascii="Calibri" w:hAnsi="Calibri"/>
                <w:i/>
                <w:color w:val="1E293B"/>
                <w:sz w:val="19"/>
              </w:rPr>
              <w:t xml:space="preserve"> | Ma's Diner — Tallahassee, FL</w:t>
            </w:r>
          </w:p>
        </w:tc>
        <w:tc>
          <w:tcPr>
            <w:tcW w:type="dxa" w:w="1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Apr 2025 – Present</w:t>
            </w:r>
          </w:p>
        </w:tc>
      </w:tr>
    </w:tbl>
    <w:p>
      <w:pPr>
        <w:pStyle w:val="ListBullet"/>
        <w:spacing w:before="0" w:after="40" w:line="269" w:lineRule="auto"/>
        <w:ind w:left="288"/>
      </w:pPr>
      <w:r>
        <w:rPr>
          <w:rFonts w:ascii="Calibri" w:hAnsi="Calibri"/>
          <w:b/>
          <w:color w:val="000000"/>
          <w:sz w:val="19"/>
        </w:rPr>
        <w:t>Traffic &amp; Revenue Growth:</w:t>
      </w:r>
      <w:r>
        <w:rPr>
          <w:rFonts w:ascii="Calibri" w:hAnsi="Calibri"/>
          <w:color w:val="1E293B"/>
          <w:sz w:val="19"/>
        </w:rPr>
        <w:t xml:space="preserve"> Executed a grassroots local marketing campaign that lifted weekday lunch foot traffic by 25% over 8 weeks while maintaining 100% full-price menu margins — no discounting.</w:t>
      </w:r>
    </w:p>
    <w:p>
      <w:pPr>
        <w:pStyle w:val="ListBullet"/>
        <w:spacing w:before="0" w:after="40" w:line="269" w:lineRule="auto"/>
        <w:ind w:left="288"/>
      </w:pPr>
      <w:r>
        <w:rPr>
          <w:rFonts w:ascii="Calibri" w:hAnsi="Calibri"/>
          <w:b/>
          <w:color w:val="000000"/>
          <w:sz w:val="19"/>
        </w:rPr>
        <w:t>Kitchen Efficiency:</w:t>
      </w:r>
      <w:r>
        <w:rPr>
          <w:rFonts w:ascii="Calibri" w:hAnsi="Calibri"/>
          <w:color w:val="1E293B"/>
          <w:sz w:val="19"/>
        </w:rPr>
        <w:t xml:space="preserve"> Reorganized prep line staging and order handoff, cutting average ticket times from 8 to 5 minutes — unlocking capacity for 3+ additional tables per hour during peak rush.</w:t>
      </w:r>
    </w:p>
    <w:p>
      <w:pPr>
        <w:pStyle w:val="ListBullet"/>
        <w:spacing w:before="0" w:after="40" w:line="269" w:lineRule="auto"/>
        <w:ind w:left="288"/>
      </w:pPr>
      <w:r>
        <w:rPr>
          <w:rFonts w:ascii="Calibri" w:hAnsi="Calibri"/>
          <w:b/>
          <w:color w:val="000000"/>
          <w:sz w:val="19"/>
        </w:rPr>
        <w:t>Market Intelligence:</w:t>
      </w:r>
      <w:r>
        <w:rPr>
          <w:rFonts w:ascii="Calibri" w:hAnsi="Calibri"/>
          <w:color w:val="1E293B"/>
          <w:sz w:val="19"/>
        </w:rPr>
        <w:t xml:space="preserve"> Audited local competitor pricing and foot-traffic patterns, then placed targeted print and direct outreach to build a 5% repeat local customer baseline.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90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</w:pPr>
            <w:r>
              <w:rPr>
                <w:rFonts w:ascii="Calibri" w:hAnsi="Calibri"/>
                <w:b/>
                <w:color w:val="000000"/>
                <w:sz w:val="19"/>
              </w:rPr>
              <w:t>Operations &amp; Dispatch Lead</w:t>
            </w:r>
            <w:r>
              <w:rPr>
                <w:rFonts w:ascii="Calibri" w:hAnsi="Calibri"/>
                <w:i/>
                <w:color w:val="1E293B"/>
                <w:sz w:val="19"/>
              </w:rPr>
              <w:t xml:space="preserve"> | Independent Logistics (DoorDash &amp; Uber) — Tallahassee, FL</w:t>
            </w:r>
          </w:p>
        </w:tc>
        <w:tc>
          <w:tcPr>
            <w:tcW w:type="dxa" w:w="1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May 2025 – Present</w:t>
            </w:r>
          </w:p>
        </w:tc>
      </w:tr>
    </w:tbl>
    <w:p>
      <w:pPr>
        <w:pStyle w:val="ListBullet"/>
        <w:spacing w:before="0" w:after="40" w:line="269" w:lineRule="auto"/>
        <w:ind w:left="288"/>
      </w:pPr>
      <w:r>
        <w:rPr>
          <w:rFonts w:ascii="Calibri" w:hAnsi="Calibri"/>
          <w:color w:val="1E293B"/>
          <w:sz w:val="19"/>
        </w:rPr>
        <w:t>Completed 800+ time-sensitive deliveries during peak demand with a 99% on-time rate and 90%+ customer satisfaction.</w:t>
      </w:r>
    </w:p>
    <w:p>
      <w:pPr>
        <w:pStyle w:val="ListBullet"/>
        <w:spacing w:before="0" w:after="40" w:line="269" w:lineRule="auto"/>
        <w:ind w:left="288"/>
      </w:pPr>
      <w:r>
        <w:rPr>
          <w:rFonts w:ascii="Calibri" w:hAnsi="Calibri"/>
          <w:color w:val="1E293B"/>
          <w:sz w:val="19"/>
        </w:rPr>
        <w:t>Analyzed route density, transit constraints, and fuel costs to improve hourly delivery completion rates and route profitability.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90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</w:pPr>
            <w:r>
              <w:rPr>
                <w:rFonts w:ascii="Calibri" w:hAnsi="Calibri"/>
                <w:b/>
                <w:color w:val="000000"/>
                <w:sz w:val="19"/>
              </w:rPr>
              <w:t>Shift Lead &amp; Operations Coordinator</w:t>
            </w:r>
            <w:r>
              <w:rPr>
                <w:rFonts w:ascii="Calibri" w:hAnsi="Calibri"/>
                <w:i/>
                <w:color w:val="1E293B"/>
                <w:sz w:val="19"/>
              </w:rPr>
              <w:t xml:space="preserve"> | Walk-On's Sports Bistreaux — Tallahassee, FL</w:t>
            </w:r>
          </w:p>
        </w:tc>
        <w:tc>
          <w:tcPr>
            <w:tcW w:type="dxa" w:w="1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Jun 2021 – Feb 2025</w:t>
            </w:r>
          </w:p>
        </w:tc>
      </w:tr>
    </w:tbl>
    <w:p>
      <w:pPr>
        <w:pStyle w:val="ListBullet"/>
        <w:spacing w:before="0" w:after="40" w:line="269" w:lineRule="auto"/>
        <w:ind w:left="288"/>
      </w:pPr>
      <w:r>
        <w:rPr>
          <w:rFonts w:ascii="Calibri" w:hAnsi="Calibri"/>
          <w:color w:val="1E293B"/>
          <w:sz w:val="19"/>
        </w:rPr>
        <w:t>Managed floor seating and directed 10–60 concurrent to-go/delivery orders during high-volume game days with zero order-accuracy defects.</w:t>
      </w:r>
    </w:p>
    <w:p>
      <w:pPr>
        <w:pStyle w:val="ListBullet"/>
        <w:spacing w:before="0" w:after="40" w:line="269" w:lineRule="auto"/>
        <w:ind w:left="288"/>
      </w:pPr>
      <w:r>
        <w:rPr>
          <w:rFonts w:ascii="Calibri" w:hAnsi="Calibri"/>
          <w:color w:val="1E293B"/>
          <w:sz w:val="19"/>
        </w:rPr>
        <w:t>Standardized station setup checklists and trained new hires, cutting onboarding time by 20%.</w:t>
      </w:r>
    </w:p>
    <w:p>
      <w:pPr>
        <w:keepNext/>
        <w:spacing w:before="140" w:after="50"/>
        <w:pBdr>
          <w:bottom w:val="single" w:sz="8" w:space="1" w:color="000000"/>
        </w:pBdr>
      </w:pPr>
      <w:r>
        <w:rPr>
          <w:rFonts w:ascii="Calibri" w:hAnsi="Calibri"/>
          <w:b/>
          <w:color w:val="000000"/>
          <w:sz w:val="21"/>
        </w:rPr>
        <w:t>EDUCATION &amp; CREDENTIALS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90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</w:pPr>
            <w:r>
              <w:rPr>
                <w:rFonts w:ascii="Calibri" w:hAnsi="Calibri"/>
                <w:b/>
                <w:color w:val="000000"/>
                <w:sz w:val="19"/>
              </w:rPr>
              <w:t>Bachelor of Science in Marketing</w:t>
            </w:r>
            <w:r>
              <w:rPr>
                <w:rFonts w:ascii="Calibri" w:hAnsi="Calibri"/>
                <w:i/>
                <w:color w:val="1E293B"/>
                <w:sz w:val="19"/>
              </w:rPr>
              <w:t xml:space="preserve"> | Florida State University — Tallahassee, FL</w:t>
            </w:r>
          </w:p>
        </w:tc>
        <w:tc>
          <w:tcPr>
            <w:tcW w:type="dxa" w:w="1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May 2024 – Jul 2026</w:t>
            </w:r>
          </w:p>
        </w:tc>
      </w:tr>
    </w:tbl>
    <w:p>
      <w:pPr>
        <w:pStyle w:val="ListBullet"/>
        <w:spacing w:before="0" w:after="40" w:line="269" w:lineRule="auto"/>
        <w:ind w:left="288"/>
      </w:pPr>
      <w:r>
        <w:rPr>
          <w:rFonts w:ascii="Calibri" w:hAnsi="Calibri"/>
          <w:color w:val="1E293B"/>
          <w:sz w:val="19"/>
        </w:rPr>
        <w:t>Co-authored empirical consumer trust study analyzing institutional decision-making frameworks (p &lt; .001).</w:t>
      </w:r>
    </w:p>
    <w:p>
      <w:pPr>
        <w:pStyle w:val="ListBullet"/>
        <w:spacing w:before="0" w:after="40" w:line="269" w:lineRule="auto"/>
        <w:ind w:left="288"/>
      </w:pPr>
      <w:r>
        <w:rPr>
          <w:rFonts w:ascii="Calibri" w:hAnsi="Calibri"/>
          <w:color w:val="1E293B"/>
          <w:sz w:val="19"/>
        </w:rPr>
        <w:t>Eagle Scout (BSA) • Google AI Professional Certificate • Advanced Microsoft Excel Certified • Associate of Arts (Tallahassee State College, Dean's List 3x)</w:t>
      </w: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