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Arial" w:hAnsi="Arial"/>
          <w:b/>
          <w:color w:val="000000"/>
          <w:sz w:val="34"/>
        </w:rPr>
        <w:t>LANDEN JACKSON</w:t>
      </w:r>
    </w:p>
    <w:p>
      <w:pPr>
        <w:spacing w:before="0" w:after="30" w:line="259" w:lineRule="auto"/>
        <w:jc w:val="center"/>
      </w:pPr>
      <w:r>
        <w:rPr>
          <w:rFonts w:ascii="Arial" w:hAnsi="Arial"/>
          <w:b/>
          <w:color w:val="000000"/>
          <w:sz w:val="19"/>
        </w:rPr>
        <w:t>Operations &amp; Marketing Specialist • Systems &amp; Revenue Growth</w:t>
      </w:r>
    </w:p>
    <w:p>
      <w:pPr>
        <w:spacing w:before="0" w:after="60" w:line="259" w:lineRule="auto"/>
        <w:jc w:val="center"/>
        <w:pBrd>
          <w:bottom w:val="single" w:sz="12" w:space="3" w:color="000000"/>
        </w:pBrd>
      </w:pPr>
      <w:r>
        <w:rPr>
          <w:rFonts w:ascii="Arial" w:hAnsi="Arial"/>
          <w:color w:val="5A5A5A"/>
          <w:sz w:val="16"/>
        </w:rPr>
        <w:t>Tallahassee, FL • (850) 459-9148 • jacksonlanden3986@gmail.com • linkedin.com/in/landenjackson • www.consultant-studio.app</w:t>
      </w:r>
    </w:p>
    <w:p>
      <w:pPr>
        <w:spacing w:before="80" w:after="40" w:line="259" w:lineRule="auto"/>
        <w:pBrd>
          <w:bottom w:val="single" w:sz="8" w:space="2" w:color="182030"/>
        </w:pBrd>
      </w:pPr>
      <w:r>
        <w:rPr>
          <w:rFonts w:ascii="Arial" w:hAnsi="Arial"/>
          <w:b/>
          <w:color w:val="000000"/>
          <w:sz w:val="19"/>
        </w:rPr>
        <w:t>EXECUTIVE PROFILE</w:t>
      </w:r>
    </w:p>
    <w:p>
      <w:pPr>
        <w:spacing w:before="20" w:after="50" w:line="264" w:lineRule="auto"/>
      </w:pPr>
      <w:r>
        <w:rPr>
          <w:rFonts w:ascii="Arial" w:hAnsi="Arial"/>
          <w:color w:val="1E1E1E"/>
          <w:sz w:val="17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80" w:after="40" w:line="259" w:lineRule="auto"/>
        <w:pBrd>
          <w:bottom w:val="single" w:sz="8" w:space="2" w:color="182030"/>
        </w:pBrd>
      </w:pPr>
      <w:r>
        <w:rPr>
          <w:rFonts w:ascii="Arial" w:hAnsi="Arial"/>
          <w:b/>
          <w:color w:val="000000"/>
          <w:sz w:val="19"/>
        </w:rPr>
        <w:t>CORE COMPETENCIES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Operations &amp; Service:</w:t>
      </w:r>
      <w:r>
        <w:rPr>
          <w:rFonts w:ascii="Arial" w:hAnsi="Arial"/>
          <w:color w:val="282828"/>
          <w:sz w:val="17"/>
        </w:rPr>
        <w:t xml:space="preserve"> Kitchen &amp; floor workflow optimization, shift coordination, labor &amp; ticket time reduction, inventory &amp; COGS control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Revenue &amp; Marketing:</w:t>
      </w:r>
      <w:r>
        <w:rPr>
          <w:rFonts w:ascii="Arial" w:hAnsi="Arial"/>
          <w:color w:val="282828"/>
          <w:sz w:val="17"/>
        </w:rPr>
        <w:t xml:space="preserve"> Neighborhood growth strategy, full-price margin protection, promotional ROI, local customer acquisition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Systems &amp; Analytics:</w:t>
      </w:r>
      <w:r>
        <w:rPr>
          <w:rFonts w:ascii="Arial" w:hAnsi="Arial"/>
          <w:color w:val="282828"/>
          <w:sz w:val="17"/>
        </w:rPr>
        <w:t xml:space="preserve"> Financial modeling, KPI dashboards, process automation, Microsoft Excel (Certified), POS data review</w:t>
      </w:r>
    </w:p>
    <w:p>
      <w:pPr>
        <w:spacing w:before="80" w:after="40" w:line="259" w:lineRule="auto"/>
        <w:pBrd>
          <w:bottom w:val="single" w:sz="8" w:space="2" w:color="182030"/>
        </w:pBrd>
      </w:pPr>
      <w:r>
        <w:rPr>
          <w:rFonts w:ascii="Arial" w:hAnsi="Arial"/>
          <w:b/>
          <w:color w:val="000000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966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Founder &amp; Product Builder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2026 – Present</w:t>
            </w:r>
          </w:p>
        </w:tc>
      </w:tr>
    </w:tbl>
    <w:p>
      <w:pPr>
        <w:spacing w:before="10" w:after="30" w:line="259" w:lineRule="auto"/>
      </w:pPr>
      <w:r>
        <w:rPr>
          <w:rFonts w:ascii="Arial" w:hAnsi="Arial"/>
          <w:i/>
          <w:color w:val="464646"/>
          <w:sz w:val="18"/>
        </w:rPr>
        <w:t>Consultant Studio — Tallahassee, FL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Engineered full-stack browser-based financial diagnostic tools for SMBs, automating 13-week cash flow projections, variance tracking, and P&amp;L modeling with zero cloud latency and zero server-side database storage.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Engineered client-side file parsing pipelines processing complex spreadsheets and financial statements locally, eliminating data privacy compliance exposure and cutting recurring infrastructure compute to $0.00/month.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Built automated 1-click deliverable engines generating structured MSO-compliant spreadsheets (.xlsx), executive memos (.docx), and investor presentation decks (.pptx) entirely in browser memory.</w:t>
      </w:r>
    </w:p>
    <w:p>
      <w:pPr>
        <w:spacing w:before="80" w:after="40" w:line="259" w:lineRule="auto"/>
        <w:pBrd>
          <w:bottom w:val="single" w:sz="8" w:space="2" w:color="182030"/>
        </w:pBrd>
      </w:pPr>
      <w:r>
        <w:rPr>
          <w:rFonts w:ascii="Arial" w:hAnsi="Arial"/>
          <w:b/>
          <w:color w:val="000000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966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Marketing &amp; Growth Specialist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Apr 2025 – Present</w:t>
            </w:r>
          </w:p>
        </w:tc>
      </w:tr>
    </w:tbl>
    <w:p>
      <w:pPr>
        <w:spacing w:before="10" w:after="30" w:line="259" w:lineRule="auto"/>
      </w:pPr>
      <w:r>
        <w:rPr>
          <w:rFonts w:ascii="Arial" w:hAnsi="Arial"/>
          <w:i/>
          <w:color w:val="464646"/>
          <w:sz w:val="18"/>
        </w:rPr>
        <w:t>Ma's Diner — Tallahassee, FL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Engineered a shift-level throughput protocol that raised average check by $2,200 per service (12% lift) by re-sequencing expo handoffs and reducing ticket times by 90 seconds.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Reduced total restaurant food cost by $35,000 annually (4.2% of COGS) through real-time waste tracking and portion recalibration across 3 peak dayparts.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Planned and executed an 8-week local acquisition strategy driving a 25% increase in weekday foot traffic while defending 100% full-price margins with zero promotional discounting.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Audited local competitor pricing structures and dining density patterns, placing targeted localized print outreach to establish a 5% repeat customer baseline from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966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Operations &amp; Shift Coordinator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Jun 2021 – Feb 2025</w:t>
            </w:r>
          </w:p>
        </w:tc>
      </w:tr>
    </w:tbl>
    <w:p>
      <w:pPr>
        <w:spacing w:before="10" w:after="30" w:line="259" w:lineRule="auto"/>
      </w:pPr>
      <w:r>
        <w:rPr>
          <w:rFonts w:ascii="Arial" w:hAnsi="Arial"/>
          <w:i/>
          <w:color w:val="464646"/>
          <w:sz w:val="18"/>
        </w:rPr>
        <w:t>Walk-On's Sports Bistreaux — Tallahassee, FL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Standardized line cook cross-training cadence, cutting new-hire ramp time from 14 shifts to 8 while maintaining 98% order accuracy during $8K+ weekends.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Recovered $18,000 in missed revenue by redesigning the closing checklist to eliminate 22 minutes of idle labor per shift, reallocating to prep for next-day lunch rush.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Managed floor seating logistics and directed 10–60 concurrent to-go and delivery orders during high-capacity game days with zero order accuracy defects.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282828"/>
          <w:sz w:val="17"/>
        </w:rPr>
        <w:t>Trained and mentored 15+ frontline associates across stations, establishing standard opening/closing checklists that cut shift handover communication errors by 50%.</w:t>
      </w:r>
    </w:p>
    <w:p>
      <w:pPr>
        <w:spacing w:before="80" w:after="40" w:line="259" w:lineRule="auto"/>
        <w:pBrd>
          <w:bottom w:val="single" w:sz="8" w:space="2" w:color="182030"/>
        </w:pBrd>
      </w:pPr>
      <w:r>
        <w:rPr>
          <w:rFonts w:ascii="Arial" w:hAnsi="Arial"/>
          <w:b/>
          <w:color w:val="000000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966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Bachelor of Science in Marketing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50" w:after="10" w:line="25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May 2024 – Jul 2026</w:t>
            </w:r>
          </w:p>
        </w:tc>
      </w:tr>
    </w:tbl>
    <w:p>
      <w:pPr>
        <w:spacing w:before="10" w:after="30" w:line="259" w:lineRule="auto"/>
      </w:pPr>
      <w:r>
        <w:rPr>
          <w:rFonts w:ascii="Arial" w:hAnsi="Arial"/>
          <w:i/>
          <w:color w:val="464646"/>
          <w:sz w:val="18"/>
        </w:rPr>
        <w:t>Florida State University — Tallahassee, FL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Academic Research:</w:t>
      </w:r>
      <w:r>
        <w:rPr>
          <w:rFonts w:ascii="Arial" w:hAnsi="Arial"/>
          <w:color w:val="282828"/>
          <w:sz w:val="17"/>
        </w:rPr>
        <w:t xml:space="preserve"> Co-authored empirical consumer trust research study analyzing institutional decision-making dynamics (p &lt; .001).</w:t>
      </w:r>
    </w:p>
    <w:p>
      <w:pPr>
        <w:spacing w:before="16" w:after="30" w:line="259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Honors &amp; Certifications:</w:t>
      </w:r>
      <w:r>
        <w:rPr>
          <w:rFonts w:ascii="Arial" w:hAnsi="Arial"/>
          <w:color w:val="282828"/>
          <w:sz w:val="17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