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color w:val="0F172A"/>
          <w:sz w:val="37"/>
        </w:rPr>
        <w:t>LANDEN JACKSON</w:t>
      </w:r>
    </w:p>
    <w:p>
      <w:pPr>
        <w:spacing w:before="20" w:after="60" w:line="240" w:lineRule="auto"/>
        <w:jc w:val="center"/>
      </w:pPr>
      <w:r>
        <w:rPr>
          <w:rFonts w:ascii="Arial" w:hAnsi="Arial"/>
          <w:b/>
          <w:color w:val="22C55E"/>
          <w:sz w:val="21"/>
        </w:rPr>
        <w:t>Operations &amp; Marketing Specialist  •  Systems &amp; Revenue Growth</w:t>
      </w:r>
    </w:p>
    <w:p>
      <w:pPr>
        <w:spacing w:before="20" w:after="120" w:line="240" w:lineRule="auto"/>
        <w:jc w:val="center"/>
      </w:pPr>
      <w:r>
        <w:rPr>
          <w:color w:val="64748B"/>
          <w:sz w:val="18"/>
        </w:rPr>
        <w:t>Tallahassee, FL  •  (850) 459-9148  •  jacksonlanden3986@gmail.com  •  linkedin.com/in/landenjackson  •  www.consultant-studio.app</w:t>
      </w:r>
    </w:p>
    <w:p>
      <w:pPr>
        <w:spacing w:before="120" w:after="60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20"/>
        </w:rPr>
        <w:t>EXECUTIVE PROFILE</w:t>
      </w:r>
    </w:p>
    <w:p>
      <w:pPr>
        <w:spacing w:before="40" w:after="80" w:line="269" w:lineRule="auto"/>
      </w:pPr>
      <w:r>
        <w:rPr>
          <w:color w:val="1E293B"/>
          <w:sz w:val="18"/>
        </w:rPr>
        <w:t>Systems-driven operator and commercial strategist who engineers margin defense and accelerates throughput via empirical unit-economic models and frontline execution. Proven track record eliminating labor bottlenecks, defending 100% full-price margins without discounting, and architecting zero-overhead client-side operational software.</w:t>
      </w:r>
    </w:p>
    <w:p>
      <w:pPr>
        <w:spacing w:before="120" w:after="60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20"/>
        </w:rPr>
        <w:t>CORE COMPETENCIES</w:t>
      </w:r>
    </w:p>
    <w:p>
      <w:pPr>
        <w:spacing w:before="40" w:after="80" w:line="269" w:lineRule="auto"/>
      </w:pPr>
      <w:r>
        <w:rPr>
          <w:b/>
          <w:sz w:val="18"/>
        </w:rPr>
        <w:t xml:space="preserve">Operations &amp; Throughput: </w:t>
      </w:r>
      <w:r>
        <w:rPr>
          <w:sz w:val="18"/>
        </w:rPr>
        <w:t>Kitchen &amp; Floor Workflow, Ticket Turnaround Optimization, Shift Coordination, Labor Yield &amp; Defect Elimination.</w:t>
        <w:br/>
      </w:r>
      <w:r>
        <w:rPr>
          <w:b/>
          <w:sz w:val="18"/>
        </w:rPr>
        <w:t xml:space="preserve">Revenue &amp; Growth Strategy: </w:t>
      </w:r>
      <w:r>
        <w:rPr>
          <w:sz w:val="18"/>
        </w:rPr>
        <w:t>Zero-Discount Margin Protection, Neighborhood Acquisition, Pricing Audits, Unit Economics &amp; Breakeven Modeling.</w:t>
        <w:br/>
      </w:r>
      <w:r>
        <w:rPr>
          <w:b/>
          <w:sz w:val="18"/>
        </w:rPr>
        <w:t xml:space="preserve">Systems &amp; Analytics Architecture: </w:t>
      </w:r>
      <w:r>
        <w:rPr>
          <w:sz w:val="18"/>
        </w:rPr>
        <w:t>Advanced Excel P&amp;L Modeling, Client-Side Data Ingestion (SheetJS/PDF.js), TypeSafe Jev System One, KPI Dashboards.</w:t>
      </w:r>
    </w:p>
    <w:p>
      <w:pPr>
        <w:spacing w:before="120" w:after="60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20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20"/>
              </w:rPr>
              <w:t>Founder &amp; Product Builder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b/>
                <w:color w:val="475569"/>
                <w:sz w:val="18"/>
              </w:rPr>
              <w:t>2026 – Present</w:t>
            </w:r>
          </w:p>
        </w:tc>
      </w:tr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  <w:r>
              <w:rPr>
                <w:i/>
                <w:color w:val="475569"/>
                <w:sz w:val="18"/>
              </w:rPr>
              <w:t>Consultant Studio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</w:p>
        </w:tc>
      </w:tr>
    </w:tbl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Architected zero-overhead client-side operational software generating 13-week cash flow forecasts and automated P&amp;L audits, cutting recurring cloud database overhead to $0.00/month while enabling instant 1-click .xlsx, .docx, and .pdf deliverable exports.</w:t>
      </w:r>
    </w:p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Engineered client-side file parsing pipelines processing complex financial spreadsheets locally, eliminating backend latency and enterprise data privacy compliance exposure.</w:t>
      </w:r>
    </w:p>
    <w:p>
      <w:pPr>
        <w:spacing w:before="120" w:after="60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20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20"/>
              </w:rPr>
              <w:t>Marketing &amp; Growth Specialist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b/>
                <w:color w:val="475569"/>
                <w:sz w:val="18"/>
              </w:rPr>
              <w:t>Apr 2025 – Present</w:t>
            </w:r>
          </w:p>
        </w:tc>
      </w:tr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  <w:r>
              <w:rPr>
                <w:i/>
                <w:color w:val="475569"/>
                <w:sz w:val="18"/>
              </w:rPr>
              <w:t>Ma's Diner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</w:p>
        </w:tc>
      </w:tr>
    </w:tbl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Accelerated kitchen throughput velocity by 37.50% (slashing ticket turnaround from 8.00 to 5.00 minutes), unlocking capacity for 3+ additional table turns/hour and pacing +$76,050.00 in annualized high-margin revenue.</w:t>
      </w:r>
    </w:p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Engineered an 8-week local acquisition strategy driving a 25.00% increase in weekday foot traffic while defending 100.00% full-price margins with zero promotional discounting.</w:t>
      </w:r>
    </w:p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Conducted market-pricing audits and structured localized outreach channels to establish a 5.00% repeat baseline from zero within the first operating quarter.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20"/>
              </w:rPr>
              <w:t>Delivery Driver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b/>
                <w:color w:val="475569"/>
                <w:sz w:val="18"/>
              </w:rPr>
              <w:t>May 2025 – Present</w:t>
            </w:r>
          </w:p>
        </w:tc>
      </w:tr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  <w:r>
              <w:rPr>
                <w:i/>
                <w:color w:val="475569"/>
                <w:sz w:val="18"/>
              </w:rPr>
              <w:t>DoorDash &amp; Uber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</w:p>
        </w:tc>
      </w:tr>
    </w:tbl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Fulfilled 800+ time-sensitive deliveries during peak rush windows with a 99.00% on-time completion rate and &gt;90% customer satisfaction score.</w:t>
      </w:r>
    </w:p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Optimized route density, staging time, and fuel consumption to maximize hourly order yield across high-density delivery zones.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20"/>
              </w:rPr>
              <w:t>Operations &amp; Shift Coordinator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b/>
                <w:color w:val="475569"/>
                <w:sz w:val="18"/>
              </w:rPr>
              <w:t>Jun 2021 – Feb 2025</w:t>
            </w:r>
          </w:p>
        </w:tc>
      </w:tr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  <w:r>
              <w:rPr>
                <w:i/>
                <w:color w:val="475569"/>
                <w:sz w:val="18"/>
              </w:rPr>
              <w:t>Walk-On's Sports Bistreaux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</w:p>
        </w:tc>
      </w:tr>
    </w:tbl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Orchestrated floor and delivery logistics during high-volume periods (10–60 concurrent orders) maintaining a 0.00% defect rate, protecting brand NPS and eliminating remake scrap costs.</w:t>
      </w:r>
    </w:p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Standardized operational setup frameworks across frontline staff, reducing onboarding cycles by 20.00% and recapturing 8.00 productive labor hours ($120.00 saved) per onboarded employee.</w:t>
      </w:r>
    </w:p>
    <w:p>
      <w:pPr>
        <w:spacing w:before="120" w:after="60" w:line="240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20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20"/>
              </w:rPr>
              <w:t>Bachelor of Science in Marketing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b/>
                <w:color w:val="475569"/>
                <w:sz w:val="18"/>
              </w:rPr>
              <w:t>May 2024 – Jul 2026</w:t>
            </w:r>
          </w:p>
        </w:tc>
      </w:tr>
      <w:tr>
        <w:tc>
          <w:tcPr>
            <w:tcW w:type="dxa" w:w="806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  <w:r>
              <w:rPr>
                <w:i/>
                <w:color w:val="475569"/>
                <w:sz w:val="18"/>
              </w:rPr>
              <w:t>Florida State University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0" w:after="40" w:line="252" w:lineRule="auto"/>
            </w:pPr>
          </w:p>
        </w:tc>
      </w:tr>
    </w:tbl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Co-authored empirical consumer trust research study analyzing institutional decision-making dynamics (p &lt; .001).</w:t>
      </w:r>
    </w:p>
    <w:p>
      <w:pPr>
        <w:pStyle w:val="ListBullet"/>
        <w:spacing w:before="20" w:after="50" w:line="259" w:lineRule="auto"/>
        <w:ind w:left="288"/>
      </w:pPr>
      <w:r>
        <w:rPr>
          <w:color w:val="1E293B"/>
          <w:sz w:val="18"/>
        </w:rPr>
        <w:t>Eagle Scout (BSA)  •  Google AI Professional Certificate  •  Advanced Microsoft Excel Certified  •  Associate of Arts (Tallahassee State College, Dean's List 3x)</w:t>
      </w:r>
    </w:p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