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="250" w:lineRule="auto"/>
        <w:jc w:val="center"/>
      </w:pPr>
      <w:r>
        <w:rPr>
          <w:rFonts w:ascii="Arial" w:hAnsi="Arial"/>
          <w:b/>
          <w:color w:val="000000"/>
          <w:sz w:val="33"/>
        </w:rPr>
        <w:t>LANDEN JACKSON</w:t>
      </w:r>
    </w:p>
    <w:p>
      <w:pPr>
        <w:spacing w:before="0" w:after="20" w:line="250" w:lineRule="auto"/>
        <w:jc w:val="center"/>
      </w:pPr>
      <w:r>
        <w:rPr>
          <w:rFonts w:ascii="Arial" w:hAnsi="Arial"/>
          <w:b/>
          <w:color w:val="000000"/>
          <w:sz w:val="19"/>
        </w:rPr>
        <w:t>Operations &amp; Marketing Specialist • Systems &amp; Revenue Growth</w:t>
      </w:r>
    </w:p>
    <w:p>
      <w:pPr>
        <w:spacing w:before="0" w:after="40" w:line="250" w:lineRule="auto"/>
        <w:jc w:val="center"/>
      </w:pPr>
      <w:r>
        <w:rPr>
          <w:rFonts w:ascii="Arial" w:hAnsi="Arial"/>
          <w:color w:val="505050"/>
          <w:sz w:val="16"/>
        </w:rPr>
        <w:t>Tallahassee, FL • (850) 459-9148 • jacksonlanden3986@gmail.com • linkedin.com/in/landenjackson • www.consultant-studio.app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58"/>
      </w:tblGrid>
      <w:tr>
        <w:tc>
          <w:tcPr>
            <w:tcW w:type="dxa" w:w="10858"/>
            <w:tcBorders>
              <w:top w:val="none"/>
              <w:left w:val="none"/>
              <w:right w:val="none"/>
              <w:bottom w:val="single" w:sz="1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12" w:lineRule="auto"/>
            </w:pPr>
            <w:r>
              <w:rPr>
                <w:sz w:val="2"/>
              </w:rPr>
            </w:r>
          </w:p>
        </w:tc>
      </w:tr>
    </w:tbl>
    <w:p>
      <w:pPr>
        <w:spacing w:before="60" w:after="20" w:line="250" w:lineRule="auto"/>
      </w:pPr>
      <w:r>
        <w:rPr>
          <w:rFonts w:ascii="Arial" w:hAnsi="Arial"/>
          <w:b/>
          <w:color w:val="000000"/>
          <w:sz w:val="19"/>
        </w:rPr>
        <w:t>EXECUTIVE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58"/>
      </w:tblGrid>
      <w:tr>
        <w:tc>
          <w:tcPr>
            <w:tcW w:type="dxa" w:w="10858"/>
            <w:tcBorders>
              <w:top w:val="none"/>
              <w:left w:val="none"/>
              <w:right w:val="none"/>
              <w:bottom w:val="single" w:sz="1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12" w:lineRule="auto"/>
            </w:pPr>
            <w:r>
              <w:rPr>
                <w:sz w:val="2"/>
              </w:rPr>
            </w:r>
          </w:p>
        </w:tc>
      </w:tr>
    </w:tbl>
    <w:p>
      <w:pPr>
        <w:spacing w:before="30" w:after="40" w:line="254" w:lineRule="auto"/>
      </w:pPr>
      <w:r>
        <w:rPr>
          <w:rFonts w:ascii="Arial" w:hAnsi="Arial"/>
          <w:color w:val="1E1E1E"/>
          <w:sz w:val="17"/>
        </w:rPr>
        <w:t>Systems-driven operator and commercial strategist who engineers margin defense and accelerates throughput via empirical unit-economic models and frontline execution. Proven track record eliminating labor bottlenecks, defending 100% full-price margins without discounting, and architecting zero-overhead client-side operational software.</w:t>
      </w:r>
    </w:p>
    <w:p>
      <w:pPr>
        <w:spacing w:before="60" w:after="20" w:line="250" w:lineRule="auto"/>
      </w:pPr>
      <w:r>
        <w:rPr>
          <w:rFonts w:ascii="Arial" w:hAnsi="Arial"/>
          <w:b/>
          <w:color w:val="000000"/>
          <w:sz w:val="19"/>
        </w:rPr>
        <w:t>CORE COMPETENCIES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58"/>
      </w:tblGrid>
      <w:tr>
        <w:tc>
          <w:tcPr>
            <w:tcW w:type="dxa" w:w="10858"/>
            <w:tcBorders>
              <w:top w:val="none"/>
              <w:left w:val="none"/>
              <w:right w:val="none"/>
              <w:bottom w:val="single" w:sz="1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12" w:lineRule="auto"/>
            </w:pPr>
            <w:r>
              <w:rPr>
                <w:sz w:val="2"/>
              </w:rPr>
            </w:r>
          </w:p>
        </w:tc>
      </w:tr>
    </w:tbl>
    <w:p>
      <w:pPr>
        <w:spacing w:before="10" w:after="20" w:line="252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Operations &amp; Service:</w:t>
      </w:r>
      <w:r>
        <w:rPr>
          <w:rFonts w:ascii="Arial" w:hAnsi="Arial"/>
          <w:color w:val="1E1E1E"/>
          <w:sz w:val="17"/>
        </w:rPr>
        <w:t xml:space="preserve"> Kitchen &amp; floor workflow optimization, shift coordination, labor &amp; ticket time reduction, inventory &amp; COGS control</w:t>
      </w:r>
    </w:p>
    <w:p>
      <w:pPr>
        <w:spacing w:before="10" w:after="20" w:line="252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Revenue &amp; Marketing:</w:t>
      </w:r>
      <w:r>
        <w:rPr>
          <w:rFonts w:ascii="Arial" w:hAnsi="Arial"/>
          <w:color w:val="1E1E1E"/>
          <w:sz w:val="17"/>
        </w:rPr>
        <w:t xml:space="preserve"> Neighborhood growth strategy, full-price margin protection, promotional ROI, local customer acquisition</w:t>
      </w:r>
    </w:p>
    <w:p>
      <w:pPr>
        <w:spacing w:before="10" w:after="20" w:line="252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Systems &amp; Analytics:</w:t>
      </w:r>
      <w:r>
        <w:rPr>
          <w:rFonts w:ascii="Arial" w:hAnsi="Arial"/>
          <w:color w:val="1E1E1E"/>
          <w:sz w:val="17"/>
        </w:rPr>
        <w:t xml:space="preserve"> Financial modeling, KPI dashboards, process automation, Microsoft Excel (Certified), POS data review</w:t>
      </w:r>
    </w:p>
    <w:p>
      <w:pPr>
        <w:spacing w:before="60" w:after="20" w:line="250" w:lineRule="auto"/>
      </w:pPr>
      <w:r>
        <w:rPr>
          <w:rFonts w:ascii="Arial" w:hAnsi="Arial"/>
          <w:b/>
          <w:color w:val="000000"/>
          <w:sz w:val="19"/>
        </w:rPr>
        <w:t>VENTURE &amp; SYSTEMS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58"/>
      </w:tblGrid>
      <w:tr>
        <w:tc>
          <w:tcPr>
            <w:tcW w:type="dxa" w:w="10858"/>
            <w:tcBorders>
              <w:top w:val="none"/>
              <w:left w:val="none"/>
              <w:right w:val="none"/>
              <w:bottom w:val="single" w:sz="1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12" w:lineRule="auto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3010"/>
      </w:tblGrid>
      <w:tr>
        <w:tc>
          <w:tcPr>
            <w:tcW w:type="dxa" w:w="5429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 w:line="250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Founder &amp; Product Builder</w:t>
            </w:r>
          </w:p>
        </w:tc>
        <w:tc>
          <w:tcPr>
            <w:tcW w:type="dxa" w:w="5429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 w:line="250" w:lineRule="auto"/>
              <w:jc w:val="right"/>
            </w:pPr>
            <w:r>
              <w:rPr>
                <w:rFonts w:ascii="Arial" w:hAnsi="Arial"/>
                <w:b/>
                <w:color w:val="000000"/>
                <w:sz w:val="18"/>
              </w:rPr>
              <w:t>2026 – Present</w:t>
            </w:r>
          </w:p>
        </w:tc>
      </w:tr>
    </w:tbl>
    <w:p>
      <w:pPr>
        <w:spacing w:before="10" w:after="20" w:line="250" w:lineRule="auto"/>
      </w:pPr>
      <w:r>
        <w:rPr>
          <w:rFonts w:ascii="Arial" w:hAnsi="Arial"/>
          <w:i/>
          <w:color w:val="464646"/>
          <w:sz w:val="18"/>
        </w:rPr>
        <w:t>Consultant Studio — Tallahassee, FL</w:t>
      </w:r>
    </w:p>
    <w:p>
      <w:pPr>
        <w:spacing w:before="10" w:after="20" w:line="252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1E1E1E"/>
          <w:sz w:val="17"/>
        </w:rPr>
        <w:t>Engineered full-stack browser-based financial diagnostic tools for SMBs, automating 13-week cash flow projections, variance tracking, and P&amp;L modeling with zero cloud latency and zero server-side database storage.</w:t>
      </w:r>
    </w:p>
    <w:p>
      <w:pPr>
        <w:spacing w:before="10" w:after="20" w:line="252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1E1E1E"/>
          <w:sz w:val="17"/>
        </w:rPr>
        <w:t>Engineered client-side file parsing pipelines processing complex spreadsheets and financial statements locally, eliminating data privacy compliance exposure and cutting recurring infrastructure compute to $0.00/month.</w:t>
      </w:r>
    </w:p>
    <w:p>
      <w:pPr>
        <w:spacing w:before="10" w:after="20" w:line="252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1E1E1E"/>
          <w:sz w:val="17"/>
        </w:rPr>
        <w:t>Built automated 1-click deliverable engines generating structured MSO-compliant spreadsheets (.xlsx), executive memos (.docx), and investor presentation decks (.pptx) entirely in browser memory.</w:t>
      </w:r>
    </w:p>
    <w:p>
      <w:pPr>
        <w:spacing w:before="60" w:after="20" w:line="250" w:lineRule="auto"/>
      </w:pPr>
      <w:r>
        <w:rPr>
          <w:rFonts w:ascii="Arial" w:hAnsi="Arial"/>
          <w:b/>
          <w:color w:val="000000"/>
          <w:sz w:val="19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58"/>
      </w:tblGrid>
      <w:tr>
        <w:tc>
          <w:tcPr>
            <w:tcW w:type="dxa" w:w="10858"/>
            <w:tcBorders>
              <w:top w:val="none"/>
              <w:left w:val="none"/>
              <w:right w:val="none"/>
              <w:bottom w:val="single" w:sz="1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12" w:lineRule="auto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3010"/>
      </w:tblGrid>
      <w:tr>
        <w:tc>
          <w:tcPr>
            <w:tcW w:type="dxa" w:w="5429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 w:line="250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Marketing &amp; Growth Specialist</w:t>
            </w:r>
          </w:p>
        </w:tc>
        <w:tc>
          <w:tcPr>
            <w:tcW w:type="dxa" w:w="5429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 w:line="250" w:lineRule="auto"/>
              <w:jc w:val="right"/>
            </w:pPr>
            <w:r>
              <w:rPr>
                <w:rFonts w:ascii="Arial" w:hAnsi="Arial"/>
                <w:b/>
                <w:color w:val="000000"/>
                <w:sz w:val="18"/>
              </w:rPr>
              <w:t>Apr 2025 – Present</w:t>
            </w:r>
          </w:p>
        </w:tc>
      </w:tr>
    </w:tbl>
    <w:p>
      <w:pPr>
        <w:spacing w:before="10" w:after="20" w:line="250" w:lineRule="auto"/>
      </w:pPr>
      <w:r>
        <w:rPr>
          <w:rFonts w:ascii="Arial" w:hAnsi="Arial"/>
          <w:i/>
          <w:color w:val="464646"/>
          <w:sz w:val="18"/>
        </w:rPr>
        <w:t>Ma's Diner — Tallahassee, FL</w:t>
      </w:r>
    </w:p>
    <w:p>
      <w:pPr>
        <w:spacing w:before="10" w:after="20" w:line="252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1E1E1E"/>
          <w:sz w:val="17"/>
        </w:rPr>
        <w:t>Engineered a shift-level throughput protocol that raised average check by $2,200 per service (12% lift) by re-sequencing expo handoffs and reducing ticket times by 90 seconds.</w:t>
      </w:r>
    </w:p>
    <w:p>
      <w:pPr>
        <w:spacing w:before="10" w:after="20" w:line="252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1E1E1E"/>
          <w:sz w:val="17"/>
        </w:rPr>
        <w:t>Reduced total restaurant food cost by $35,000 annually (4.2% of COGS) through real-time waste tracking and portion recalibration across 3 peak dayparts.</w:t>
      </w:r>
    </w:p>
    <w:p>
      <w:pPr>
        <w:spacing w:before="10" w:after="20" w:line="252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1E1E1E"/>
          <w:sz w:val="17"/>
        </w:rPr>
        <w:t>Planned and executed an 8-week local acquisition strategy driving a 25% increase in weekday foot traffic while defending 100% full-price margins with zero promotional discounting.</w:t>
      </w:r>
    </w:p>
    <w:p>
      <w:pPr>
        <w:spacing w:before="10" w:after="20" w:line="252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1E1E1E"/>
          <w:sz w:val="17"/>
        </w:rPr>
        <w:t>Audited local competitor pricing structures and dining density patterns, placing targeted localized print outreach to establish a 5% repeat customer baseline from zero.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3010"/>
      </w:tblGrid>
      <w:tr>
        <w:tc>
          <w:tcPr>
            <w:tcW w:type="dxa" w:w="5429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 w:line="250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Delivery Driver</w:t>
            </w:r>
          </w:p>
        </w:tc>
        <w:tc>
          <w:tcPr>
            <w:tcW w:type="dxa" w:w="5429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 w:line="250" w:lineRule="auto"/>
              <w:jc w:val="right"/>
            </w:pPr>
            <w:r>
              <w:rPr>
                <w:rFonts w:ascii="Arial" w:hAnsi="Arial"/>
                <w:b/>
                <w:color w:val="000000"/>
                <w:sz w:val="18"/>
              </w:rPr>
              <w:t>May 2025 – Present</w:t>
            </w:r>
          </w:p>
        </w:tc>
      </w:tr>
    </w:tbl>
    <w:p>
      <w:pPr>
        <w:spacing w:before="10" w:after="20" w:line="250" w:lineRule="auto"/>
      </w:pPr>
      <w:r>
        <w:rPr>
          <w:rFonts w:ascii="Arial" w:hAnsi="Arial"/>
          <w:i/>
          <w:color w:val="464646"/>
          <w:sz w:val="18"/>
        </w:rPr>
        <w:t>DoorDash &amp; Uber — Tallahassee, FL</w:t>
      </w:r>
    </w:p>
    <w:p>
      <w:pPr>
        <w:spacing w:before="10" w:after="20" w:line="252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1E1E1E"/>
          <w:sz w:val="17"/>
        </w:rPr>
        <w:t>Completed 800+ time-sensitive customer deliveries across peak hours, maintaining a 99% on-time completion rate and a 90%+ customer satisfaction rating.</w:t>
      </w:r>
    </w:p>
    <w:p>
      <w:pPr>
        <w:spacing w:before="10" w:after="20" w:line="252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1E1E1E"/>
          <w:sz w:val="17"/>
        </w:rPr>
        <w:t>Managed route timing, transit constraints, and vehicle efficiency to maximize completed orders per hour and net earnings.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3010"/>
      </w:tblGrid>
      <w:tr>
        <w:tc>
          <w:tcPr>
            <w:tcW w:type="dxa" w:w="5429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 w:line="250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Operations &amp; Shift Coordinator</w:t>
            </w:r>
          </w:p>
        </w:tc>
        <w:tc>
          <w:tcPr>
            <w:tcW w:type="dxa" w:w="5429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 w:line="250" w:lineRule="auto"/>
              <w:jc w:val="right"/>
            </w:pPr>
            <w:r>
              <w:rPr>
                <w:rFonts w:ascii="Arial" w:hAnsi="Arial"/>
                <w:b/>
                <w:color w:val="000000"/>
                <w:sz w:val="18"/>
              </w:rPr>
              <w:t>Jun 2021 – Feb 2025</w:t>
            </w:r>
          </w:p>
        </w:tc>
      </w:tr>
    </w:tbl>
    <w:p>
      <w:pPr>
        <w:spacing w:before="10" w:after="20" w:line="250" w:lineRule="auto"/>
      </w:pPr>
      <w:r>
        <w:rPr>
          <w:rFonts w:ascii="Arial" w:hAnsi="Arial"/>
          <w:i/>
          <w:color w:val="464646"/>
          <w:sz w:val="18"/>
        </w:rPr>
        <w:t>Walk-On's Sports Bistreaux — Tallahassee, FL</w:t>
      </w:r>
    </w:p>
    <w:p>
      <w:pPr>
        <w:spacing w:before="10" w:after="20" w:line="252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1E1E1E"/>
          <w:sz w:val="17"/>
        </w:rPr>
        <w:t>Standardized line cook cross-training cadence, cutting new-hire ramp time from 14 shifts to 8 while maintaining 98% order accuracy during $8K+ weekends.</w:t>
      </w:r>
    </w:p>
    <w:p>
      <w:pPr>
        <w:spacing w:before="10" w:after="20" w:line="252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1E1E1E"/>
          <w:sz w:val="17"/>
        </w:rPr>
        <w:t>Recovered $18,000 in missed revenue by redesigning the closing checklist to eliminate 22 minutes of idle labor per shift, reallocating to prep for next-day lunch rush.</w:t>
      </w:r>
    </w:p>
    <w:p>
      <w:pPr>
        <w:spacing w:before="10" w:after="20" w:line="252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1E1E1E"/>
          <w:sz w:val="17"/>
        </w:rPr>
        <w:t>Managed floor seating logistics and directed 10–60 concurrent to-go and delivery orders during high-capacity game days with zero order accuracy defects.</w:t>
      </w:r>
    </w:p>
    <w:p>
      <w:pPr>
        <w:spacing w:before="10" w:after="20" w:line="252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color w:val="1E1E1E"/>
          <w:sz w:val="17"/>
        </w:rPr>
        <w:t>Trained and mentored 15+ frontline associates across stations, establishing standard opening/closing checklists that cut shift handover communication errors by 50%.</w:t>
      </w:r>
    </w:p>
    <w:p>
      <w:pPr>
        <w:spacing w:before="60" w:after="20" w:line="250" w:lineRule="auto"/>
      </w:pPr>
      <w:r>
        <w:rPr>
          <w:rFonts w:ascii="Arial" w:hAnsi="Arial"/>
          <w:b/>
          <w:color w:val="000000"/>
          <w:sz w:val="19"/>
        </w:rPr>
        <w:t>EDUCATION &amp; 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58"/>
      </w:tblGrid>
      <w:tr>
        <w:tc>
          <w:tcPr>
            <w:tcW w:type="dxa" w:w="10858"/>
            <w:tcBorders>
              <w:top w:val="none"/>
              <w:left w:val="none"/>
              <w:right w:val="none"/>
              <w:bottom w:val="single" w:sz="10" w:space="0" w:color="000000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 w:line="12" w:lineRule="auto"/>
            </w:pPr>
            <w:r>
              <w:rPr>
                <w:sz w:val="2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3010"/>
      </w:tblGrid>
      <w:tr>
        <w:tc>
          <w:tcPr>
            <w:tcW w:type="dxa" w:w="5429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 w:line="250" w:lineRule="auto"/>
            </w:pPr>
            <w:r>
              <w:rPr>
                <w:rFonts w:ascii="Arial" w:hAnsi="Arial"/>
                <w:b/>
                <w:color w:val="000000"/>
                <w:sz w:val="19"/>
              </w:rPr>
              <w:t>Bachelor of Science in Marketing</w:t>
            </w:r>
          </w:p>
        </w:tc>
        <w:tc>
          <w:tcPr>
            <w:tcW w:type="dxa" w:w="5429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40" w:after="10" w:line="250" w:lineRule="auto"/>
              <w:jc w:val="right"/>
            </w:pPr>
            <w:r>
              <w:rPr>
                <w:rFonts w:ascii="Arial" w:hAnsi="Arial"/>
                <w:b/>
                <w:color w:val="000000"/>
                <w:sz w:val="18"/>
              </w:rPr>
              <w:t>May 2024 – Jul 2026</w:t>
            </w:r>
          </w:p>
        </w:tc>
      </w:tr>
    </w:tbl>
    <w:p>
      <w:pPr>
        <w:spacing w:before="10" w:after="20" w:line="250" w:lineRule="auto"/>
      </w:pPr>
      <w:r>
        <w:rPr>
          <w:rFonts w:ascii="Arial" w:hAnsi="Arial"/>
          <w:i/>
          <w:color w:val="464646"/>
          <w:sz w:val="18"/>
        </w:rPr>
        <w:t>Florida State University — Tallahassee, FL</w:t>
      </w:r>
    </w:p>
    <w:p>
      <w:pPr>
        <w:spacing w:before="10" w:after="20" w:line="252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Academic Research:</w:t>
      </w:r>
      <w:r>
        <w:rPr>
          <w:rFonts w:ascii="Arial" w:hAnsi="Arial"/>
          <w:color w:val="1E1E1E"/>
          <w:sz w:val="17"/>
        </w:rPr>
        <w:t xml:space="preserve"> Co-authored empirical consumer trust research study analyzing institutional decision-making dynamics (p &lt; .001).</w:t>
      </w:r>
    </w:p>
    <w:p>
      <w:pPr>
        <w:spacing w:before="10" w:after="20" w:line="252" w:lineRule="auto"/>
        <w:ind w:left="259" w:hanging="259"/>
      </w:pPr>
      <w:r>
        <w:rPr>
          <w:rFonts w:ascii="Arial" w:hAnsi="Arial"/>
          <w:b/>
          <w:color w:val="000000"/>
          <w:sz w:val="17"/>
        </w:rPr>
        <w:t xml:space="preserve">•  </w:t>
      </w:r>
      <w:r>
        <w:rPr>
          <w:rFonts w:ascii="Arial" w:hAnsi="Arial"/>
          <w:b/>
          <w:color w:val="000000"/>
          <w:sz w:val="17"/>
        </w:rPr>
        <w:t>Honors &amp; Certifications:</w:t>
      </w:r>
      <w:r>
        <w:rPr>
          <w:rFonts w:ascii="Arial" w:hAnsi="Arial"/>
          <w:color w:val="1E1E1E"/>
          <w:sz w:val="17"/>
        </w:rPr>
        <w:t xml:space="preserve"> Eagle Scout (BSA) • Google AI Professional Certificate • Advanced Microsoft Excel Certified • Associate of Arts (Tallahassee State College, Dean's List 3x)</w:t>
      </w:r>
    </w:p>
    <w:sectPr w:rsidR="00FC693F" w:rsidRPr="0006063C" w:rsidSect="00034616">
      <w:pgSz w:w="12240" w:h="15840"/>
      <w:pgMar w:top="504" w:right="691" w:bottom="504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