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0F172A"/>
          <w:sz w:val="36"/>
        </w:rPr>
        <w:t>LANDEN JACKSON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0F172A"/>
          <w:sz w:val="20"/>
        </w:rPr>
        <w:t>Operations &amp; Marketing Specialist • Systems &amp; Revenue Growth</w:t>
      </w:r>
    </w:p>
    <w:p>
      <w:pPr>
        <w:spacing w:before="0" w:after="120" w:line="240" w:lineRule="auto"/>
        <w:jc w:val="center"/>
      </w:pPr>
      <w:r>
        <w:rPr>
          <w:color w:val="64748B"/>
          <w:sz w:val="17"/>
        </w:rPr>
        <w:t>Tallahassee, FL • (850) 459-9148 • jacksonlanden3986@gmail.com • linkedin.com/in/landenjackson • www.consultant-studio.app</w:t>
      </w:r>
    </w:p>
    <w:p>
      <w:pPr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EXECUTIVE PROFILE</w:t>
      </w:r>
    </w:p>
    <w:p>
      <w:pPr>
        <w:spacing w:before="40" w:after="80" w:line="269" w:lineRule="auto"/>
      </w:pPr>
      <w:r>
        <w:rPr>
          <w:rFonts w:ascii="Arial" w:hAnsi="Arial"/>
          <w:color w:val="1E293B"/>
          <w:sz w:val="18"/>
        </w:rPr>
        <w:t>Systems-driven operator and commercial strategist who engineers margin defense and accelerates throughput via empirical unit-economic models and frontline execution. Proven track record eliminating labor bottlenecks, defending 100% full-price margins without discounting, and architecting zero-overhead client-side operational software.</w:t>
      </w:r>
    </w:p>
    <w:p>
      <w:pPr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CORE COMPETENCIES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b/>
          <w:color w:val="1E293B"/>
          <w:sz w:val="18"/>
        </w:rPr>
        <w:t xml:space="preserve">Operations &amp; Service: </w:t>
      </w:r>
      <w:r>
        <w:rPr>
          <w:rFonts w:ascii="Arial" w:hAnsi="Arial"/>
          <w:color w:val="1E293B"/>
          <w:sz w:val="18"/>
        </w:rPr>
        <w:t>Kitchen &amp; floor workflow optimization, shift coordination, labor &amp; ticket time reduction, inventory &amp; COGS control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b/>
          <w:color w:val="1E293B"/>
          <w:sz w:val="18"/>
        </w:rPr>
        <w:t xml:space="preserve">Revenue &amp; Marketing: </w:t>
      </w:r>
      <w:r>
        <w:rPr>
          <w:rFonts w:ascii="Arial" w:hAnsi="Arial"/>
          <w:color w:val="1E293B"/>
          <w:sz w:val="18"/>
        </w:rPr>
        <w:t>Neighborhood growth strategy, full-price margin protection, promotional ROI, local customer acquisition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b/>
          <w:color w:val="1E293B"/>
          <w:sz w:val="18"/>
        </w:rPr>
        <w:t xml:space="preserve">Systems &amp; Analytics: </w:t>
      </w:r>
      <w:r>
        <w:rPr>
          <w:rFonts w:ascii="Arial" w:hAnsi="Arial"/>
          <w:color w:val="1E293B"/>
          <w:sz w:val="18"/>
        </w:rPr>
        <w:t>Financial modeling, KPI dashboards, process automation, Microsoft Excel (Certified), POS data review</w:t>
      </w:r>
    </w:p>
    <w:p>
      <w:pPr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1"/>
        <w:gridCol w:w="5371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Founder &amp; Product Builder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b/>
                <w:color w:val="475569"/>
                <w:sz w:val="17"/>
              </w:rPr>
              <w:t>2026 – Present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Consultant Studio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Engineered full-stack browser-based financial diagnostic tools for SMBs, automating 13-week cash flow projections, variance tracking, and P&amp;L modeling with zero cloud latency and zero server-side database storage.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Engineered client-side file parsing pipelines processing complex spreadsheets and financial statements locally, eliminating data privacy compliance exposure and cutting recurring infrastructure compute to $0.00/month.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Built automated 1-click deliverable engines generating structured MSO-compliant spreadsheets (.xlsx), executive memos (.docx), and investor presentation decks (.pptx) entirely in browser memory.</w:t>
      </w:r>
    </w:p>
    <w:p>
      <w:pPr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1"/>
        <w:gridCol w:w="5371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Marketing &amp; Growth Specialist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b/>
                <w:color w:val="475569"/>
                <w:sz w:val="17"/>
              </w:rPr>
              <w:t>Apr 2025 – Present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Ma's Diner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Engineered a shift-level throughput protocol that raised average check by $2,200 per service (12% lift) by re-sequencing expo handoffs and reducing ticket times by 90 seconds.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Reduced total restaurant food cost by $35,000 annually (4.2% of COGS) through real-time waste tracking and portion recalibration across 3 peak dayparts.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Planned and executed an 8-week local acquisition strategy driving a 25% increase in weekday foot traffic while defending 100% full-price margins with zero promotional discounting.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Audited local competitor pricing structures and dining density patterns, placing targeted localized print outreach to establish a 5% repeat customer baseline from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1"/>
        <w:gridCol w:w="5371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Operations &amp; Shift Coordinator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b/>
                <w:color w:val="475569"/>
                <w:sz w:val="17"/>
              </w:rPr>
              <w:t>Jun 2021 – Feb 2025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Walk-On's Sports Bistreaux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Standardized line cook cross-training cadence, cutting new-hire ramp time from 14 shifts to 8 while maintaining 98% order accuracy during $8K+ weekends.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Recovered $18,000 in missed revenue by redesigning the closing checklist to eliminate 22 minutes of idle labor per shift, reallocating to prep for next-day lunch rush.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Managed floor seating logistics and directed 10–60 concurrent to-go and delivery orders during high-capacity game days with zero order accuracy defects.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color w:val="1E293B"/>
          <w:sz w:val="18"/>
        </w:rPr>
        <w:t>Trained and mentored 15+ frontline associates across stations, establishing standard opening/closing checklists that cut shift handover communication errors by 50%.</w:t>
      </w:r>
    </w:p>
    <w:p>
      <w:pPr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1"/>
        <w:gridCol w:w="5371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Bachelor of Science in Marketing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b/>
                <w:color w:val="475569"/>
                <w:sz w:val="17"/>
              </w:rPr>
              <w:t>May 2024 – Jul 2026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Florida State University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b/>
          <w:color w:val="1E293B"/>
          <w:sz w:val="18"/>
        </w:rPr>
        <w:t xml:space="preserve">Academic Research: </w:t>
      </w:r>
      <w:r>
        <w:rPr>
          <w:rFonts w:ascii="Arial" w:hAnsi="Arial"/>
          <w:color w:val="1E293B"/>
          <w:sz w:val="18"/>
        </w:rPr>
        <w:t>Co-authored empirical consumer trust research study analyzing institutional decision-making dynamics (p &lt; .001).</w:t>
      </w:r>
    </w:p>
    <w:p>
      <w:pPr>
        <w:pStyle w:val="ListBullet"/>
        <w:spacing w:before="20" w:after="50" w:line="264" w:lineRule="auto"/>
        <w:ind w:left="288"/>
      </w:pPr>
      <w:r>
        <w:rPr>
          <w:rFonts w:ascii="Arial" w:hAnsi="Arial"/>
          <w:b/>
          <w:color w:val="1E293B"/>
          <w:sz w:val="18"/>
        </w:rPr>
        <w:t xml:space="preserve">Honors &amp; Certifications: </w:t>
      </w:r>
      <w:r>
        <w:rPr>
          <w:rFonts w:ascii="Arial" w:hAnsi="Arial"/>
          <w:color w:val="1E293B"/>
          <w:sz w:val="18"/>
        </w:rPr>
        <w:t>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634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