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Node.js: El entorno de ejecución principal.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Express: El framework web utilizado para gestionar rutas, servidores y middleware.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Modules (ESM): El proyecto utiliza la sintaxis moderna de JavaScript (import/export) configurada en el package.json.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&amp; Almacenamiento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Supabase: Utilizado como "Backend as a Service". Proporciona: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PostgreSQL: Base de datos relacional.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Supabase Storage: Para almacenar las portadas de las historias.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Autenticación y Seguridad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bcrypt: Para el cifrado (hashing) seguro de contraseñas.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express-session: Gestión de sesiones de usuario en el servidor.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Passport.js (Google OAuth2.0): Configurado para permitir el inicio de sesión con cuentas de Google.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&amp; UI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EJS (Embedded JavaScript): El motor de plantillas para generar el HTML dinámicamente en el servidor.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Vanilla CSS: Estilos personalizados ubicados en public/css/.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Quill JS: La biblioteca utilizada para el editor de texto enriquecido en el editor de capítulos.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Herramientas de Desarrollo y Utilidades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Multer: Para la subida de archivos (como las portadas de los libros).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dotenv: Para gestionar variables de entorno (como las claves de Supabase y secretos de sesión).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Nodemon: Herramienta que reinicia el servidor automáticamente cada vez que haces un cambio en el código.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Arquitectura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sigue un patrón MVC (Modelo-Vista-Controlador):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Controladores: Lógica de negocio en src/controllers/.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Vistas: Plantillas en src/views/.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Rutas: Definición de endpoints en src/routes/.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