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0FD1D" w14:textId="77777777" w:rsidR="00C2291B" w:rsidRDefault="00000000">
      <w:pPr>
        <w:pStyle w:val="1"/>
      </w:pPr>
      <w:bookmarkStart w:id="0" w:name="基于动态事件触发的-hvac-强化学习预测控制方法"/>
      <w:r>
        <w:rPr>
          <w:rFonts w:hint="eastAsia"/>
        </w:rPr>
        <w:t>基于动态事件触发的</w:t>
      </w:r>
      <w:r>
        <w:t xml:space="preserve"> HVAC </w:t>
      </w:r>
      <w:r>
        <w:rPr>
          <w:rFonts w:hint="eastAsia"/>
        </w:rPr>
        <w:t>强化学习预测控制方法</w:t>
      </w:r>
    </w:p>
    <w:p w14:paraId="55AB18AD" w14:textId="77777777" w:rsidR="00C2291B" w:rsidRDefault="00000000">
      <w:pPr>
        <w:pStyle w:val="1"/>
      </w:pPr>
      <w:bookmarkStart w:id="1" w:name="引言"/>
      <w:bookmarkEnd w:id="0"/>
      <w:r>
        <w:t xml:space="preserve">1. </w:t>
      </w:r>
      <w:r>
        <w:rPr>
          <w:rFonts w:hint="eastAsia"/>
        </w:rPr>
        <w:t>引言</w:t>
      </w:r>
    </w:p>
    <w:p w14:paraId="1FDE8834" w14:textId="77777777" w:rsidR="00C2291B" w:rsidRDefault="00000000">
      <w:pPr>
        <w:pStyle w:val="FirstParagraph"/>
      </w:pPr>
      <w:r>
        <w:rPr>
          <w:rFonts w:hint="eastAsia"/>
        </w:rPr>
        <w:t>随着全球气候变化的加剧，建筑行业的节能减排已成为亟待解决的关键问题。相关统计数据显示，建筑能耗占全球终端能耗的</w:t>
      </w:r>
      <w:r>
        <w:t xml:space="preserve"> 35% </w:t>
      </w:r>
      <w:r>
        <w:rPr>
          <w:rFonts w:hint="eastAsia"/>
        </w:rPr>
        <w:t>以上，其中供暖、通风与空调（</w:t>
      </w:r>
      <w:r>
        <w:rPr>
          <w:rFonts w:hint="eastAsia"/>
        </w:rPr>
        <w:t>HVAC</w:t>
      </w:r>
      <w:r>
        <w:rPr>
          <w:rFonts w:hint="eastAsia"/>
        </w:rPr>
        <w:t>）系统不仅占据了建筑整体能耗的约</w:t>
      </w:r>
      <w:r>
        <w:t xml:space="preserve"> </w:t>
      </w:r>
      <w:r>
        <w:rPr>
          <w:rFonts w:hint="eastAsia"/>
        </w:rPr>
        <w:t>50%</w:t>
      </w:r>
      <w:r>
        <w:rPr>
          <w:rFonts w:hint="eastAsia"/>
        </w:rPr>
        <w:t>，也是电力需求侧响应的关键调节资源</w:t>
      </w:r>
      <w:r>
        <w:t xml:space="preserve"> </w:t>
      </w:r>
      <w:r>
        <w:rPr>
          <w:rFonts w:hint="eastAsia"/>
        </w:rPr>
        <w:t>[1]</w:t>
      </w:r>
      <w:r>
        <w:rPr>
          <w:rFonts w:hint="eastAsia"/>
        </w:rPr>
        <w:t>。在中央空调系统中，冷水机组作为核心耗能部件，其运行效率直接决定了系统的整体性能</w:t>
      </w:r>
      <w:r>
        <w:t xml:space="preserve"> </w:t>
      </w:r>
      <w:r>
        <w:rPr>
          <w:rFonts w:hint="eastAsia"/>
        </w:rPr>
        <w:t>[2]</w:t>
      </w:r>
      <w:r>
        <w:rPr>
          <w:rFonts w:hint="eastAsia"/>
        </w:rPr>
        <w:t>。然而，实际工程中的</w:t>
      </w:r>
      <w:r>
        <w:t xml:space="preserve"> HVAC </w:t>
      </w:r>
      <w:r>
        <w:rPr>
          <w:rFonts w:hint="eastAsia"/>
        </w:rPr>
        <w:t>控制面临着严峻挑战：建筑热负荷受室外气象条件、室内人员流动及设备散热等多重动态因素的耦合影响，系统具有高度的非线性、时变性及大惯性滞后特征</w:t>
      </w:r>
      <w:r>
        <w:t xml:space="preserve"> [3][4][5]</w:t>
      </w:r>
      <w:r>
        <w:t>。</w:t>
      </w:r>
    </w:p>
    <w:p w14:paraId="371C0730" w14:textId="77777777" w:rsidR="00C2291B" w:rsidRDefault="00000000">
      <w:pPr>
        <w:pStyle w:val="a0"/>
      </w:pPr>
      <w:r>
        <w:t>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[1][2].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[3][4][5].</w:t>
      </w:r>
    </w:p>
    <w:p w14:paraId="494C7D2D" w14:textId="77777777" w:rsidR="00C2291B" w:rsidRDefault="00000000">
      <w:pPr>
        <w:pStyle w:val="a0"/>
      </w:pPr>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t xml:space="preserve"> HVAC </w:t>
      </w:r>
      <w:r>
        <w:rPr>
          <w:rFonts w:hint="eastAsia"/>
        </w:rPr>
        <w:t>控制领域展现出广阔的应用前景。</w:t>
      </w:r>
      <w:r>
        <w:rPr>
          <w:rFonts w:hint="eastAsia"/>
        </w:rPr>
        <w:t>DRL</w:t>
      </w:r>
      <w:r>
        <w:t xml:space="preserve"> </w:t>
      </w:r>
      <w:r>
        <w:rPr>
          <w:rFonts w:hint="eastAsia"/>
        </w:rPr>
        <w:t>能够通过与复杂时变环境的直接交互，自主学习并适应非线性工况</w:t>
      </w:r>
      <w:r>
        <w:rPr>
          <w:rFonts w:hint="eastAsia"/>
        </w:rPr>
        <w:t>[6][7]</w:t>
      </w:r>
      <w:r>
        <w:rPr>
          <w:rFonts w:hint="eastAsia"/>
        </w:rPr>
        <w:t>；结合时序特征的预测型</w:t>
      </w:r>
      <w:r>
        <w:t xml:space="preserve"> DRL </w:t>
      </w:r>
      <w:r>
        <w:rPr>
          <w:rFonts w:hint="eastAsia"/>
        </w:rPr>
        <w:t>进一步提升了智能体的前瞻预测能力，有效缓解了建筑大热惯性带来的控制滞后</w:t>
      </w:r>
      <w:r>
        <w:t xml:space="preserve"> </w:t>
      </w:r>
      <w:r>
        <w:rPr>
          <w:rFonts w:hint="eastAsia"/>
        </w:rPr>
        <w:t>[8]</w:t>
      </w:r>
      <w:r>
        <w:rPr>
          <w:rFonts w:hint="eastAsia"/>
        </w:rPr>
        <w:t>。然而，现有</w:t>
      </w:r>
      <w:r>
        <w:t xml:space="preserve"> DRL </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w:t>
      </w:r>
      <w:r>
        <w:rPr>
          <w:rFonts w:hint="eastAsia"/>
        </w:rPr>
        <w:t>[9]</w:t>
      </w:r>
      <w:r>
        <w:rPr>
          <w:rFonts w:hint="eastAsia"/>
        </w:rPr>
        <w:t>。这种固定频率驱动方式导致了响应速度与控制代价之间的固有矛盾：高频控制虽能迅速响应环境扰动，却会带来显著的计算开销与执行器机械磨损；低频控制虽能降低硬件损耗，却易造成控温精度下降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[10]</w:t>
      </w:r>
      <w:r>
        <w:t>。</w:t>
      </w:r>
    </w:p>
    <w:p w14:paraId="166AFECB" w14:textId="77777777" w:rsidR="00C2291B" w:rsidRDefault="00000000">
      <w:pPr>
        <w:pStyle w:val="a0"/>
      </w:pPr>
      <w:r>
        <w:t xml:space="preserve">Nowadays, deep reinforcement learning (DRL) has shown strong potential in HVAC control because it can make adaptive decisions without relying on a predefined </w:t>
      </w:r>
      <w:r>
        <w:lastRenderedPageBreak/>
        <w:t xml:space="preserve">model. By interacting directly with complex and changing environments, DRL can learn and adapt to nonlinear operating conditions [6][7]. </w:t>
      </w:r>
      <w:commentRangeStart w:id="2"/>
      <w:r>
        <w:t>Moreover, Predictive DRL further advances by using temporal features, which improves the agent’s ability to anticipate future changes and helps reduce the control lag caused by the large thermal inertia of buildings [8]</w:t>
      </w:r>
      <w:commentRangeEnd w:id="2"/>
      <w:r w:rsidR="009371A5">
        <w:rPr>
          <w:rStyle w:val="af0"/>
          <w:sz w:val="24"/>
          <w:szCs w:val="24"/>
        </w:rPr>
        <w:commentReference w:id="2"/>
      </w:r>
      <w:r>
        <w:t>.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[9]. As a result, there is an inherent trade-off between response speed and control cost: frequent updates can react quickly to disturbances, but they also increase computation cost and actuator wear, while infrequent updates reduce wear but often hurt temperature control accuracy [10].</w:t>
      </w:r>
    </w:p>
    <w:p w14:paraId="21BD6440" w14:textId="77777777" w:rsidR="00C2291B" w:rsidRDefault="00000000">
      <w:pPr>
        <w:pStyle w:val="a0"/>
      </w:pPr>
      <w:r>
        <w:rPr>
          <w:rFonts w:hint="eastAsia"/>
        </w:rPr>
        <w:t>为缓解</w:t>
      </w:r>
      <w:r>
        <w:t xml:space="preserve"> TTC </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t xml:space="preserve"> [11]</w:t>
      </w:r>
      <w:r>
        <w:t>。</w:t>
      </w:r>
      <w:r>
        <w:t xml:space="preserve">ETC </w:t>
      </w:r>
      <w:r>
        <w:rPr>
          <w:rFonts w:hint="eastAsia"/>
        </w:rPr>
        <w:t>基于按需决策理念，仅在系统状态发生显著偏离时激活控制更新</w:t>
      </w:r>
      <w:r>
        <w:t xml:space="preserve"> </w:t>
      </w:r>
      <w:r>
        <w:rPr>
          <w:rFonts w:hint="eastAsia"/>
        </w:rPr>
        <w:t>[12]</w:t>
      </w:r>
      <w:r>
        <w:rPr>
          <w:rFonts w:hint="eastAsia"/>
        </w:rPr>
        <w:t>。这种稀疏控制机制有效突破了时间步长的硬性约束，为平衡响应速度与控制代价提供了可行途径</w:t>
      </w:r>
      <w:r>
        <w:t xml:space="preserve"> </w:t>
      </w:r>
      <w:r>
        <w:rPr>
          <w:rFonts w:hint="eastAsia"/>
        </w:rPr>
        <w:t>[13]</w:t>
      </w:r>
      <w:r>
        <w:rPr>
          <w:rFonts w:hint="eastAsia"/>
        </w:rPr>
        <w:t>。基于这一优势，已有研究在深度强化学习中引入</w:t>
      </w:r>
      <w:r>
        <w:t xml:space="preserve"> ETC </w:t>
      </w:r>
      <w:r>
        <w:rPr>
          <w:rFonts w:hint="eastAsia"/>
        </w:rPr>
        <w:t>范式以进一步优化系统运行。这类方法在触发特定的预设事件时调整控制策略，有助于在热舒适度与能源消耗之间实现更好的平衡</w:t>
      </w:r>
      <w:r>
        <w:t xml:space="preserve"> </w:t>
      </w:r>
      <w:r>
        <w:rPr>
          <w:rFonts w:hint="eastAsia"/>
        </w:rPr>
        <w:t>[14]</w:t>
      </w:r>
      <w:r>
        <w:rPr>
          <w:rFonts w:hint="eastAsia"/>
        </w:rPr>
        <w:t>。然而，现有</w:t>
      </w:r>
      <w:r>
        <w:t xml:space="preserve"> ETC </w:t>
      </w:r>
      <w:r>
        <w:rPr>
          <w:rFonts w:hint="eastAsia"/>
        </w:rPr>
        <w:t>方案主要依赖基于专家经验的静态规则，例如设定固定的温度死区或负荷波动阈值</w:t>
      </w:r>
      <w:r>
        <w:t xml:space="preserve"> </w:t>
      </w:r>
      <w:r>
        <w:rPr>
          <w:rFonts w:hint="eastAsia"/>
        </w:rPr>
        <w:t>[13][15]</w:t>
      </w:r>
      <w:r>
        <w:rPr>
          <w:rFonts w:hint="eastAsia"/>
        </w:rPr>
        <w:t>。静态触发机制在面对高度非线性且时变的真实建筑环境时缺乏动态适应能力，难以适应不同建筑的热惯性差异以及设备老化后的性能漂移，极易导致频繁误触发或控制响应迟滞现象</w:t>
      </w:r>
      <w:r>
        <w:t xml:space="preserve"> </w:t>
      </w:r>
      <w:r>
        <w:rPr>
          <w:rFonts w:hint="eastAsia"/>
        </w:rPr>
        <w:t>[16]</w:t>
      </w:r>
      <w:r>
        <w:rPr>
          <w:rFonts w:hint="eastAsia"/>
        </w:rPr>
        <w:t>。图</w:t>
      </w:r>
      <w:r>
        <w:rPr>
          <w:rFonts w:hint="eastAsia"/>
        </w:rPr>
        <w:t>1.1</w:t>
      </w:r>
      <w:r>
        <w:rPr>
          <w:rFonts w:hint="eastAsia"/>
        </w:rPr>
        <w:t>显示，与固定间隔和固定阈值策略相比，动态阈值策略根据偏离信号的演变调整触发时刻，因此在避免不必要的更新和保持快速响应之间实现了更好的平衡。</w:t>
      </w:r>
    </w:p>
    <w:p w14:paraId="79BBAF0F" w14:textId="77777777" w:rsidR="00C2291B" w:rsidRDefault="00000000">
      <w:pPr>
        <w:pStyle w:val="a0"/>
      </w:pPr>
      <w:r>
        <w:t xml:space="preserve">The event triggered control (ETC) mechanism was developed to reduce the extra computation and equipment wear caused by TTC [11]. By following an on-demand decision making approach that updates the control system only when the system state changes significantly, ETC overcomes the constraint of TTC and provides a practical way to balance response speed and control cost [12][13]. </w:t>
      </w:r>
      <w:commentRangeStart w:id="3"/>
      <w:r>
        <w:t xml:space="preserve">Building on this advantage, prior studies have introduced the ETC into DRL where the control policy is updated when specific predefined events are triggered, which helps balance thermal comfort and energy consumption [14]. </w:t>
      </w:r>
      <w:commentRangeEnd w:id="3"/>
      <w:r w:rsidR="009371A5">
        <w:rPr>
          <w:rStyle w:val="af0"/>
          <w:sz w:val="24"/>
          <w:szCs w:val="24"/>
        </w:rPr>
        <w:commentReference w:id="3"/>
      </w:r>
      <w:r>
        <w:t xml:space="preserve">However, most existing ETC methods still rely on static rules set by experts, such as fixed temperature deadbands or load fluctuation thresholds [13][15].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[16]. </w:t>
      </w:r>
      <w:commentRangeStart w:id="4"/>
      <w:r>
        <w:t xml:space="preserve">Figure 1.1 shows that, compared with fixed interval and fixed threshold strategies, the dynamic threshold strategy adjusts trigger timing according to the evolution of the deviation signal, and therefore </w:t>
      </w:r>
      <w:commentRangeEnd w:id="4"/>
      <w:r w:rsidR="00871AE6">
        <w:rPr>
          <w:rStyle w:val="af0"/>
          <w:sz w:val="24"/>
          <w:szCs w:val="24"/>
        </w:rPr>
        <w:lastRenderedPageBreak/>
        <w:commentReference w:id="4"/>
      </w:r>
      <w:r>
        <w:t>achieves a better balance between avoiding unnecessary updates and maintaining fast response.</w:t>
      </w:r>
    </w:p>
    <w:p w14:paraId="3037BB0D" w14:textId="77777777" w:rsidR="00C2291B" w:rsidRDefault="00000000">
      <w:pPr>
        <w:pStyle w:val="a0"/>
      </w:pPr>
      <w:r>
        <w:rPr>
          <w:noProof/>
        </w:rPr>
        <w:drawing>
          <wp:inline distT="0" distB="0" distL="0" distR="0" wp14:anchorId="3BB2B8F6" wp14:editId="526E950D">
            <wp:extent cx="5334000" cy="1738273"/>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pics/fig_1_1_update_strategy_comparis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r>
        <w:t xml:space="preserve"> </w:t>
      </w:r>
      <w:r>
        <w:rPr>
          <w:rFonts w:hint="eastAsia"/>
          <w:b/>
          <w:bCs/>
        </w:rPr>
        <w:t>图</w:t>
      </w:r>
      <w:r>
        <w:rPr>
          <w:b/>
          <w:bCs/>
        </w:rPr>
        <w:t xml:space="preserve"> 1.1</w:t>
      </w:r>
      <w:r>
        <w:t xml:space="preserve"> </w:t>
      </w:r>
      <w:r>
        <w:rPr>
          <w:rFonts w:hint="eastAsia"/>
        </w:rPr>
        <w:t>固定间隔、固定阈值与动态阈值三种更新策略对比。上排为室温偏差信号与不同触发阈值的关系；下排为触发时刻的分布。虚线标记表示触发时刻。</w:t>
      </w:r>
    </w:p>
    <w:p w14:paraId="650FAB13" w14:textId="77777777" w:rsidR="00C2291B" w:rsidRDefault="00000000">
      <w:pPr>
        <w:pStyle w:val="a0"/>
      </w:pPr>
      <w:r>
        <w:rPr>
          <w:rFonts w:hint="eastAsia"/>
        </w:rPr>
        <w:t>基于上述动机，本文提出了一种基于无监督动态事件门控的事件触发预测强化学习控制框架（</w:t>
      </w:r>
      <w:r>
        <w:rPr>
          <w:rFonts w:hint="eastAsia"/>
        </w:rPr>
        <w:t>Event-Triggered</w:t>
      </w:r>
      <w:r>
        <w:t xml:space="preserve"> Predictive Reinforcement Learning with Unsupervised Dynamic Event Gating, </w:t>
      </w:r>
      <w:r>
        <w:rPr>
          <w:rFonts w:hint="eastAsia"/>
        </w:rPr>
        <w:t>ET-PRL</w:t>
      </w:r>
      <w:r>
        <w:rPr>
          <w:rFonts w:hint="eastAsia"/>
        </w:rPr>
        <w:t>），将时间序列预测、无监督动态事件门控与强化学习决策过程相结合。</w:t>
      </w:r>
      <w:r>
        <w:rPr>
          <w:rFonts w:hint="eastAsia"/>
        </w:rPr>
        <w:t>ET-PRL</w:t>
      </w:r>
      <w:r>
        <w:t xml:space="preserve"> </w:t>
      </w:r>
      <w:r>
        <w:rPr>
          <w:rFonts w:hint="eastAsia"/>
        </w:rPr>
        <w:t>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框架在关键干扰期间保持完全控制能力，同时在稳定期间抑制冗余更新。本文的主要贡献如下：</w:t>
      </w:r>
    </w:p>
    <w:p w14:paraId="2522F170" w14:textId="77777777" w:rsidR="00C2291B" w:rsidRDefault="00000000">
      <w:pPr>
        <w:pStyle w:val="a0"/>
      </w:pPr>
      <w:commentRangeStart w:id="5"/>
      <w:r>
        <w:t>Driven by the above motivations, this paper proposes a new HVAC control framework,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into a unified framework, the method preserves full control capability during major disturbances while reducing redundant updates during stable periods. The main contributions of this paper are as follows:</w:t>
      </w:r>
      <w:commentRangeEnd w:id="5"/>
      <w:r w:rsidR="00871AE6">
        <w:rPr>
          <w:rStyle w:val="af0"/>
          <w:sz w:val="24"/>
          <w:szCs w:val="24"/>
        </w:rPr>
        <w:commentReference w:id="5"/>
      </w:r>
    </w:p>
    <w:p w14:paraId="489520FE" w14:textId="77777777" w:rsidR="00C2291B" w:rsidRDefault="00000000">
      <w:pPr>
        <w:numPr>
          <w:ilvl w:val="0"/>
          <w:numId w:val="2"/>
        </w:numPr>
      </w:pPr>
      <w:r>
        <w:rPr>
          <w:rFonts w:hint="eastAsia"/>
          <w:b/>
          <w:bCs/>
        </w:rPr>
        <w:t>提出基于流式特征的无监督动态事件门控机制</w:t>
      </w:r>
      <w:r>
        <w:rPr>
          <w:rFonts w:hint="eastAsia"/>
        </w:rPr>
        <w:t>：在</w:t>
      </w:r>
      <w:r>
        <w:t xml:space="preserve"> ET-PRL </w:t>
      </w:r>
      <w:r>
        <w:rPr>
          <w:rFonts w:hint="eastAsia"/>
        </w:rPr>
        <w:t>框架中构建了融合多尺度异常追踪与双层自适应阈值的门控模块，摆脱了对静态人工规则的依赖，实现了对时变工况下非平稳扰动的自适应感知。</w:t>
      </w:r>
    </w:p>
    <w:p w14:paraId="1C1F78CE" w14:textId="77777777" w:rsidR="00C2291B" w:rsidRDefault="00000000">
      <w:pPr>
        <w:numPr>
          <w:ilvl w:val="0"/>
          <w:numId w:val="2"/>
        </w:numPr>
      </w:pPr>
      <w:r>
        <w:rPr>
          <w:b/>
          <w:bCs/>
        </w:rPr>
        <w:t>We propose an unsupervised dynamic event gating mechanism based on streaming features</w:t>
      </w:r>
      <w:r>
        <w:t xml:space="preserve">: We build a gating module that combines multi scale anomaly tracking with a two layer adaptive threshold. This removes the need </w:t>
      </w:r>
      <w:r>
        <w:lastRenderedPageBreak/>
        <w:t>for static manual rules and allows the system to automatically adapt to irregular disturbances under changing operating conditions.</w:t>
      </w:r>
    </w:p>
    <w:p w14:paraId="7E6A4A14" w14:textId="77777777" w:rsidR="00C2291B" w:rsidRDefault="00000000">
      <w:pPr>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）维持控制输出。该架构通过与预测状态特征深度耦合，有效补偿稀疏按需执行导致的信息缺失，并进一步增强策略的前瞻性决策能力。</w:t>
      </w:r>
    </w:p>
    <w:p w14:paraId="4EA8D9E6" w14:textId="77777777" w:rsidR="00C2291B" w:rsidRDefault="00000000">
      <w:pPr>
        <w:numPr>
          <w:ilvl w:val="0"/>
          <w:numId w:val="2"/>
        </w:numPr>
      </w:pPr>
      <w:r>
        <w:rPr>
          <w:b/>
          <w:bCs/>
        </w:rPr>
        <w:t>We construct a time decoupled, event driven predictive control framework</w:t>
      </w:r>
      <w:r>
        <w:t>: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framework effectively compensates for information loss caused by sparse on demand execution and further improves the policy’s anticipatory decision making capability.</w:t>
      </w:r>
    </w:p>
    <w:p w14:paraId="3EBC377A" w14:textId="77777777" w:rsidR="00C2291B" w:rsidRDefault="00000000">
      <w:pPr>
        <w:numPr>
          <w:ilvl w:val="0"/>
          <w:numId w:val="2"/>
        </w:numPr>
      </w:pPr>
      <w:commentRangeStart w:id="6"/>
      <w:r>
        <w:rPr>
          <w:rFonts w:hint="eastAsia"/>
          <w:b/>
          <w:bCs/>
        </w:rPr>
        <w:t>实现控制精度与执行代价的量化优化折衷</w:t>
      </w:r>
      <w:r>
        <w:rPr>
          <w:rFonts w:hint="eastAsia"/>
        </w:rPr>
        <w:t>：基于</w:t>
      </w:r>
      <w:r>
        <w:rPr>
          <w:rFonts w:hint="eastAsia"/>
        </w:rPr>
        <w:t>102</w:t>
      </w:r>
      <w:r>
        <w:rPr>
          <w:rFonts w:hint="eastAsia"/>
        </w:rPr>
        <w:t>天真实冷水机组运行数据，我们通过系统对比、消融与敏感性分析量化证明了所提方法在动作更新次数上降低</w:t>
      </w:r>
      <w:r>
        <w:rPr>
          <w:rFonts w:hint="eastAsia"/>
        </w:rPr>
        <w:t>53.54%</w:t>
      </w:r>
      <w:r>
        <w:rPr>
          <w:rFonts w:hint="eastAsia"/>
        </w:rPr>
        <w:t>、日均能耗由</w:t>
      </w:r>
      <w:r>
        <w:rPr>
          <w:rFonts w:hint="eastAsia"/>
        </w:rPr>
        <w:t>7491</w:t>
      </w:r>
      <w:r>
        <w:rPr>
          <w:rFonts w:hint="eastAsia"/>
        </w:rPr>
        <w:t>降至</w:t>
      </w:r>
      <w:r>
        <w:rPr>
          <w:rFonts w:hint="eastAsia"/>
        </w:rPr>
        <w:t>7332</w:t>
      </w:r>
      <w:r>
        <w:t xml:space="preserve"> </w:t>
      </w:r>
      <w:r>
        <w:rPr>
          <w:rFonts w:hint="eastAsia"/>
        </w:rPr>
        <w:t>kWh/day</w:t>
      </w:r>
      <w:r>
        <w:rPr>
          <w:rFonts w:hint="eastAsia"/>
        </w:rPr>
        <w:t>（节能</w:t>
      </w:r>
      <w:r>
        <w:rPr>
          <w:rFonts w:hint="eastAsia"/>
        </w:rPr>
        <w:t>2.13%</w:t>
      </w:r>
      <w:r>
        <w:rPr>
          <w:rFonts w:hint="eastAsia"/>
        </w:rPr>
        <w:t>），且在保持</w:t>
      </w:r>
      <w:r>
        <w:rPr>
          <w:rFonts w:hint="eastAsia"/>
        </w:rPr>
        <w:t>94.41%</w:t>
      </w:r>
      <w:r>
        <w:rPr>
          <w:rFonts w:hint="eastAsia"/>
        </w:rPr>
        <w:t>基线性能下表现稳定，说明该方法具备鲁棒性与工程可部署性。</w:t>
      </w:r>
    </w:p>
    <w:p w14:paraId="55A924E0" w14:textId="77777777" w:rsidR="00C2291B" w:rsidRDefault="00000000">
      <w:pPr>
        <w:numPr>
          <w:ilvl w:val="0"/>
          <w:numId w:val="2"/>
        </w:numPr>
      </w:pPr>
      <w:r>
        <w:rPr>
          <w:b/>
          <w:bCs/>
        </w:rPr>
        <w:t>Quantified optimization trade off between control accuracy and execution cost</w:t>
      </w:r>
      <w:r>
        <w:t>: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commentRangeEnd w:id="6"/>
      <w:r w:rsidR="00871AE6">
        <w:rPr>
          <w:rStyle w:val="af0"/>
          <w:sz w:val="24"/>
          <w:szCs w:val="24"/>
        </w:rPr>
        <w:commentReference w:id="6"/>
      </w:r>
    </w:p>
    <w:p w14:paraId="54F8923F" w14:textId="77777777" w:rsidR="00C2291B" w:rsidRDefault="00000000">
      <w:pPr>
        <w:pStyle w:val="1"/>
      </w:pPr>
      <w:bookmarkStart w:id="7" w:name="相关工作"/>
      <w:bookmarkEnd w:id="1"/>
      <w:r>
        <w:t xml:space="preserve">2. </w:t>
      </w:r>
      <w:r>
        <w:rPr>
          <w:rFonts w:hint="eastAsia"/>
        </w:rPr>
        <w:t>相关工作</w:t>
      </w:r>
    </w:p>
    <w:p w14:paraId="5F0F51CD" w14:textId="77777777" w:rsidR="00C2291B" w:rsidRDefault="00000000">
      <w:pPr>
        <w:pStyle w:val="FirstParagraph"/>
      </w:pPr>
      <w:r>
        <w:rPr>
          <w:rFonts w:hint="eastAsia"/>
        </w:rPr>
        <w:t>建筑</w:t>
      </w:r>
      <w:r>
        <w:t xml:space="preserve"> HVAC </w:t>
      </w:r>
      <w:r>
        <w:rPr>
          <w:rFonts w:hint="eastAsia"/>
        </w:rPr>
        <w:t>系统在能效优化与热舒适保障之间的协同控制长期面临工程挑战。为应对建筑能耗增长与运行稳定性要求，传统研究主要采用基于规则的控制（</w:t>
      </w:r>
      <w:r>
        <w:rPr>
          <w:rFonts w:hint="eastAsia"/>
        </w:rPr>
        <w:t>RBC</w:t>
      </w:r>
      <w:r>
        <w:rPr>
          <w:rFonts w:hint="eastAsia"/>
        </w:rPr>
        <w:t>）与比例</w:t>
      </w:r>
      <w:r>
        <w:t xml:space="preserve"> - </w:t>
      </w:r>
      <w:r>
        <w:rPr>
          <w:rFonts w:hint="eastAsia"/>
        </w:rPr>
        <w:t>积分</w:t>
      </w:r>
      <w:r>
        <w:t xml:space="preserve"> - </w:t>
      </w:r>
      <w:r>
        <w:rPr>
          <w:rFonts w:hint="eastAsia"/>
        </w:rPr>
        <w:t>微分（</w:t>
      </w:r>
      <w:r>
        <w:rPr>
          <w:rFonts w:hint="eastAsia"/>
        </w:rPr>
        <w:t>PID</w:t>
      </w:r>
      <w:r>
        <w:rPr>
          <w:rFonts w:hint="eastAsia"/>
        </w:rPr>
        <w:t>）等经典方法</w:t>
      </w:r>
      <w:r>
        <w:t xml:space="preserve"> </w:t>
      </w:r>
      <w:r>
        <w:rPr>
          <w:rFonts w:hint="eastAsia"/>
        </w:rPr>
        <w:t>[17]</w:t>
      </w:r>
      <w:r>
        <w:rPr>
          <w:rFonts w:hint="eastAsia"/>
        </w:rPr>
        <w:t>。其中，</w:t>
      </w:r>
      <w:r>
        <w:rPr>
          <w:rFonts w:hint="eastAsia"/>
        </w:rPr>
        <w:t>Choi</w:t>
      </w:r>
      <w:r>
        <w:t xml:space="preserve"> </w:t>
      </w:r>
      <w:r>
        <w:rPr>
          <w:rFonts w:hint="eastAsia"/>
        </w:rPr>
        <w:t>等</w:t>
      </w:r>
      <w:r>
        <w:t xml:space="preserve"> [18] </w:t>
      </w:r>
      <w:r>
        <w:rPr>
          <w:rFonts w:hint="eastAsia"/>
        </w:rPr>
        <w:t>通过优化信息驱动的规则提取提升了</w:t>
      </w:r>
      <w:r>
        <w:t xml:space="preserve"> HVAC </w:t>
      </w:r>
      <w:r>
        <w:rPr>
          <w:rFonts w:hint="eastAsia"/>
        </w:rPr>
        <w:t>规则控制的可操作性，</w:t>
      </w:r>
      <w:r>
        <w:rPr>
          <w:rFonts w:hint="eastAsia"/>
        </w:rPr>
        <w:t>Lee</w:t>
      </w:r>
      <w:r>
        <w:t xml:space="preserve"> </w:t>
      </w:r>
      <w:r>
        <w:rPr>
          <w:rFonts w:hint="eastAsia"/>
        </w:rPr>
        <w:t>等</w:t>
      </w:r>
      <w:r>
        <w:t xml:space="preserve"> [19] </w:t>
      </w:r>
      <w:r>
        <w:rPr>
          <w:rFonts w:hint="eastAsia"/>
        </w:rPr>
        <w:t>将深度强化学习用于</w:t>
      </w:r>
      <w:r>
        <w:t xml:space="preserve"> PID </w:t>
      </w:r>
      <w:r>
        <w:rPr>
          <w:rFonts w:hint="eastAsia"/>
        </w:rPr>
        <w:t>参数整定以改善跟踪性能；此外，</w:t>
      </w:r>
      <w:r>
        <w:rPr>
          <w:rFonts w:hint="eastAsia"/>
        </w:rPr>
        <w:t>Chojecki</w:t>
      </w:r>
      <w:r>
        <w:t xml:space="preserve"> </w:t>
      </w:r>
      <w:r>
        <w:rPr>
          <w:rFonts w:hint="eastAsia"/>
        </w:rPr>
        <w:t>等</w:t>
      </w:r>
      <w:r>
        <w:t xml:space="preserve"> [20] </w:t>
      </w:r>
      <w:r>
        <w:rPr>
          <w:rFonts w:hint="eastAsia"/>
        </w:rPr>
        <w:t>进一步引入模糊控制思想，增强了传统控制器在特定工况下的适应能力。</w:t>
      </w:r>
      <w:r>
        <w:rPr>
          <w:rFonts w:hint="eastAsia"/>
        </w:rPr>
        <w:t>Tang</w:t>
      </w:r>
      <w:r>
        <w:t xml:space="preserve"> </w:t>
      </w:r>
      <w:r>
        <w:rPr>
          <w:rFonts w:hint="eastAsia"/>
        </w:rPr>
        <w:t>等</w:t>
      </w:r>
      <w:r>
        <w:t xml:space="preserve"> [21] </w:t>
      </w:r>
      <w:r>
        <w:rPr>
          <w:rFonts w:hint="eastAsia"/>
        </w:rPr>
        <w:t>提出了一种物理感知深度学习嵌入的模型预测控制（</w:t>
      </w:r>
      <w:r>
        <w:rPr>
          <w:rFonts w:hint="eastAsia"/>
        </w:rPr>
        <w:t>MPC</w:t>
      </w:r>
      <w:r>
        <w:rPr>
          <w:rFonts w:hint="eastAsia"/>
        </w:rPr>
        <w:t>）方法，通过构建建筑热动态模型并在滚动时域内求解约束优化问题，实现了能耗、舒适度与设备运行约束的显式协调。尽管这些方法在工业场景中部署便捷、可靠性高，或能够在模型准确时取得较优控制效果，</w:t>
      </w:r>
      <w:r>
        <w:rPr>
          <w:rFonts w:hint="eastAsia"/>
        </w:rPr>
        <w:lastRenderedPageBreak/>
        <w:t>但其核心仍依赖静态规则、线性反馈假设或高精度预测模型，难以充分刻画建筑热环境中的非线性耦合、时变扰动与大滞后特征，因而在复杂运维条件下往往难以同时兼顾节能与舒适性</w:t>
      </w:r>
      <w:r>
        <w:t xml:space="preserve"> [22]</w:t>
      </w:r>
      <w:r>
        <w:t>。</w:t>
      </w:r>
    </w:p>
    <w:p w14:paraId="69C21A49" w14:textId="77777777" w:rsidR="00C2291B" w:rsidRDefault="00000000">
      <w:pPr>
        <w:pStyle w:val="a0"/>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[17]. Choi et al. [18] improved the practicality of HVAC rule-based control through optimization-informed rule extraction. Lee et al. [19] used deep reinforcement learning to tune PID parameters and improve tracking performance. Chojecki et al. [20] further introduced fuzzy control to improve adaptability under specific operating conditions. Tang et al. [21]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[22].</w:t>
      </w:r>
    </w:p>
    <w:p w14:paraId="5677432D" w14:textId="77777777" w:rsidR="00C2291B" w:rsidRDefault="00000000">
      <w:pPr>
        <w:pStyle w:val="a0"/>
      </w:pPr>
      <w:r>
        <w:rPr>
          <w:rFonts w:hint="eastAsia"/>
        </w:rPr>
        <w:t>为突破传统控制在建模与适应性方面的瓶颈，数据驱动方法逐步成为</w:t>
      </w:r>
      <w:r>
        <w:t xml:space="preserve"> HVAC </w:t>
      </w:r>
      <w:r>
        <w:rPr>
          <w:rFonts w:hint="eastAsia"/>
        </w:rPr>
        <w:t>智能控制的重要方向。其中，强化学习能够在不依赖精确物理模型的情况下，通过与建筑环境的试错交互学习运行状态与控制动作之间的优化映射，因而逐渐被用于建筑能耗管理、</w:t>
      </w:r>
      <w:r>
        <w:rPr>
          <w:rFonts w:hint="eastAsia"/>
        </w:rPr>
        <w:t>HVAC</w:t>
      </w:r>
      <w:r>
        <w:t xml:space="preserve"> </w:t>
      </w:r>
      <w:r>
        <w:rPr>
          <w:rFonts w:hint="eastAsia"/>
        </w:rPr>
        <w:t>控制与需求响应等任务</w:t>
      </w:r>
      <w:r>
        <w:t xml:space="preserve"> [23]</w:t>
      </w:r>
      <w:r>
        <w:t>。</w:t>
      </w:r>
      <w:r>
        <w:t xml:space="preserve">Savino </w:t>
      </w:r>
      <w:r>
        <w:rPr>
          <w:rFonts w:hint="eastAsia"/>
        </w:rPr>
        <w:t>等</w:t>
      </w:r>
      <w:r>
        <w:t xml:space="preserve"> [24] </w:t>
      </w:r>
      <w:r>
        <w:rPr>
          <w:rFonts w:hint="eastAsia"/>
        </w:rPr>
        <w:t>系统展示了深度强化学习在多区域底层控制中的应用潜力；</w:t>
      </w:r>
      <w:r>
        <w:rPr>
          <w:rFonts w:hint="eastAsia"/>
        </w:rPr>
        <w:t>Wang</w:t>
      </w:r>
      <w:r>
        <w:t xml:space="preserve"> </w:t>
      </w:r>
      <w:r>
        <w:rPr>
          <w:rFonts w:hint="eastAsia"/>
        </w:rPr>
        <w:t>与</w:t>
      </w:r>
      <w:r>
        <w:t xml:space="preserve"> Lin [25] </w:t>
      </w:r>
      <w:r>
        <w:rPr>
          <w:rFonts w:hint="eastAsia"/>
        </w:rPr>
        <w:t>以及</w:t>
      </w:r>
      <w:r>
        <w:t xml:space="preserve"> Zhuang </w:t>
      </w:r>
      <w:r>
        <w:rPr>
          <w:rFonts w:hint="eastAsia"/>
        </w:rPr>
        <w:t>等</w:t>
      </w:r>
      <w:r>
        <w:t xml:space="preserve"> [26] </w:t>
      </w:r>
      <w:r>
        <w:rPr>
          <w:rFonts w:hint="eastAsia"/>
        </w:rPr>
        <w:t>分别基于</w:t>
      </w:r>
      <w:r>
        <w:t xml:space="preserve"> DQN/DDPG </w:t>
      </w:r>
      <w:r>
        <w:rPr>
          <w:rFonts w:hint="eastAsia"/>
        </w:rPr>
        <w:t>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[27]</w:t>
      </w:r>
      <w:r>
        <w:rPr>
          <w:rFonts w:hint="eastAsia"/>
        </w:rPr>
        <w:t>。为此，</w:t>
      </w:r>
      <w:r>
        <w:rPr>
          <w:rFonts w:hint="eastAsia"/>
        </w:rPr>
        <w:t>Li</w:t>
      </w:r>
      <w:r>
        <w:t xml:space="preserve"> </w:t>
      </w:r>
      <w:r>
        <w:rPr>
          <w:rFonts w:hint="eastAsia"/>
        </w:rPr>
        <w:t>等</w:t>
      </w:r>
      <w:r>
        <w:t xml:space="preserve"> [28] </w:t>
      </w:r>
      <w:r>
        <w:rPr>
          <w:rFonts w:hint="eastAsia"/>
        </w:rPr>
        <w:t>将</w:t>
      </w:r>
      <w:r>
        <w:t xml:space="preserve"> LSTM </w:t>
      </w:r>
      <w:r>
        <w:rPr>
          <w:rFonts w:hint="eastAsia"/>
        </w:rPr>
        <w:t>等时序模型融入决策过程，通过引入前瞻预测信息增强了策略对环境演化的感知能力，并在一定程度上改善了控制平稳性；</w:t>
      </w:r>
      <w:r>
        <w:rPr>
          <w:rFonts w:hint="eastAsia"/>
        </w:rPr>
        <w:t>He</w:t>
      </w:r>
      <w:r>
        <w:t xml:space="preserve"> </w:t>
      </w:r>
      <w:r>
        <w:rPr>
          <w:rFonts w:hint="eastAsia"/>
        </w:rPr>
        <w:t>等</w:t>
      </w:r>
      <w:r>
        <w:t xml:space="preserve"> [29] </w:t>
      </w:r>
      <w:r>
        <w:rPr>
          <w:rFonts w:hint="eastAsia"/>
        </w:rPr>
        <w:t>进一步面向冷机群优化，将</w:t>
      </w:r>
      <w:r>
        <w:t xml:space="preserve"> LSTM </w:t>
      </w:r>
      <w:r>
        <w:rPr>
          <w:rFonts w:hint="eastAsia"/>
        </w:rPr>
        <w:t>负荷预测与</w:t>
      </w:r>
      <w:r>
        <w:t xml:space="preserve"> DQN </w:t>
      </w:r>
      <w:r>
        <w:rPr>
          <w:rFonts w:hint="eastAsia"/>
        </w:rPr>
        <w:t>控制相结合，构建了无模型的预测型强化学习框架，表明引入预测信息能够在保持强化学习自适应性的同时提升控制前瞻性。需要指出的是，现有</w:t>
      </w:r>
      <w:r>
        <w:t xml:space="preserve"> RL </w:t>
      </w:r>
      <w:r>
        <w:rPr>
          <w:rFonts w:hint="eastAsia"/>
        </w:rPr>
        <w:t>及预测型</w:t>
      </w:r>
      <w:r>
        <w:t xml:space="preserve"> RL </w:t>
      </w:r>
      <w:r>
        <w:rPr>
          <w:rFonts w:hint="eastAsia"/>
        </w:rPr>
        <w:t>方法在执行层面仍普遍遵循固定时间步长控制（</w:t>
      </w:r>
      <w:r>
        <w:rPr>
          <w:rFonts w:hint="eastAsia"/>
        </w:rPr>
        <w:t>TTC</w:t>
      </w:r>
      <w:r>
        <w:rPr>
          <w:rFonts w:hint="eastAsia"/>
        </w:rPr>
        <w:t>）范式，即按预设周期进行状态采样与动作更新，难以根据负荷扰动强弱自适应调整决策频率，因而存在冗余计算、执行机构磨损之间的固有矛盾</w:t>
      </w:r>
      <w:r>
        <w:t xml:space="preserve"> [30]</w:t>
      </w:r>
      <w:r>
        <w:t>。</w:t>
      </w:r>
    </w:p>
    <w:p w14:paraId="3858FB53" w14:textId="77777777" w:rsidR="00C2291B" w:rsidRDefault="00000000">
      <w:pPr>
        <w:pStyle w:val="a0"/>
      </w:pPr>
      <w:r>
        <w:t xml:space="preserve">To overcome the modeling and adaptability limits of traditional control, data-driven methods have become an important direction for intelligent HVAC control. Among them, reinforcement learning can learn optimized mappings between operating </w:t>
      </w:r>
      <w:r>
        <w:lastRenderedPageBreak/>
        <w:t>states and control actions through trial-and-error interaction with the building environment without requiring an accurate physical model, and has therefore been increasingly applied to building energy management, HVAC control, and demand response tasks [23]. Savino et al. [24] demonstrated the potential of deep reinforcement learning for low-level control in multi-zone buildings. Wang et al. [25] and Zhuang et al. [26]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[27]. To mitigate this issue, Li et al. [28] integrated temporal models such as LSTM into the decision process, improving awareness of system evolution and partially improving control stability; He et al. [29] further developed a model-free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[30].</w:t>
      </w:r>
    </w:p>
    <w:p w14:paraId="48AE8129" w14:textId="77777777" w:rsidR="00C2291B" w:rsidRDefault="00000000">
      <w:pPr>
        <w:pStyle w:val="a0"/>
      </w:pPr>
      <w:r>
        <w:rPr>
          <w:rFonts w:hint="eastAsia"/>
        </w:rPr>
        <w:t>在控制策略由规则驱动向数据驱动持续演进的同时，如何降低冗余计算与执行机构磨损成为另一关键问题。</w:t>
      </w:r>
      <w:r>
        <w:rPr>
          <w:rFonts w:hint="eastAsia"/>
        </w:rPr>
        <w:t>Liu</w:t>
      </w:r>
      <w:r>
        <w:t xml:space="preserve"> </w:t>
      </w:r>
      <w:r>
        <w:rPr>
          <w:rFonts w:hint="eastAsia"/>
        </w:rPr>
        <w:t>等</w:t>
      </w:r>
      <w:r>
        <w:t xml:space="preserve"> [31] </w:t>
      </w:r>
      <w:r>
        <w:rPr>
          <w:rFonts w:hint="eastAsia"/>
        </w:rPr>
        <w:t>与</w:t>
      </w:r>
      <w:r>
        <w:t xml:space="preserve"> Xue </w:t>
      </w:r>
      <w:r>
        <w:rPr>
          <w:rFonts w:hint="eastAsia"/>
        </w:rPr>
        <w:t>等</w:t>
      </w:r>
      <w:r>
        <w:t xml:space="preserve"> [32] </w:t>
      </w:r>
      <w:r>
        <w:rPr>
          <w:rFonts w:hint="eastAsia"/>
        </w:rPr>
        <w:t>的研究表明，事件驱动控制（</w:t>
      </w:r>
      <w:r>
        <w:rPr>
          <w:rFonts w:hint="eastAsia"/>
        </w:rPr>
        <w:t>ETC</w:t>
      </w:r>
      <w:r>
        <w:rPr>
          <w:rFonts w:hint="eastAsia"/>
        </w:rPr>
        <w:t>）通过按需更新机制，能够在状态越限或事件发生时才触发控制与通信，从而有效减少时间触发控制中的无效更新。进一步地，</w:t>
      </w:r>
      <w:r>
        <w:rPr>
          <w:rFonts w:hint="eastAsia"/>
        </w:rPr>
        <w:t>Fu</w:t>
      </w:r>
      <w:r>
        <w:t xml:space="preserve"> </w:t>
      </w:r>
      <w:r>
        <w:rPr>
          <w:rFonts w:hint="eastAsia"/>
        </w:rPr>
        <w:t>等</w:t>
      </w:r>
      <w:r>
        <w:t xml:space="preserve"> [14] </w:t>
      </w:r>
      <w:r>
        <w:rPr>
          <w:rFonts w:hint="eastAsia"/>
        </w:rPr>
        <w:t>提出了事件驱动深度强化学习控制方法</w:t>
      </w:r>
      <w:r>
        <w:t xml:space="preserve"> </w:t>
      </w:r>
      <w:r>
        <w:rPr>
          <w:rFonts w:hint="eastAsia"/>
        </w:rPr>
        <w:t>ED-DQN</w:t>
      </w:r>
      <w:r>
        <w:rPr>
          <w:rFonts w:hint="eastAsia"/>
        </w:rPr>
        <w:t>，将事件触发机制引入多区域住宅建筑</w:t>
      </w:r>
      <w:r>
        <w:t xml:space="preserve"> HVAC </w:t>
      </w:r>
      <w:r>
        <w:rPr>
          <w:rFonts w:hint="eastAsia"/>
        </w:rPr>
        <w:t>控制，使智能体仅在预设事件发生时更新控制动作，从而减少固定步长控制下的冗余决策。</w:t>
      </w:r>
      <w:r>
        <w:rPr>
          <w:rFonts w:hint="eastAsia"/>
        </w:rPr>
        <w:t>Liu</w:t>
      </w:r>
      <w:r>
        <w:t xml:space="preserve"> </w:t>
      </w:r>
      <w:r>
        <w:rPr>
          <w:rFonts w:hint="eastAsia"/>
        </w:rPr>
        <w:t>等</w:t>
      </w:r>
      <w:r>
        <w:t xml:space="preserve"> [33] </w:t>
      </w:r>
      <w:r>
        <w:rPr>
          <w:rFonts w:hint="eastAsia"/>
        </w:rPr>
        <w:t>指出，现有</w:t>
      </w:r>
      <w:r>
        <w:t xml:space="preserve"> ETC </w:t>
      </w:r>
      <w:r>
        <w:rPr>
          <w:rFonts w:hint="eastAsia"/>
        </w:rPr>
        <w:t>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[34][35]</w:t>
      </w:r>
      <w:r>
        <w:t>。</w:t>
      </w:r>
    </w:p>
    <w:p w14:paraId="699DCBD9" w14:textId="77777777" w:rsidR="00C2291B" w:rsidRDefault="00000000">
      <w:pPr>
        <w:pStyle w:val="a0"/>
      </w:pPr>
      <w:r>
        <w:t xml:space="preserve">As control strategies have evolved from rule-driven to data-driven methods, reducing redundant computation and actuator wear has become another key issue. Liu et al. [31] and Xue et al. [32] showed that event-triggered control (ETC) updates control and communication only when the state exceeds a threshold or a defined event occurs, thereby reducing unnecessary updates in TTC. Fu et al. [14]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[33] pointed out that ETC methods in practical deployment still rely heavily on expert-defined static threshold rules. Under non-stationary factors such as drift in building </w:t>
      </w:r>
      <w:r>
        <w:lastRenderedPageBreak/>
        <w:t>thermal characteristics, climate variation, and equipment aging, fixed thresholds usually cannot balance sensitivity and stability, which can lead to excessive triggering or delayed responses and thus weaken computational efficiency and comfort performance [34][35].</w:t>
      </w:r>
    </w:p>
    <w:p w14:paraId="65A22862" w14:textId="77777777" w:rsidR="00C2291B" w:rsidRDefault="00000000">
      <w:pPr>
        <w:pStyle w:val="a0"/>
      </w:pPr>
      <w:r>
        <w:rPr>
          <w:rFonts w:hint="eastAsia"/>
        </w:rPr>
        <w:t>基于上述研究进展，本文将</w:t>
      </w:r>
      <w:r>
        <w:t xml:space="preserve"> HVAC </w:t>
      </w:r>
      <w:r>
        <w:rPr>
          <w:rFonts w:hint="eastAsia"/>
        </w:rPr>
        <w:t>事件触发过程重构为在线无监督异常检测问题，并提出耦合动态门控与预测型强化学习的按需控制框架（</w:t>
      </w:r>
      <w:r>
        <w:rPr>
          <w:rFonts w:hint="eastAsia"/>
        </w:rPr>
        <w:t>ET-PRL</w:t>
      </w:r>
      <w:r>
        <w:rPr>
          <w:rFonts w:hint="eastAsia"/>
        </w:rPr>
        <w:t>）。与依赖静态规则的传统方法及现有</w:t>
      </w:r>
      <w:r>
        <w:t xml:space="preserve"> ETC </w:t>
      </w:r>
      <w:r>
        <w:rPr>
          <w:rFonts w:hint="eastAsia"/>
        </w:rPr>
        <w:t>方案相比，本文通过流式特征追踪与自适应阈值判定实现触发条件的动态更新，降低了对人工经验的依赖，并提升了对长期漂移的适应性。与固定步长强化学习不同，该框架进一步以事件驱动方式解耦决策时序，在削减冗余推理与设备磨损的同时，利用预测特征弥补稀疏控制带来的状态信息缺失，最终在真实建筑非平稳工况中实现控制性能与执行代价的有效折衷。</w:t>
      </w:r>
    </w:p>
    <w:p w14:paraId="18F42EAA" w14:textId="77777777" w:rsidR="00C2291B" w:rsidRDefault="00000000">
      <w:pPr>
        <w:pStyle w:val="a0"/>
      </w:pPr>
      <w:r>
        <w:t>Building on these studies, this paper reformulates HVAC event triggering as an online unsupervised anomaly detection problem and proposes ET-PRL, an on-demand framework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framework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6AAEFB49" w14:textId="77777777" w:rsidR="00C2291B" w:rsidRDefault="00000000">
      <w:pPr>
        <w:pStyle w:val="1"/>
      </w:pPr>
      <w:bookmarkStart w:id="8" w:name="方法"/>
      <w:bookmarkEnd w:id="7"/>
      <w:r>
        <w:t xml:space="preserve">3. </w:t>
      </w:r>
      <w:r>
        <w:rPr>
          <w:rFonts w:hint="eastAsia"/>
        </w:rPr>
        <w:t>方法</w:t>
      </w:r>
    </w:p>
    <w:p w14:paraId="55EAFCF4" w14:textId="77777777" w:rsidR="00C2291B" w:rsidRDefault="00000000">
      <w:pPr>
        <w:pStyle w:val="2"/>
      </w:pPr>
      <w:bookmarkStart w:id="9" w:name="总体框架"/>
      <w:r>
        <w:t xml:space="preserve">3.1 </w:t>
      </w:r>
      <w:r>
        <w:rPr>
          <w:rFonts w:hint="eastAsia"/>
        </w:rPr>
        <w:t>总体框架</w:t>
      </w:r>
    </w:p>
    <w:p w14:paraId="32F709E3" w14:textId="77777777" w:rsidR="00C2291B"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4A431CDC" w14:textId="77777777" w:rsidR="00C2291B" w:rsidRDefault="00000000">
      <w:pPr>
        <w:pStyle w:val="a0"/>
      </w:pPr>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this paper proposes ET-PRL, an on-demand control framework that couples streaming anomaly gating with DRL.</w:t>
      </w:r>
    </w:p>
    <w:p w14:paraId="0BB70422" w14:textId="77777777" w:rsidR="00C2291B" w:rsidRDefault="00000000">
      <w:pPr>
        <w:pStyle w:val="a0"/>
      </w:pPr>
      <w:r>
        <w:rPr>
          <w:rFonts w:hint="eastAsia"/>
        </w:rPr>
        <w:lastRenderedPageBreak/>
        <w:t>如图</w:t>
      </w:r>
      <w:r>
        <w:t xml:space="preserve"> 3 </w:t>
      </w:r>
      <w:r>
        <w:rPr>
          <w:rFonts w:hint="eastAsia"/>
        </w:rPr>
        <w:t>所示，</w:t>
      </w:r>
      <w:r>
        <w:rPr>
          <w:rFonts w:hint="eastAsia"/>
        </w:rPr>
        <w:t>ET-PRL</w:t>
      </w:r>
      <w:r>
        <w:t xml:space="preserve"> </w:t>
      </w:r>
      <w:r>
        <w:rPr>
          <w:rFonts w:hint="eastAsia"/>
        </w:rPr>
        <w:t>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14:paraId="07264886" w14:textId="77777777" w:rsidR="00C2291B" w:rsidRDefault="00000000">
      <w:pPr>
        <w:pStyle w:val="a0"/>
      </w:pPr>
      <w:r>
        <w:t>As shown in Fig. 3, the core idea of ET-PRL is to reduce unnecessary policy inference during steady periods through event triggering while keeping the control objectives and constraints unchanged, thereby achieving a better trade-off between computational cost and control performance. Unlike traditional schemes that identify events using fixed expert rules or offline trained classifiers, the framework adopts an unsupervised online gating strategy and dynamically determines trigger timing according to the statistical deviation of the system state distribution. The overall framework consists of the following three layers.</w:t>
      </w:r>
    </w:p>
    <w:p w14:paraId="62B8EAAF" w14:textId="77777777" w:rsidR="00C2291B" w:rsidRDefault="00000000">
      <w:pPr>
        <w:numPr>
          <w:ilvl w:val="0"/>
          <w:numId w:val="3"/>
        </w:numPr>
      </w:pPr>
      <w:r>
        <w:rPr>
          <w:rFonts w:hint="eastAsia"/>
          <w:b/>
          <w:bCs/>
        </w:rPr>
        <w:t>在线流式异常门控机制</w:t>
      </w:r>
      <w:r>
        <w:rPr>
          <w:rFonts w:hint="eastAsia"/>
        </w:rPr>
        <w:t>：面向长期运行中的概念漂移，构建无需离线训练的异常检测门控模块。该模块在线追踪状态的多尺度统计特征，并结合流式隔离深度与自适应阈值策略输出事件触发信号，实现控制事件的在线标定。</w:t>
      </w:r>
    </w:p>
    <w:p w14:paraId="6B1029A4" w14:textId="77777777" w:rsidR="00C2291B" w:rsidRDefault="00000000">
      <w:pPr>
        <w:numPr>
          <w:ilvl w:val="0"/>
          <w:numId w:val="1"/>
        </w:numPr>
      </w:pPr>
      <w:r>
        <w:rPr>
          <w:b/>
          <w:bCs/>
        </w:rPr>
        <w:t>Online streaming anomaly gating mechanism</w:t>
      </w:r>
      <w:r>
        <w:t>: To address concept drift during long-term operation, an anomaly detection gating module without offline training is constructed. The module tracks multi-scale statistical features of system states online and combines streaming isolation depth with an adaptive threshold strategy to generate event-triggering signals for online identification of control events.</w:t>
      </w:r>
    </w:p>
    <w:p w14:paraId="661A7242" w14:textId="77777777" w:rsidR="00C2291B" w:rsidRDefault="00000000">
      <w:pPr>
        <w:numPr>
          <w:ilvl w:val="0"/>
          <w:numId w:val="3"/>
        </w:numPr>
      </w:pPr>
      <w:r>
        <w:rPr>
          <w:rFonts w:hint="eastAsia"/>
          <w:b/>
          <w:bCs/>
        </w:rPr>
        <w:t>预测型全局强化学习网络</w:t>
      </w:r>
      <w:r>
        <w:rPr>
          <w:rFonts w:hint="eastAsia"/>
        </w:rPr>
        <w:t>：面向系统级能效优化与动作选择，采用轻量级深度</w:t>
      </w:r>
      <w:r>
        <w:t xml:space="preserve"> Q </w:t>
      </w:r>
      <w:r>
        <w:rPr>
          <w:rFonts w:hint="eastAsia"/>
        </w:rPr>
        <w:t>网络（</w:t>
      </w:r>
      <w:r>
        <w:rPr>
          <w:rFonts w:hint="eastAsia"/>
        </w:rPr>
        <w:t>DQN</w:t>
      </w:r>
      <w:r>
        <w:rPr>
          <w:rFonts w:hint="eastAsia"/>
        </w:rPr>
        <w:t>）学习控制策略。该网络仅在门控机制判定发生关键动态事件时被激活，以减少平稳阶段的冗余推理计算。</w:t>
      </w:r>
    </w:p>
    <w:p w14:paraId="1F9E4D95" w14:textId="77777777" w:rsidR="00C2291B" w:rsidRDefault="00000000">
      <w:pPr>
        <w:numPr>
          <w:ilvl w:val="0"/>
          <w:numId w:val="1"/>
        </w:numPr>
      </w:pPr>
      <w:r>
        <w:rPr>
          <w:b/>
          <w:bCs/>
        </w:rPr>
        <w:t>Predictive global reinforcement learning network</w:t>
      </w:r>
      <w:r>
        <w:t>: For system-level energy optimization and action selection, a lightweight DQN is used to learn the control policy. This network is activated only when the gating mechanism identifies a critical dynamic event, which reduces redundant inference during stable periods.</w:t>
      </w:r>
    </w:p>
    <w:p w14:paraId="17130D6C" w14:textId="77777777" w:rsidR="00C2291B" w:rsidRDefault="00000000">
      <w:pPr>
        <w:numPr>
          <w:ilvl w:val="0"/>
          <w:numId w:val="3"/>
        </w:numPr>
      </w:pPr>
      <w:r>
        <w:rPr>
          <w:rFonts w:hint="eastAsia"/>
          <w:b/>
          <w:bCs/>
        </w:rPr>
        <w:t>事件驱动执行与零阶保持</w:t>
      </w:r>
      <w:r>
        <w:rPr>
          <w:rFonts w:hint="eastAsia"/>
        </w:rPr>
        <w:t>：在边缘部署场景下，系统将状态感知、事件判别、策略推理与动作执行构建为低时延的闭环控制流程。在非触发时段，采用零阶保持器（</w:t>
      </w:r>
      <w:r>
        <w:rPr>
          <w:rFonts w:hint="eastAsia"/>
        </w:rPr>
        <w:t>Zero-Order</w:t>
      </w:r>
      <w:r>
        <w:t xml:space="preserve"> Hold, </w:t>
      </w:r>
      <w:r>
        <w:rPr>
          <w:rFonts w:hint="eastAsia"/>
        </w:rPr>
        <w:t>ZOH</w:t>
      </w:r>
      <w:r>
        <w:rPr>
          <w:rFonts w:hint="eastAsia"/>
        </w:rPr>
        <w:t>）维持上一时刻的控制指令，以降低控制切换频率并减小对执行机构与系统稳定性的不利影响。</w:t>
      </w:r>
    </w:p>
    <w:p w14:paraId="50F695DD" w14:textId="77777777" w:rsidR="00C2291B" w:rsidRDefault="00000000">
      <w:pPr>
        <w:numPr>
          <w:ilvl w:val="0"/>
          <w:numId w:val="1"/>
        </w:numPr>
      </w:pPr>
      <w:r>
        <w:rPr>
          <w:b/>
          <w:bCs/>
        </w:rPr>
        <w:t>Event-driven execution and zero-order hold</w:t>
      </w:r>
      <w:r>
        <w:t xml:space="preserve">: For edge deployment, the system organizes state sensing, event judgment, policy inference, and action execution into a low-latency closed-loop process. During non-triggered </w:t>
      </w:r>
      <w:r>
        <w:lastRenderedPageBreak/>
        <w:t>intervals, ZOH maintains the previous control command, thereby reducing control switching frequency and limiting adverse effects on actuators and system stability.</w:t>
      </w:r>
    </w:p>
    <w:p w14:paraId="1EE030E1" w14:textId="77777777" w:rsidR="00C2291B" w:rsidRDefault="00000000">
      <w:pPr>
        <w:pStyle w:val="aa"/>
      </w:pPr>
      <w:r>
        <w:rPr>
          <w:rFonts w:hint="eastAsia"/>
          <w:b/>
          <w:bCs/>
        </w:rPr>
        <w:t>图</w:t>
      </w:r>
      <w:r>
        <w:rPr>
          <w:b/>
          <w:bCs/>
        </w:rPr>
        <w:t xml:space="preserve"> 3 </w:t>
      </w:r>
      <w:r>
        <w:rPr>
          <w:rFonts w:hint="eastAsia"/>
          <w:b/>
          <w:bCs/>
        </w:rPr>
        <w:t>占位：</w:t>
      </w:r>
      <w:r>
        <w:rPr>
          <w:rFonts w:hint="eastAsia"/>
          <w:b/>
          <w:bCs/>
        </w:rPr>
        <w:t>ET-PRL</w:t>
      </w:r>
      <w:r>
        <w:rPr>
          <w:b/>
          <w:bCs/>
        </w:rPr>
        <w:t xml:space="preserve"> </w:t>
      </w:r>
      <w:r>
        <w:rPr>
          <w:rFonts w:hint="eastAsia"/>
          <w:b/>
          <w:bCs/>
        </w:rPr>
        <w:t>总体框架图</w:t>
      </w:r>
      <w:r>
        <w:t xml:space="preserve"> </w:t>
      </w:r>
      <w:r>
        <w:rPr>
          <w:b/>
          <w:bCs/>
        </w:rPr>
        <w:t>Figure 3 placeholder: Overall ET-PRL framework</w:t>
      </w:r>
    </w:p>
    <w:p w14:paraId="19BFE94E" w14:textId="77777777" w:rsidR="00C2291B" w:rsidRDefault="00000000">
      <w:pPr>
        <w:pStyle w:val="2"/>
      </w:pPr>
      <w:bookmarkStart w:id="10" w:name="基于流式特征追踪的动态事件触发机制设计"/>
      <w:bookmarkEnd w:id="9"/>
      <w:r>
        <w:t xml:space="preserve">3.2 </w:t>
      </w:r>
      <w:r>
        <w:rPr>
          <w:rFonts w:hint="eastAsia"/>
        </w:rPr>
        <w:t>基于流式特征追踪的动态事件触发机制设计</w:t>
      </w:r>
    </w:p>
    <w:p w14:paraId="72660656" w14:textId="77777777" w:rsidR="00C2291B" w:rsidRDefault="00000000">
      <w:pPr>
        <w:pStyle w:val="FirstParagraph"/>
      </w:pPr>
      <w:r>
        <w:rPr>
          <w:rFonts w:hint="eastAsia"/>
        </w:rPr>
        <w:t>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14:paraId="4F0E0980" w14:textId="77777777" w:rsidR="00C2291B" w:rsidRDefault="00000000">
      <w:pPr>
        <w:pStyle w:val="a0"/>
      </w:pPr>
      <w:r>
        <w:t>This paper reformulates critical event identification as an online anomaly detection problem. The main rationale is that, in control terms, critical events correspond to abrupt operating changes that require immediate policy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688F61DE" w14:textId="77777777" w:rsidR="00C2291B" w:rsidRDefault="00000000">
      <w:pPr>
        <w:pStyle w:val="a0"/>
      </w:pPr>
      <w:r>
        <w:rPr>
          <w:rFonts w:hint="eastAsia"/>
        </w:rPr>
        <w:t>设门控状态为</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hint="eastAsia"/>
        </w:rPr>
        <w:t>，事件标签为</w:t>
      </w:r>
      <w:r>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t xml:space="preserve"> </w:t>
      </w:r>
      <m:oMath>
        <m:r>
          <w:rPr>
            <w:rFonts w:ascii="Cambria Math" w:hAnsi="Cambria Math"/>
          </w:rPr>
          <m:t>t</m:t>
        </m:r>
      </m:oMath>
      <w:r>
        <w:t xml:space="preserve"> </w:t>
      </w:r>
      <w:r>
        <w:rPr>
          <w:rFonts w:hint="eastAsia"/>
        </w:rPr>
        <w:t>的常态参考分布记为</w:t>
      </w:r>
      <w:r>
        <w:t xml:space="preserve">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rPr>
          <w:rFonts w:hint="eastAsia"/>
        </w:rPr>
        <w:t>。定义事件集合</w:t>
      </w:r>
    </w:p>
    <w:p w14:paraId="5FAA70D7" w14:textId="77777777" w:rsidR="00C2291B"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28B7D73A" w14:textId="77777777" w:rsidR="00C2291B" w:rsidRDefault="00000000">
      <w:pPr>
        <w:pStyle w:val="FirstParagraph"/>
      </w:pPr>
      <w:r>
        <w:rPr>
          <w:rFonts w:hint="eastAsia"/>
        </w:rPr>
        <w:t>其中，</w:t>
      </w:r>
      <m:oMath>
        <m:r>
          <w:rPr>
            <w:rFonts w:ascii="Cambria Math" w:hAnsi="Cambria Math"/>
          </w:rPr>
          <m:t>d</m:t>
        </m:r>
        <m:r>
          <m:rPr>
            <m:sty m:val="p"/>
          </m:rPr>
          <w:rPr>
            <w:rFonts w:ascii="Cambria Math" w:hAnsi="Cambria Math"/>
          </w:rPr>
          <m:t>(⋅)</m:t>
        </m:r>
      </m:oMath>
      <w:r>
        <w:t xml:space="preserve"> </w:t>
      </w:r>
      <w:r>
        <w:rPr>
          <w:rFonts w:hint="eastAsia"/>
        </w:rPr>
        <w:t>为分布偏离度量，</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为判别阈值。上述定义表明，事件识别本质上是对是否偏离常态区域的二值判定；当状态进入高偏离区域时触发策略更新，否则维持当前控制节奏。</w:t>
      </w:r>
    </w:p>
    <w:p w14:paraId="2FC88DDC" w14:textId="77777777" w:rsidR="00C2291B" w:rsidRDefault="00000000">
      <w:pPr>
        <w:pStyle w:val="a0"/>
      </w:pPr>
      <w:r>
        <w:t xml:space="preserve">Let the gating state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w:t>
      </w:r>
    </w:p>
    <w:p w14:paraId="3BF6F6D5" w14:textId="77777777" w:rsidR="00C2291B"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0C680EEA" w14:textId="77777777" w:rsidR="00C2291B" w:rsidRDefault="00000000">
      <w:pPr>
        <w:pStyle w:val="FirstParagraph"/>
      </w:pPr>
      <w:r>
        <w:t xml:space="preserve">where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policy is updated when the state enters a high-deviation region; otherwise, the current control pace is maintained.</w:t>
      </w:r>
    </w:p>
    <w:p w14:paraId="0F10F011" w14:textId="77777777" w:rsidR="00C2291B" w:rsidRDefault="00000000">
      <w:pPr>
        <w:pStyle w:val="a0"/>
      </w:pPr>
      <w:r>
        <w:rPr>
          <w:rFonts w:hint="eastAsia"/>
        </w:rPr>
        <w:t>为将分布偏离检验转化为可流式更新的标量判据，本文采用异常分数函数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作为偏离度代理，并将集合判别转化为可计算的阈值比较：</w:t>
      </w:r>
    </w:p>
    <w:p w14:paraId="17D6737A"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1918C4BF" w14:textId="77777777" w:rsidR="00C2291B" w:rsidRDefault="00000000">
      <w:pPr>
        <w:pStyle w:val="FirstParagraph"/>
      </w:pPr>
      <w:r>
        <w:rPr>
          <w:rFonts w:hint="eastAsia"/>
        </w:rPr>
        <w:lastRenderedPageBreak/>
        <w:t>其中，</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越大表示偏离常态程度越高，</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为触发阈值。该形式具有两点优势：一是可与流式统计量直接耦合，支持逐步更新；二是便于与后续门控逻辑统一，实现由异常评分到触发决策的端到端建模与实现。</w:t>
      </w:r>
    </w:p>
    <w:p w14:paraId="66409A6B" w14:textId="77777777" w:rsidR="00C2291B" w:rsidRDefault="00000000">
      <w:pPr>
        <w:pStyle w:val="a0"/>
      </w:pPr>
      <w:r>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proxy for deviation, and the set-based rule is converted into a computable threshold comparison.</w:t>
      </w:r>
    </w:p>
    <w:p w14:paraId="5770DC34"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1FBC8EDC" w14:textId="77777777" w:rsidR="00C2291B"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This form has two advantages. First, it can be directly coupled with streaming statistics and updated step by step. Second, it is naturally consistent with the subsequent gating logic and enables end-to-end modeling and implementation from anomaly scoring to trigger decision.</w:t>
      </w:r>
    </w:p>
    <w:p w14:paraId="1FC14AD7" w14:textId="77777777" w:rsidR="00C2291B" w:rsidRDefault="00000000">
      <w:pPr>
        <w:pStyle w:val="a0"/>
      </w:pPr>
      <w:r>
        <w:rPr>
          <w:rFonts w:hint="eastAsia"/>
        </w:rPr>
        <w:t>考虑</w:t>
      </w:r>
      <w:r>
        <w:t xml:space="preserve"> HVAC </w:t>
      </w:r>
      <w:r>
        <w:rPr>
          <w:rFonts w:hint="eastAsia"/>
        </w:rPr>
        <w:t>长周期运行中的气象扰动、设备老化与负荷行为漂移所导致的非平稳性，本文不采用固定阈值，而采用流式自适应更新机制：</w:t>
      </w:r>
    </w:p>
    <w:p w14:paraId="5560E76E"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019B5230" w14:textId="77777777" w:rsidR="00C2291B" w:rsidRDefault="00000000">
      <w:pPr>
        <w:pStyle w:val="FirstParagraph"/>
      </w:pPr>
      <w:r>
        <w:rPr>
          <w:rFonts w:hint="eastAsia"/>
        </w:rPr>
        <w:t>其中，</w:t>
      </w:r>
      <m:oMath>
        <m:r>
          <m:rPr>
            <m:sty m:val="p"/>
          </m:rPr>
          <w:rPr>
            <w:rFonts w:ascii="Cambria Math" w:hAnsi="Cambria Math"/>
          </w:rPr>
          <m:t>Φ(⋅)</m:t>
        </m:r>
      </m:oMath>
      <w:r>
        <w:t xml:space="preserve"> </w:t>
      </w:r>
      <w:r>
        <w:rPr>
          <w:rFonts w:hint="eastAsia"/>
        </w:rPr>
        <w:t>表示由历史异常分数驱动的阈值更新算子。该设计用于在灵敏性与稳定性之间取得平衡：在扰动增强时提高事件覆盖率，在平稳区间抑制冗余触发，从而降低误触发与漏触发风险。</w:t>
      </w:r>
    </w:p>
    <w:p w14:paraId="3EACAC24" w14:textId="77777777" w:rsidR="00C2291B" w:rsidRDefault="00000000">
      <w:pPr>
        <w:pStyle w:val="a0"/>
      </w:pPr>
      <w:r>
        <w:t>Considering the non-stationarity caused by weather disturbances, equipment aging, and load behavior drift during long-term HVAC operation, the threshold is updated through a streaming adaptive mechanism rather than kept fixed:</w:t>
      </w:r>
    </w:p>
    <w:p w14:paraId="0154BD78"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2AF5621D" w14:textId="77777777" w:rsidR="00C2291B" w:rsidRDefault="00000000">
      <w:pPr>
        <w:pStyle w:val="FirstParagraph"/>
      </w:pPr>
      <w:r>
        <w:t xml:space="preserve">where </w:t>
      </w:r>
      <m:oMath>
        <m:r>
          <m:rPr>
            <m:sty m:val="p"/>
          </m:rPr>
          <w:rPr>
            <w:rFonts w:ascii="Cambria Math" w:hAnsi="Cambria Math"/>
          </w:rPr>
          <m:t>Φ(⋅)</m:t>
        </m:r>
      </m:oMath>
      <w:r>
        <w:t xml:space="preserve"> denotes the threshold update operator driven by historical anomaly scores. This design is intended to balance sensitivity and stability. It increases event coverage when disturbances intensify and suppresses redundant triggering during steady periods, thereby reducing the risk of false triggers and missed triggers.</w:t>
      </w:r>
    </w:p>
    <w:p w14:paraId="22C1AAE2" w14:textId="77777777" w:rsidR="00C2291B" w:rsidRDefault="00000000">
      <w:pPr>
        <w:numPr>
          <w:ilvl w:val="0"/>
          <w:numId w:val="4"/>
        </w:numPr>
      </w:pPr>
      <w:r>
        <w:rPr>
          <w:rFonts w:hint="eastAsia"/>
        </w:rPr>
        <w:t>门控输入特征定义</w:t>
      </w:r>
    </w:p>
    <w:p w14:paraId="7AC575DB" w14:textId="77777777" w:rsidR="00C2291B" w:rsidRDefault="00000000">
      <w:pPr>
        <w:numPr>
          <w:ilvl w:val="0"/>
          <w:numId w:val="4"/>
        </w:numPr>
      </w:pPr>
      <w:r>
        <w:t>Definition of Gating Input Features</w:t>
      </w:r>
    </w:p>
    <w:p w14:paraId="04473B46" w14:textId="77777777" w:rsidR="00C2291B" w:rsidRDefault="00000000">
      <w:pPr>
        <w:pStyle w:val="FirstParagraph"/>
      </w:pPr>
      <w:r>
        <w:rPr>
          <w:rFonts w:hint="eastAsia"/>
        </w:rPr>
        <w:t>为保证门控判定与控制状态建模在物理语义与符号层面的一致性，本文将事件门控模块的输入定义为紧凑的三维特征向量：</w:t>
      </w:r>
    </w:p>
    <w:p w14:paraId="3BB9AD18"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5D324231" w14:textId="77777777" w:rsidR="00C2291B"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p>
    <w:p w14:paraId="6C222EC9" w14:textId="77777777" w:rsidR="00C2291B" w:rsidRDefault="00000000">
      <w:pPr>
        <w:pStyle w:val="a0"/>
      </w:pPr>
      <w:r>
        <w:lastRenderedPageBreak/>
        <w:t>To keep the physical meaning and notation consistent between event gating and control state modeling, the input to the event gating module is defined as a compact three-dimensional feature vector:</w:t>
      </w:r>
    </w:p>
    <w:p w14:paraId="7669BED1"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51CA440C" w14:textId="77777777" w:rsidR="00C2291B" w:rsidRDefault="00000000">
      <w:pPr>
        <w:pStyle w:val="FirstParagraph"/>
      </w:pPr>
      <w:r>
        <w:t xml:space="preserve">where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at the current time step,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57A15E65" w14:textId="77777777" w:rsidR="00C2291B" w:rsidRDefault="00000000">
      <w:pPr>
        <w:pStyle w:val="a0"/>
      </w:pPr>
      <w:r>
        <w:rPr>
          <w:rFonts w:hint="eastAsia"/>
        </w:rPr>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可作为刻画外生气象扰动强度与方向的关键状态量，从而提升门控机制对环境非平稳变化的识别能力。</w:t>
      </w:r>
    </w:p>
    <w:p w14:paraId="64AF20F4" w14:textId="77777777" w:rsidR="00C2291B" w:rsidRDefault="00000000">
      <w:pPr>
        <w:pStyle w:val="a0"/>
      </w:pPr>
      <w:r>
        <w:t xml:space="preserve">The main reason for including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this variable reflects both ambient temperature and humidity, and directly constrains cooling tower heat transfer performance and the upper limit of system heat rejection. Therefore,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serves as a key state variable for characterizing the intensity and direction of exogenous weather disturbances, which improves the ability of the gating mechanism to detect non-stationary environmental changes.</w:t>
      </w:r>
    </w:p>
    <w:p w14:paraId="2D902FCC" w14:textId="77777777" w:rsidR="00C2291B" w:rsidRDefault="00000000">
      <w:pPr>
        <w:pStyle w:val="a0"/>
      </w:pPr>
      <w:r>
        <w:rPr>
          <w:rFonts w:hint="eastAsia"/>
        </w:rPr>
        <w:t>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14:paraId="0F8661F4" w14:textId="77777777" w:rsidR="00C2291B" w:rsidRDefault="00000000">
      <w:pPr>
        <w:pStyle w:val="a0"/>
      </w:pPr>
      <w:r>
        <w:t xml:space="preserve">In addition,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is introduced because building thermal systems exhibit strong thermal inertia and control delay. If gating relies only on current observations, trigger decisions usually lag behind operating changes. By incorporating one-step-ahead load information, the gating module can sense rising or falling load trends earlier and trigger policy updates sooner during critical transitions, thereby reducing the risk of delayed response under sparse triggering.</w:t>
      </w:r>
    </w:p>
    <w:p w14:paraId="31689400" w14:textId="77777777" w:rsidR="00C2291B" w:rsidRDefault="00000000">
      <w:pPr>
        <w:pStyle w:val="a0"/>
      </w:pPr>
      <w:r>
        <w:rPr>
          <w:rFonts w:hint="eastAsia"/>
        </w:rPr>
        <w:t>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w:t>
      </w:r>
    </w:p>
    <w:p w14:paraId="14028CFC" w14:textId="77777777" w:rsidR="00C2291B" w:rsidRDefault="00000000">
      <w:pPr>
        <w:pStyle w:val="a0"/>
      </w:pPr>
      <w:r>
        <w:t>To preserve representation capability while controlling feature dimension and supporting real-time online gating, no additional variables such as pipe network flow rate or return water temperature are included. The reason is that online anomaly detection in high-dimensional spaces is prone to sample sparsity and distance degradation, which weakens the stability of statistical discrimination and increases computational cost.</w:t>
      </w:r>
    </w:p>
    <w:p w14:paraId="40E74FE0" w14:textId="77777777" w:rsidR="00C2291B" w:rsidRDefault="00000000">
      <w:pPr>
        <w:numPr>
          <w:ilvl w:val="0"/>
          <w:numId w:val="5"/>
        </w:numPr>
      </w:pPr>
      <w:r>
        <w:rPr>
          <w:rFonts w:hint="eastAsia"/>
        </w:rPr>
        <w:t>流式隔离深度与多尺度异常追踪</w:t>
      </w:r>
    </w:p>
    <w:p w14:paraId="04F0244A" w14:textId="77777777" w:rsidR="00C2291B" w:rsidRDefault="00000000">
      <w:pPr>
        <w:numPr>
          <w:ilvl w:val="0"/>
          <w:numId w:val="5"/>
        </w:numPr>
      </w:pPr>
      <w:r>
        <w:lastRenderedPageBreak/>
        <w:t>Streaming Isolation Depth and Multi-Scale Anomaly Tracking</w:t>
      </w:r>
    </w:p>
    <w:p w14:paraId="0BACCB2E" w14:textId="77777777" w:rsidR="00C2291B" w:rsidRDefault="00000000">
      <w:pPr>
        <w:pStyle w:val="FirstParagraph"/>
      </w:pPr>
      <w:r>
        <w:rPr>
          <w:rFonts w:hint="eastAsia"/>
        </w:rPr>
        <w:t>传统离线异常检测通常依赖静态样本库，在季节性工况漂移场景下稳定性受限。为此，本文采用流式隔离深度机制，对在线到达的门控输入特征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7EFB6233" w14:textId="77777777" w:rsidR="00C2291B" w:rsidRDefault="00000000">
      <w:pPr>
        <w:pStyle w:val="a0"/>
      </w:pPr>
      <w:r>
        <w:t xml:space="preserve">Traditional offline anomaly detection usually depends on a static sample library and is less stable under seasonal operating drift. To address this issue, a streaming isolation depth mechanism is used to score anomalies of the online gating input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isolation level. A shorter path means the sample is easier to isolate and therefore more likely to be anomalous. This mechanism can adapt to distribution changes online without retraining a global model.</w:t>
      </w:r>
    </w:p>
    <w:p w14:paraId="0CF32B1A" w14:textId="77777777" w:rsidR="00C2291B" w:rsidRDefault="00000000">
      <w:pPr>
        <w:pStyle w:val="a0"/>
      </w:pPr>
      <w:r>
        <w:rPr>
          <w:rFonts w:hint="eastAsia"/>
        </w:rPr>
        <w:t>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67C93F90"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2E985D37" w14:textId="77777777" w:rsidR="00C2291B" w:rsidRDefault="00000000">
      <w:pPr>
        <w:pStyle w:val="FirstParagraph"/>
      </w:pPr>
      <w:r>
        <w:rPr>
          <w:rFonts w:hint="eastAsia"/>
        </w:rPr>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263CE205"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08B7A7E5" w14:textId="77777777" w:rsidR="00C2291B" w:rsidRDefault="00000000">
      <w:pPr>
        <w:pStyle w:val="FirstParagraph"/>
      </w:pPr>
      <w:r>
        <w:t xml:space="preserve">Each isolation tree isolates data points by recursively selecting random features and split points. For an input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w:t>
      </w:r>
    </w:p>
    <w:p w14:paraId="08B0BA03"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7EDCB2F1" w14:textId="77777777" w:rsidR="00C2291B" w:rsidRDefault="00000000">
      <w:pPr>
        <w:pStyle w:val="FirstParagraph"/>
      </w:pPr>
      <w:r>
        <w:t xml:space="preserve">This quantity is further converted into a normalized anomaly score,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73C9CE0B"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1FF27E00" w14:textId="77777777" w:rsidR="00C2291B"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34D87F2C" w14:textId="77777777" w:rsidR="00C2291B" w:rsidRDefault="00000000">
      <w:pPr>
        <w:pStyle w:val="a0"/>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This formulation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When a data point is easy to isolate, the path length is short and the score approaches 1. When it is hard to isolate, the path length is long and the score approaches 0.</w:t>
      </w:r>
    </w:p>
    <w:p w14:paraId="70938529" w14:textId="77777777" w:rsidR="00C2291B" w:rsidRDefault="00000000">
      <w:pPr>
        <w:pStyle w:val="a0"/>
      </w:pPr>
      <w:r>
        <w:rPr>
          <w:rFonts w:hint="eastAsia"/>
        </w:rPr>
        <w:t>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。在各窗口上独立应用隔离树算法，并在每个时刻输出对应尺度的异常分数。记</w:t>
      </w:r>
      <w:r>
        <w:t xml:space="preserve"> </w:t>
      </w:r>
      <m:oMath>
        <m:r>
          <w:rPr>
            <w:rFonts w:ascii="Cambria Math" w:hAnsi="Cambria Math"/>
          </w:rPr>
          <m:t>κ</m:t>
        </m:r>
        <m:r>
          <m:rPr>
            <m:sty m:val="p"/>
          </m:rPr>
          <w:rPr>
            <w:rFonts w:ascii="Cambria Math" w:hAnsi="Cambria Math"/>
          </w:rPr>
          <m:t>∈{short,medium,long}</m:t>
        </m:r>
      </m:oMath>
      <w:r>
        <w:rPr>
          <w:rFonts w:hint="eastAsia"/>
        </w:rPr>
        <w:t>，对应窗口规模记为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κ</m:t>
            </m:r>
          </m:sub>
        </m:sSub>
      </m:oMath>
      <w:r>
        <w:rPr>
          <w:rFonts w:hint="eastAsia"/>
        </w:rPr>
        <w:t>，则有</w:t>
      </w:r>
    </w:p>
    <w:p w14:paraId="66686F5A"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4F84BA78" w14:textId="77777777" w:rsidR="00C2291B" w:rsidRDefault="00000000">
      <w:pPr>
        <w:pStyle w:val="FirstParagraph"/>
      </w:pPr>
      <w:r>
        <w:rPr>
          <w:rFonts w:hint="eastAsia"/>
        </w:rPr>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31F26137" w14:textId="77777777" w:rsidR="00C2291B"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3A8849BB" w14:textId="77777777" w:rsidR="00C2291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1981611B" w14:textId="77777777" w:rsidR="00C2291B" w:rsidRDefault="00000000">
      <w:pPr>
        <w:pStyle w:val="a0"/>
      </w:pPr>
      <w:r>
        <w:t xml:space="preserve">The algorithm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corresponding window size. The corresponding scale-specific anomaly score is given by:</w:t>
      </w:r>
    </w:p>
    <w:p w14:paraId="1376F7F1"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561295B1" w14:textId="77777777" w:rsidR="00C2291B"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w:t>
      </w:r>
    </w:p>
    <w:p w14:paraId="22058989" w14:textId="77777777" w:rsidR="00C2291B"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497A0544" w14:textId="77777777" w:rsidR="00C2291B" w:rsidRDefault="00000000">
      <w:pPr>
        <w:pStyle w:val="FirstParagraph"/>
      </w:pPr>
      <w:r>
        <w:lastRenderedPageBreak/>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6928D9E4" w14:textId="77777777" w:rsidR="00C2291B" w:rsidRDefault="00000000">
      <w:pPr>
        <w:pStyle w:val="a0"/>
      </w:pPr>
      <w:r>
        <w:rPr>
          <w:rFonts w:hint="eastAsia"/>
        </w:rPr>
        <w:t>采用多尺度融合的原因在于，建筑</w:t>
      </w:r>
      <w:r>
        <w:t xml:space="preserve"> HVAC </w:t>
      </w:r>
      <w:r>
        <w:rPr>
          <w:rFonts w:hint="eastAsia"/>
        </w:rPr>
        <w:t>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14:paraId="5F3BF803" w14:textId="77777777" w:rsidR="00C2291B" w:rsidRDefault="00000000">
      <w:pPr>
        <w:pStyle w:val="a0"/>
      </w:pPr>
      <w:r>
        <w:t>Multi-scale fusion is used because building HVAC systems are typically influenced at the same time by short-term disturbances, intraday periodic changes, and long-term slow drift. If only short-term scores are used, the gating mechanism can respond quickly to local changes such as crowd gathering and equipment start-stop events, but it is also more sensitive to high-frequency sensor noise and normal transient fluctuations, which may increase trigger frequency. If only long-term scores are used, the historical reference baseline becomes more robust, but the response to sudden thermal disturbances may be insufficient. If only short-term and medium-term scores are combined, slow processes caused by seasonal transition, equipment aging, or drift in structural thermal resistance are still difficult to capture. Therefore, the weighted fusion of short, medium, and long time scales jointly supports disturbance detection, periodic pattern representation, and long-term baseline tracking, which improves the adaptability and robustness of the gating mechanism in non-stationary scenarios.</w:t>
      </w:r>
    </w:p>
    <w:p w14:paraId="1AA6726B" w14:textId="77777777" w:rsidR="00C2291B" w:rsidRDefault="00000000">
      <w:pPr>
        <w:numPr>
          <w:ilvl w:val="0"/>
          <w:numId w:val="6"/>
        </w:numPr>
      </w:pPr>
      <w:r>
        <w:rPr>
          <w:rFonts w:hint="eastAsia"/>
        </w:rPr>
        <w:t>流式双层自适应阈值优化</w:t>
      </w:r>
    </w:p>
    <w:p w14:paraId="7E8038DA" w14:textId="77777777" w:rsidR="00C2291B" w:rsidRDefault="00000000">
      <w:pPr>
        <w:numPr>
          <w:ilvl w:val="0"/>
          <w:numId w:val="6"/>
        </w:numPr>
      </w:pPr>
      <w:r>
        <w:t>Streaming Two-Level Adaptive Threshold Optimization</w:t>
      </w:r>
    </w:p>
    <w:p w14:paraId="1811F610" w14:textId="77777777" w:rsidR="00C2291B" w:rsidRDefault="00000000">
      <w:pPr>
        <w:pStyle w:val="FirstParagraph"/>
      </w:pPr>
      <w:r>
        <w:rPr>
          <w:rFonts w:hint="eastAsia"/>
        </w:rPr>
        <w:t>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14:paraId="041988D3" w14:textId="77777777" w:rsidR="00C2291B" w:rsidRDefault="00000000">
      <w:pPr>
        <w:pStyle w:val="a0"/>
      </w:pPr>
      <w:r>
        <w:t xml:space="preserve">To convert continuous anomaly scores into robust control triggering decisions, a two-level adaptive dynamic threshold mechanism with local and global thresholds is constructed. If the gating system relies only on a fixed threshold or on an adaptive threshold with a single update rate, it easily faces a trade-off between sensitivity and stability. If the threshold updates too fast, it can be heavily disturbed by recent </w:t>
      </w:r>
      <w:r>
        <w:lastRenderedPageBreak/>
        <w:t>abnormal data, oscillate sharply, and mask subsequent true anomalies. If it updates too slowly, it may remain exceeded for a long period when the operating regime shifts as a whole, leading to frequent false triggers and unnecessary use of computational resources. To overcome these limitations, a coupled adaptive monitoring structure with a fast local threshold and a slow global threshold is introduced.</w:t>
      </w:r>
    </w:p>
    <w:p w14:paraId="62A2C54A" w14:textId="77777777" w:rsidR="00C2291B" w:rsidRDefault="00000000">
      <w:pPr>
        <w:pStyle w:val="a0"/>
      </w:pPr>
      <w:r>
        <w:rPr>
          <w:rFonts w:hint="eastAsia"/>
        </w:rPr>
        <w:t>设最近</w:t>
      </w:r>
      <w:r>
        <w:t xml:space="preserve"> </w:t>
      </w:r>
      <m:oMath>
        <m:r>
          <w:rPr>
            <w:rFonts w:ascii="Cambria Math" w:hAnsi="Cambria Math"/>
          </w:rPr>
          <m:t>W</m:t>
        </m:r>
      </m:oMath>
      <w:r>
        <w:t xml:space="preserve"> </w:t>
      </w:r>
      <w:r>
        <w:rPr>
          <w:rFonts w:hint="eastAsia"/>
        </w:rPr>
        <w:t>个异常分数组成滑动历史窗口集合</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。阈值估计的核心目标是在含噪非平稳流式数据中持续提取稳定且可迁移的判别基线。相较于易受异常离群点影响的传统均值和标准差，本模块优先提取反映非参数分布特性的稳健分位数阈值与鲁棒统计阈值：</w:t>
      </w:r>
    </w:p>
    <w:p w14:paraId="1977A265"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1D9DAF7F" w14:textId="77777777" w:rsidR="00C2291B"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m:oMathPara>
    </w:p>
    <w:p w14:paraId="45625475" w14:textId="77777777" w:rsidR="00C2291B"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表示集合的高分位点；</w:t>
      </w:r>
      <m:oMath>
        <m:r>
          <m:rPr>
            <m:sty m:val="p"/>
          </m:rPr>
          <w:rPr>
            <w:rFonts w:ascii="Cambria Math" w:hAnsi="Cambria Math"/>
          </w:rPr>
          <m:t>med(⋅)</m:t>
        </m:r>
      </m:oMath>
      <w:r>
        <w:t xml:space="preserve"> </w:t>
      </w:r>
      <w:r>
        <w:rPr>
          <w:rFonts w:hint="eastAsia"/>
        </w:rPr>
        <w:t>为中位数函数；绝对中位差（</w:t>
      </w:r>
      <m:oMath>
        <m:r>
          <m:rPr>
            <m:sty m:val="p"/>
          </m:rPr>
          <w:rPr>
            <w:rFonts w:ascii="Cambria Math" w:hAnsi="Cambria Math"/>
          </w:rPr>
          <m:t>MAD</m:t>
        </m:r>
      </m:oMath>
      <w:r>
        <w:rPr>
          <w:rFonts w:hint="eastAsia"/>
        </w:rPr>
        <w:t>）的作用在于消除潜在持续型异常对系统离散程度估计的偏差干扰，以维持真实的稳健基线；</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为保证渐近无偏估计的分布一致性常数。上述构造的理论依据在于：分位数估计主要提供阈值位置的鲁棒锚点，而</w:t>
      </w:r>
      <w:r>
        <w:t xml:space="preserve"> </w:t>
      </w:r>
      <m:oMath>
        <m:r>
          <m:rPr>
            <m:sty m:val="p"/>
          </m:rPr>
          <w:rPr>
            <w:rFonts w:ascii="Cambria Math" w:hAnsi="Cambria Math"/>
          </w:rPr>
          <m:t>MAD</m:t>
        </m:r>
      </m:oMath>
      <w:r>
        <w:t xml:space="preserve"> </w:t>
      </w:r>
      <w:r>
        <w:rPr>
          <w:rFonts w:hint="eastAsia"/>
        </w:rPr>
        <w:t>提供尺度层面的鲁棒校正，两者融合可同时约束位置漂移与尺度膨胀带来的阈值失真。基于此，局部候选阈值由二者加权融合得到：</w:t>
      </w:r>
    </w:p>
    <w:p w14:paraId="684EE49E"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5A5729E" w14:textId="77777777" w:rsidR="00C2291B" w:rsidRDefault="00000000">
      <w:pPr>
        <w:pStyle w:val="FirstParagraph"/>
      </w:pPr>
      <w:r>
        <w:t xml:space="preserve">Let the sliding historical window of the most recent </w:t>
      </w:r>
      <m:oMath>
        <m:r>
          <w:rPr>
            <w:rFonts w:ascii="Cambria Math" w:hAnsi="Cambria Math"/>
          </w:rPr>
          <m:t>W</m:t>
        </m:r>
      </m:oMath>
      <w:r>
        <w:t xml:space="preserve"> anomaly scores be denoted by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The main goal of threshold estimation is to continually extract a stable and transferable decision baseline from noisy and non-stationary streaming data. Compared with the conventional mean and standard deviation, which are sensitive to anomalous outliers, this module gives priority to a robust quantile threshold and a robust statistical threshold that reflect nonparametric distribution characteristics.</w:t>
      </w:r>
    </w:p>
    <w:p w14:paraId="272ADC7C"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325946A8" w14:textId="77777777" w:rsidR="00C2291B"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m:oMathPara>
    </w:p>
    <w:p w14:paraId="25F86B0E" w14:textId="77777777" w:rsidR="00C2291B" w:rsidRDefault="00000000">
      <w:pPr>
        <w:pStyle w:val="FirstParagraph"/>
      </w:pPr>
      <w:r>
        <w:t xml:space="preserve">where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denotes the high quantile of the set, and </w:t>
      </w:r>
      <m:oMath>
        <m:r>
          <m:rPr>
            <m:sty m:val="p"/>
          </m:rPr>
          <w:rPr>
            <w:rFonts w:ascii="Cambria Math" w:hAnsi="Cambria Math"/>
          </w:rPr>
          <m:t>med(⋅)</m:t>
        </m:r>
      </m:oMath>
      <w:r>
        <w:t xml:space="preserve"> is the median function. The median absolute deviation, </w:t>
      </w:r>
      <m:oMath>
        <m:r>
          <m:rPr>
            <m:sty m:val="p"/>
          </m:rPr>
          <w:rPr>
            <w:rFonts w:ascii="Cambria Math" w:hAnsi="Cambria Math"/>
          </w:rPr>
          <m:t>MAD</m:t>
        </m:r>
      </m:oMath>
      <w:r>
        <w:t xml:space="preserve">, reduces the bias introduced by potential persistent anomalies in the estimate of dispersion and helps preserve a reliable robust baseline.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used to ensure asymptotically unbiased estimation. The rationale is that the quantile estimate provides a robust anchor for threshold location, while </w:t>
      </w:r>
      <m:oMath>
        <m:r>
          <m:rPr>
            <m:sty m:val="p"/>
          </m:rPr>
          <w:rPr>
            <w:rFonts w:ascii="Cambria Math" w:hAnsi="Cambria Math"/>
          </w:rPr>
          <m:t>MAD</m:t>
        </m:r>
      </m:oMath>
      <w:r>
        <w:t xml:space="preserve"> provides a robust correction for scale. Their combination constrains threshold </w:t>
      </w:r>
      <w:r>
        <w:lastRenderedPageBreak/>
        <w:t>distortion caused by both location shift and scale inflation. Based on this, the local candidate threshold is obtained by a weighted fusion of the two terms.</w:t>
      </w:r>
    </w:p>
    <w:p w14:paraId="462FD1A0"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389C34A" w14:textId="77777777" w:rsidR="00C2291B"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为加权系数。该系数本质上控制分位数主导与尺度修正主导之间的权衡：</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增大时阈值更侧重位置稳健性，</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减小时阈值更敏感于离散程度变化。考虑到单步工况跳变可能带来的高频瞬态波动，系统不直接采纳单次候选值，而是引入一阶离散低通滤波对其进行局部平滑：</w:t>
      </w:r>
    </w:p>
    <w:p w14:paraId="4715B165"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26433C6B" w14:textId="77777777" w:rsidR="00C2291B" w:rsidRDefault="00000000">
      <w:pPr>
        <w:pStyle w:val="FirstParagraph"/>
      </w:pPr>
      <w:r>
        <w:rPr>
          <w:rFonts w:hint="eastAsia"/>
        </w:rPr>
        <w:t>式中，局部平滑更新率</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能够在抑制短时噪声震荡的同时，使快变阈值保持对工况模式切换的快速跟踪。较大的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对新样本赋予更高权重，有利于缩短阈值跟踪时滞；较小的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则可增强对短时脉冲噪声的抑制能力。由此，局部阈值承担快速适配当前工况的功能。在局部阈值基础上，全局阈值作为历史稳态参考面，通过更强的迟滞效应进行指数移动跟踪：</w:t>
      </w:r>
    </w:p>
    <w:p w14:paraId="7C71AEB5"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0484DCA" w14:textId="77777777" w:rsidR="00C2291B"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weighting coefficient. This coefficient controls the trade-off between quantile-dominant and scale-correction-dominant estimation.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places more emphasis on robust location, whereas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makes the threshold more sensitive to changes in dispersion. Because a one-step regime shift may introduce high-frequency transient fluctuations, the system does not directly use a single candidate value. Instead, a first-order discrete low-pass filter is introduced for local smoothing.</w:t>
      </w:r>
    </w:p>
    <w:p w14:paraId="60DD17EC"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CEB94E6" w14:textId="77777777" w:rsidR="00C2291B"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smoothing update rate. It suppresses short-term noise oscillations while allowing the fast-varying threshold to track regime switching quickly.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gives more weight to new samples and helps reduce threshold tracking lag,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strengthens suppression of short-term impulse noise. In this way, the local threshold is responsible for fast adaptation to the current operating condition. Based on the local threshold, the global threshold acts as a historical steady-state reference and is updated by exponential smoothing with stronger hysteresis.</w:t>
      </w:r>
    </w:p>
    <w:p w14:paraId="14BBFF11"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0B34FBE8" w14:textId="77777777" w:rsidR="00C2291B" w:rsidRDefault="00000000">
      <w:pPr>
        <w:pStyle w:val="FirstParagraph"/>
      </w:pPr>
      <w:r>
        <w:rPr>
          <w:rFonts w:hint="eastAsia"/>
        </w:rPr>
        <w:t>这里设定</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14:paraId="0AB0A6C3" w14:textId="77777777" w:rsidR="00C2291B" w:rsidRDefault="00000000">
      <w:pPr>
        <w:pStyle w:val="a0"/>
      </w:pPr>
      <w:r>
        <w:lastRenderedPageBreak/>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so the global threshold has a much stronger lagged smoothing property. This cascaded dual-time-constant design acts as a buffer when local features change sharply, enabling stable tracking of deeper system evolution caused by long-term equipment aging and seasonal migration, while reducing the risk that the threshold is dragged by short anomaly segments.</w:t>
      </w:r>
    </w:p>
    <w:p w14:paraId="35FA3226" w14:textId="77777777" w:rsidR="00C2291B" w:rsidRDefault="00000000">
      <w:pPr>
        <w:pStyle w:val="a0"/>
      </w:pPr>
      <w:r>
        <w:rPr>
          <w:rFonts w:hint="eastAsia"/>
        </w:rPr>
        <w:t>最终，基础自适应门控阈值由双层信号的耦合构建而成：</w:t>
      </w:r>
    </w:p>
    <w:p w14:paraId="5A62B531" w14:textId="77777777" w:rsidR="00C2291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17CE0D64" w14:textId="77777777" w:rsidR="00C2291B" w:rsidRDefault="00000000">
      <w:pPr>
        <w:pStyle w:val="FirstParagraph"/>
      </w:pPr>
      <w:r>
        <w:rPr>
          <w:rFonts w:hint="eastAsia"/>
        </w:rPr>
        <w:t>其中，权重</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用于调节局部阈值与全局阈值之间的融合比例。当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增大时，系统更强调对局部工况变化的快速响应；当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减小时，系统更强调长期基线的一致性与触发稳定性。</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w:t>
      </w:r>
      <w:r>
        <w:rPr>
          <w:rFonts w:hint="eastAsia"/>
        </w:rPr>
        <w:t>为偏置项。在运行状态高度平稳的阶段，例如夜间低负荷时段，系统方差与绝对中位差可能收敛至较小数值，导致阈值过度收缩。引入偏置项为系统设置绝对了触发下限，从而避免因阈值过小而产生高频误触发。</w:t>
      </w:r>
    </w:p>
    <w:p w14:paraId="56E48114" w14:textId="77777777" w:rsidR="00C2291B" w:rsidRDefault="00000000">
      <w:pPr>
        <w:pStyle w:val="a0"/>
      </w:pPr>
      <w:r>
        <w:t>Finally, the basic adaptive gating threshold is constructed by coupling the two threshold signals as follows:</w:t>
      </w:r>
    </w:p>
    <w:p w14:paraId="1738CE9C" w14:textId="77777777" w:rsidR="00C2291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795AF130" w14:textId="77777777" w:rsidR="00C2291B"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fusion ratio between the local and global thresholds. A larger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emphasizes fast response to local operating changes, whereas a smaller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emphasizes consistency with the long-term baseline and trigger stability.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is a bias term. During highly stable periods, such as low-load night hours, the system variance and </w:t>
      </w:r>
      <m:oMath>
        <m:r>
          <m:rPr>
            <m:sty m:val="p"/>
          </m:rPr>
          <w:rPr>
            <w:rFonts w:ascii="Cambria Math" w:hAnsi="Cambria Math"/>
          </w:rPr>
          <m:t>MAD</m:t>
        </m:r>
      </m:oMath>
      <w:r>
        <w:t xml:space="preserve"> may converge to very small values, causing the threshold to shrink excessively. The bias term sets an absolute lower bound for triggering and thus prevents frequent false triggers caused by an overly small threshold.</w:t>
      </w:r>
    </w:p>
    <w:p w14:paraId="30E3B952" w14:textId="77777777" w:rsidR="00C2291B" w:rsidRDefault="00000000">
      <w:pPr>
        <w:pStyle w:val="2"/>
      </w:pPr>
      <w:bookmarkStart w:id="11" w:name="在线流式事件门控模块构建"/>
      <w:bookmarkEnd w:id="10"/>
      <w:r>
        <w:t xml:space="preserve">3.3 </w:t>
      </w:r>
      <w:r>
        <w:rPr>
          <w:rFonts w:hint="eastAsia"/>
        </w:rPr>
        <w:t>在线流式事件门控模块构建</w:t>
      </w:r>
    </w:p>
    <w:p w14:paraId="2B49546F" w14:textId="77777777" w:rsidR="00C2291B" w:rsidRDefault="00000000">
      <w:pPr>
        <w:pStyle w:val="FirstParagraph"/>
      </w:pPr>
      <w:r>
        <w:rPr>
          <w:rFonts w:hint="eastAsia"/>
        </w:rPr>
        <w:t>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与自适应阈值实现对当前状态偏离程度的统计检验，后者通过最小触发间隔约束显式控制动作更新频率，避免在短时高频波动期间出现连续触发导致的执行器过度切换。</w:t>
      </w:r>
    </w:p>
    <w:p w14:paraId="3738F167" w14:textId="77777777" w:rsidR="00C2291B" w:rsidRDefault="00000000">
      <w:pPr>
        <w:pStyle w:val="a0"/>
      </w:pPr>
      <w:r>
        <w:rPr>
          <w:rFonts w:hint="eastAsia"/>
        </w:rPr>
        <w:t>在每个控制时刻，门控模块接收当前门控特征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并执行二值触发检验：</w:t>
      </w:r>
    </w:p>
    <w:p w14:paraId="1E91D669"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5BDB3363" w14:textId="77777777" w:rsidR="00C2291B"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034F547B" w14:textId="77777777" w:rsidR="00C2291B" w:rsidRDefault="00000000">
      <w:pPr>
        <w:pStyle w:val="FirstParagraph"/>
      </w:pPr>
      <w:r>
        <w:rPr>
          <w:rFonts w:hint="eastAsia"/>
        </w:rPr>
        <w:lastRenderedPageBreak/>
        <w:t>上式中，</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为防止边界震荡的滞回容差；</w:t>
      </w:r>
      <m:oMath>
        <m:r>
          <m:rPr>
            <m:scr m:val="double-struck"/>
            <m:sty m:val="p"/>
          </m:rPr>
          <w:rPr>
            <w:rFonts w:ascii="Cambria Math" w:hAnsi="Cambria Math"/>
          </w:rPr>
          <m:t>I(⋅)</m:t>
        </m:r>
      </m:oMath>
      <w:r>
        <w:t xml:space="preserve"> </w:t>
      </w:r>
      <w:r>
        <w:rPr>
          <w:rFonts w:hint="eastAsia"/>
        </w:rPr>
        <w:t>为逻辑指示函数，当括号内条件成立时取</w:t>
      </w:r>
      <w:r>
        <w:t xml:space="preserve"> </w:t>
      </w:r>
      <w:r>
        <w:rPr>
          <w:rFonts w:hint="eastAsia"/>
        </w:rPr>
        <w:t>1</w:t>
      </w:r>
      <w:r>
        <w:rPr>
          <w:rFonts w:hint="eastAsia"/>
        </w:rPr>
        <w:t>，否则取</w:t>
      </w:r>
      <w:r>
        <w:t xml:space="preserve"> </w:t>
      </w:r>
      <w:r>
        <w:rPr>
          <w:rFonts w:hint="eastAsia"/>
        </w:rPr>
        <w:t>0</w:t>
      </w:r>
      <w:r>
        <w:rPr>
          <w:rFonts w:hint="eastAsia"/>
        </w:rPr>
        <w:t>；</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表示当前时刻触发控制更新，</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表示维持上一时刻控制动作。</w:t>
      </w:r>
    </w:p>
    <w:p w14:paraId="15689B4C" w14:textId="77777777" w:rsidR="00C2291B" w:rsidRDefault="00000000">
      <w:pPr>
        <w:pStyle w:val="a0"/>
      </w:pPr>
      <w:r>
        <w:rPr>
          <w:rFonts w:hint="eastAsia"/>
        </w:rPr>
        <w:t>为保证门控与控制策略在在线部署中的一致性，模块在每一时刻遵循先判定、后执行、再更新的时序协议：首先使用时刻</w:t>
      </w:r>
      <w:r>
        <w:t xml:space="preserve"> </w:t>
      </w:r>
      <m:oMath>
        <m:r>
          <w:rPr>
            <w:rFonts w:ascii="Cambria Math" w:hAnsi="Cambria Math"/>
          </w:rPr>
          <m:t>t</m:t>
        </m:r>
      </m:oMath>
      <w:r>
        <w:t xml:space="preserve"> </w:t>
      </w:r>
      <w:r>
        <w:rPr>
          <w:rFonts w:hint="eastAsia"/>
        </w:rPr>
        <w:t>的统计量计算触发结果并决定是否调用策略网络；随后将动作</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下发至执行层；最后将</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与相关统计量写入窗口，用于时刻</w:t>
      </w:r>
      <w:r>
        <w:t xml:space="preserve"> </w:t>
      </w:r>
      <m:oMath>
        <m:r>
          <w:rPr>
            <w:rFonts w:ascii="Cambria Math" w:hAnsi="Cambria Math"/>
          </w:rPr>
          <m:t>t</m:t>
        </m:r>
        <m:r>
          <m:rPr>
            <m:sty m:val="p"/>
          </m:rPr>
          <w:rPr>
            <w:rFonts w:ascii="Cambria Math" w:hAnsi="Cambria Math"/>
          </w:rPr>
          <m:t>+</m:t>
        </m:r>
        <m:r>
          <w:rPr>
            <w:rFonts w:ascii="Cambria Math" w:hAnsi="Cambria Math"/>
          </w:rPr>
          <m:t>1</m:t>
        </m:r>
      </m:oMath>
      <w:r>
        <w:t xml:space="preserve"> </w:t>
      </w:r>
      <w:r>
        <w:rPr>
          <w:rFonts w:hint="eastAsia"/>
        </w:rPr>
        <w:t>的阈值更新。该协议可避免同一步内先更新阈值再判定导致的判据前视偏差，确保门控逻辑满足严格因果性。</w:t>
      </w:r>
    </w:p>
    <w:p w14:paraId="691A7752" w14:textId="77777777" w:rsidR="00C2291B" w:rsidRDefault="00000000">
      <w:pPr>
        <w:pStyle w:val="a0"/>
      </w:pPr>
      <w:r>
        <w:rPr>
          <w:rFonts w:hint="eastAsia"/>
        </w:rPr>
        <w:t>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w:t>
      </w:r>
    </w:p>
    <w:p w14:paraId="376064EC" w14:textId="77777777" w:rsidR="00C2291B" w:rsidRDefault="00000000">
      <w:pPr>
        <w:pStyle w:val="2"/>
      </w:pPr>
      <w:bookmarkStart w:id="12" w:name="基于动态阈值事件触发的预测型强化学习控制算法"/>
      <w:bookmarkEnd w:id="11"/>
      <w:r>
        <w:t xml:space="preserve">3.4 </w:t>
      </w:r>
      <w:r>
        <w:rPr>
          <w:rFonts w:hint="eastAsia"/>
        </w:rPr>
        <w:t>基于动态阈值事件触发的预测型强化学习控制算法</w:t>
      </w:r>
    </w:p>
    <w:p w14:paraId="080C8D4D" w14:textId="77777777" w:rsidR="00C2291B" w:rsidRDefault="00000000">
      <w:pPr>
        <w:pStyle w:val="FirstParagraph"/>
      </w:pPr>
      <w:r>
        <w:rPr>
          <w:rFonts w:hint="eastAsia"/>
        </w:rPr>
        <w:t>在所提事件驱动控制框架中，全局控制器负责在判定为关键时刻，即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时，被激活并输出能效优化动作；而在平稳期或非关键时刻，即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时，则不进行推理计算，而是由底层控制系统通过零阶保持器维持先前的控制指令。</w:t>
      </w:r>
    </w:p>
    <w:p w14:paraId="64957519" w14:textId="77777777" w:rsidR="00C2291B" w:rsidRDefault="00000000">
      <w:pPr>
        <w:pStyle w:val="a0"/>
      </w:pPr>
      <w:r>
        <w:rPr>
          <w:rFonts w:hint="eastAsia"/>
        </w:rPr>
        <w:t>为兼顾控制性能与边缘设备的部署开销，本文构建结合短期负荷预测信息的轻量级</w:t>
      </w:r>
      <w:r>
        <w:t xml:space="preserve"> </w:t>
      </w:r>
      <w:r>
        <w:rPr>
          <w:rFonts w:hint="eastAsia"/>
        </w:rPr>
        <w:t>DQN</w:t>
      </w:r>
      <w:r>
        <w:rPr>
          <w:rFonts w:hint="eastAsia"/>
        </w:rPr>
        <w:t>（</w:t>
      </w:r>
      <w:r>
        <w:rPr>
          <w:rFonts w:hint="eastAsia"/>
        </w:rPr>
        <w:t>Deep</w:t>
      </w:r>
      <w:r>
        <w:t xml:space="preserve"> </w:t>
      </w:r>
      <w:r>
        <w:rPr>
          <w:rFonts w:hint="eastAsia"/>
        </w:rPr>
        <w:t>Q-Network</w:t>
      </w:r>
      <w:r>
        <w:rPr>
          <w:rFonts w:hint="eastAsia"/>
        </w:rPr>
        <w:t>）智能体。全局强化学习控制器在触发时刻接收状态向量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14:paraId="54BA2DC7" w14:textId="77777777" w:rsidR="00C2291B" w:rsidRDefault="00000000">
      <w:pPr>
        <w:pStyle w:val="Compact"/>
        <w:numPr>
          <w:ilvl w:val="0"/>
          <w:numId w:val="7"/>
        </w:numPr>
      </w:pPr>
      <w:r>
        <w:rPr>
          <w:rFonts w:hint="eastAsia"/>
        </w:rPr>
        <w:t>任务建模与问题定义</w:t>
      </w:r>
    </w:p>
    <w:p w14:paraId="057B0224" w14:textId="77777777" w:rsidR="00C2291B" w:rsidRDefault="00000000">
      <w:pPr>
        <w:pStyle w:val="FirstParagraph"/>
      </w:pPr>
      <w:r>
        <w:rPr>
          <w:rFonts w:hint="eastAsia"/>
        </w:rPr>
        <w:t>针对楼宇控制场景中状态高维、样本相关性强的问题，本文构建紧凑离散时间马尔可夫决策过程（</w:t>
      </w:r>
      <w:r>
        <w:rPr>
          <w:rFonts w:hint="eastAsia"/>
        </w:rPr>
        <w:t>MDP</w:t>
      </w:r>
      <w:r>
        <w:rPr>
          <w:rFonts w:hint="eastAsia"/>
        </w:rPr>
        <w:t>）模型</w:t>
      </w:r>
      <w:r>
        <w:t xml:space="preserve">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。环境状态空间定义为：</w:t>
      </w:r>
    </w:p>
    <w:p w14:paraId="5B0DC032"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399322F1" w14:textId="77777777" w:rsidR="00C2291B" w:rsidRDefault="00000000">
      <w:pPr>
        <w:pStyle w:val="FirstParagraph"/>
      </w:pPr>
      <w:r>
        <w:rPr>
          <w:rFonts w:hint="eastAsia"/>
        </w:rPr>
        <w:t>此处状态定义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与前文所述的门控输入特征在物理信息层面上保持严格一致，包含当前冷负荷</w:t>
      </w:r>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rPr>
          <w:rFonts w:hint="eastAsia"/>
        </w:rPr>
        <w:t>、室外湿球温度</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以及下一时刻冷负荷预测值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。引入预测项可在不显式扩展长历史序列窗口的前提下有效提升策略的前瞻性。</w:t>
      </w:r>
    </w:p>
    <w:p w14:paraId="5CB05D27" w14:textId="77777777" w:rsidR="00C2291B" w:rsidRDefault="00000000">
      <w:pPr>
        <w:pStyle w:val="a0"/>
      </w:pPr>
      <w:r>
        <w:rPr>
          <w:rFonts w:hint="eastAsia"/>
        </w:rPr>
        <w:lastRenderedPageBreak/>
        <w:t>动作空间</w:t>
      </w:r>
      <w:r>
        <w:t xml:space="preserve"> </w:t>
      </w:r>
      <m:oMath>
        <m:r>
          <m:rPr>
            <m:scr m:val="script"/>
            <m:sty m:val="p"/>
          </m:rPr>
          <w:rPr>
            <w:rFonts w:ascii="Cambria Math" w:hAnsi="Cambria Math"/>
          </w:rPr>
          <m:t>A</m:t>
        </m:r>
      </m:oMath>
      <w:r>
        <w:t xml:space="preserve"> </w:t>
      </w:r>
      <w:r>
        <w:rPr>
          <w:rFonts w:hint="eastAsia"/>
        </w:rPr>
        <w:t>设定为离散化供水温度设定点集合，智能体在时刻</w:t>
      </w:r>
      <w:r>
        <w:t xml:space="preserve"> </w:t>
      </w:r>
      <m:oMath>
        <m:r>
          <w:rPr>
            <w:rFonts w:ascii="Cambria Math" w:hAnsi="Cambria Math"/>
          </w:rPr>
          <m:t>t</m:t>
        </m:r>
      </m:oMath>
      <w:r>
        <w:t xml:space="preserve"> </w:t>
      </w:r>
      <w:r>
        <w:rPr>
          <w:rFonts w:hint="eastAsia"/>
        </w:rPr>
        <w:t>输出动作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rPr>
          <w:rFonts w:hint="eastAsia"/>
        </w:rPr>
        <w:t>。为保证执行安全性，控制架构采用分层策略：高层强化学习模块负责设定点优化，底层规则模块负责机组启停及最小运行时长等约束执行。</w:t>
      </w:r>
    </w:p>
    <w:p w14:paraId="74F286B1" w14:textId="77777777" w:rsidR="00C2291B" w:rsidRDefault="00000000">
      <w:pPr>
        <w:pStyle w:val="a0"/>
      </w:pPr>
      <w:r>
        <w:rPr>
          <w:rFonts w:hint="eastAsia"/>
        </w:rPr>
        <w:t>奖励函数采用归一化加权形式：</w:t>
      </w:r>
    </w:p>
    <w:p w14:paraId="1726393A"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306E228A" w14:textId="77777777" w:rsidR="00C2291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。能效项定义为：</w:t>
      </w:r>
    </w:p>
    <w:p w14:paraId="0C2FD204"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21989AAD" w14:textId="77777777" w:rsidR="00C2291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为机组实时功率，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为额定参考功率。温控跟踪项采用高斯径向基形式进行连续平滑评估：</w:t>
      </w:r>
    </w:p>
    <w:p w14:paraId="7672B3AA"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29637247" w14:textId="77777777" w:rsidR="00C2291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为温控跟踪敏感度参数。</w:t>
      </w:r>
    </w:p>
    <w:p w14:paraId="6723C876" w14:textId="77777777" w:rsidR="00C2291B" w:rsidRDefault="00000000">
      <w:pPr>
        <w:pStyle w:val="Compact"/>
        <w:numPr>
          <w:ilvl w:val="0"/>
          <w:numId w:val="8"/>
        </w:numPr>
      </w:pPr>
      <w:r>
        <w:rPr>
          <w:rFonts w:hint="eastAsia"/>
        </w:rPr>
        <w:t>预测型强化学习决策机制</w:t>
      </w:r>
    </w:p>
    <w:p w14:paraId="62CE3952" w14:textId="77777777" w:rsidR="00C2291B" w:rsidRDefault="00000000">
      <w:pPr>
        <w:pStyle w:val="FirstParagraph"/>
      </w:pPr>
      <w:r>
        <w:rPr>
          <w:rFonts w:hint="eastAsia"/>
        </w:rPr>
        <w:t>考虑状态维度已压缩至关键特征子集，本文采用多层感知机构建轻量级</w:t>
      </w:r>
      <w:r>
        <w:t xml:space="preserve"> DQN </w:t>
      </w:r>
      <w:r>
        <w:rPr>
          <w:rFonts w:hint="eastAsia"/>
        </w:rPr>
        <w:t>主体网络，以降低边缘部署场景下的推理延迟与存储开销。在算法实现层面，训练阶段遵循标准</w:t>
      </w:r>
      <w:r>
        <w:t xml:space="preserve"> DQN </w:t>
      </w:r>
      <w:r>
        <w:rPr>
          <w:rFonts w:hint="eastAsia"/>
        </w:rPr>
        <w:t>的逐步交互流程：智能体在每个时间步执行动作选择、环境步进、经验回放写入与网络参数更新。其一步时序差分目标可写为：</w:t>
      </w:r>
    </w:p>
    <w:p w14:paraId="1C79F28E"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0D5AFD6B" w14:textId="77777777" w:rsidR="00C2291B" w:rsidRDefault="00000000">
      <w:pPr>
        <w:pStyle w:val="FirstParagraph"/>
      </w:pPr>
      <w:r>
        <w:rPr>
          <w:rFonts w:hint="eastAsia"/>
        </w:rPr>
        <w:t>其中</w:t>
      </w:r>
      <w:r>
        <w:t xml:space="preserve"> </w:t>
      </w:r>
      <m:oMath>
        <m:r>
          <w:rPr>
            <w:rFonts w:ascii="Cambria Math" w:hAnsi="Cambria Math"/>
          </w:rPr>
          <m:t>θ</m:t>
        </m:r>
      </m:oMath>
      <w:r>
        <w:t xml:space="preserve"> </w:t>
      </w:r>
      <w:r>
        <w:rPr>
          <w:rFonts w:hint="eastAsia"/>
        </w:rPr>
        <w:t>为在线网络参数，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为目标网络参数，</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为终止标记。网络优化采用均方误差损失：</w:t>
      </w:r>
    </w:p>
    <w:p w14:paraId="76B89E73" w14:textId="77777777" w:rsidR="00C2291B"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23A3A4E7" w14:textId="77777777" w:rsidR="00C2291B" w:rsidRDefault="00000000">
      <w:pPr>
        <w:pStyle w:val="FirstParagraph"/>
      </w:pPr>
      <w:r>
        <w:rPr>
          <w:rFonts w:hint="eastAsia"/>
        </w:rPr>
        <w:t>其中</w:t>
      </w:r>
      <w:r>
        <w:t xml:space="preserve"> </w:t>
      </w:r>
      <m:oMath>
        <m:r>
          <m:rPr>
            <m:scr m:val="script"/>
            <m:sty m:val="p"/>
          </m:rPr>
          <w:rPr>
            <w:rFonts w:ascii="Cambria Math" w:hAnsi="Cambria Math"/>
          </w:rPr>
          <m:t>D</m:t>
        </m:r>
      </m:oMath>
      <w:r>
        <w:t xml:space="preserve"> </w:t>
      </w:r>
      <w:r>
        <w:rPr>
          <w:rFonts w:hint="eastAsia"/>
        </w:rPr>
        <w:t>为经验回放缓冲区。该训练机制通过打破样本时序相关性并延迟目标值更新，提升了价值学习过程的数值稳定性。</w:t>
      </w:r>
    </w:p>
    <w:p w14:paraId="57FA06F6" w14:textId="77777777" w:rsidR="00C2291B" w:rsidRDefault="00000000">
      <w:pPr>
        <w:pStyle w:val="a0"/>
      </w:pPr>
      <w:r>
        <w:rPr>
          <w:rFonts w:hint="eastAsia"/>
        </w:rPr>
        <w:t>训练阶段采用固定步长交互，主要基于两点考虑：其一，若仅在触发时采样，经验分布会过度集中于突发工况，从而削弱价值函数在平稳工况下的估计一致性；其二，固定步长能够维持状态</w:t>
      </w:r>
      <w:r>
        <w:t xml:space="preserve"> - </w:t>
      </w:r>
      <w:r>
        <w:rPr>
          <w:rFonts w:hint="eastAsia"/>
        </w:rPr>
        <w:t>动作覆盖的连续性，提升经验回放与目标网络更新的数值稳定性。这种设计使策略网络在训练期间充分覆盖状态</w:t>
      </w:r>
      <w:r>
        <w:t xml:space="preserve"> - </w:t>
      </w:r>
      <w:r>
        <w:rPr>
          <w:rFonts w:hint="eastAsia"/>
        </w:rPr>
        <w:t>动作空间，部署时再借助门控机制实现动作更新的稀疏化。</w:t>
      </w:r>
    </w:p>
    <w:p w14:paraId="2DE9EB6D" w14:textId="77777777" w:rsidR="00C2291B" w:rsidRDefault="00000000">
      <w:pPr>
        <w:pStyle w:val="Compact"/>
        <w:numPr>
          <w:ilvl w:val="0"/>
          <w:numId w:val="9"/>
        </w:numPr>
      </w:pPr>
      <w:r>
        <w:rPr>
          <w:rFonts w:hint="eastAsia"/>
        </w:rPr>
        <w:t>事件驱动在线执行算法</w:t>
      </w:r>
    </w:p>
    <w:p w14:paraId="01F98932" w14:textId="77777777" w:rsidR="00C2291B" w:rsidRDefault="00000000">
      <w:pPr>
        <w:pStyle w:val="FirstParagraph"/>
      </w:pPr>
      <w:r>
        <w:rPr>
          <w:rFonts w:hint="eastAsia"/>
        </w:rPr>
        <w:lastRenderedPageBreak/>
        <w:t>在在线运行阶段，系统按固定时钟步长完成特征采样，但通过事件驱动机制决定是否更新控制动作。具体流程如下：首先将提取的门控特征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传递至流式门控模块，获得布尔型门控信号，并据此生成动作更新标志。当满足触发条件时，系统调用</w:t>
      </w:r>
      <w:r>
        <w:t xml:space="preserve"> DQN </w:t>
      </w:r>
      <w:r>
        <w:rPr>
          <w:rFonts w:hint="eastAsia"/>
        </w:rPr>
        <w:t>策略网络前向推理输出新的控制设定点；当未满足触发条件时，系统采用零阶保持器维持上一时刻的控制指令。其执行律表述为：</w:t>
      </w:r>
    </w:p>
    <w:p w14:paraId="5D10F969"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6F3D1E77" w14:textId="77777777" w:rsidR="00C2291B" w:rsidRDefault="00000000">
      <w:pPr>
        <w:pStyle w:val="FirstParagraph"/>
      </w:pPr>
      <w:r>
        <w:rPr>
          <w:rFonts w:hint="eastAsia"/>
        </w:rPr>
        <w:t>最终的在线执行流程如下：</w:t>
      </w:r>
    </w:p>
    <w:p w14:paraId="16C6AC9A" w14:textId="77777777" w:rsidR="00C2291B" w:rsidRDefault="00000000">
      <w:pPr>
        <w:pStyle w:val="a0"/>
      </w:pPr>
      <w:r>
        <w:rPr>
          <w:b/>
          <w:bCs/>
        </w:rPr>
        <w:t>Algorithm 1.</w:t>
      </w:r>
      <w:r>
        <w:t xml:space="preserve"> Event-Triggered Predictive RL (ET-PRL) Online Control Procedure</w:t>
      </w:r>
    </w:p>
    <w:p w14:paraId="5ED83CAD" w14:textId="77777777" w:rsidR="00C2291B" w:rsidRDefault="00000000">
      <w:pPr>
        <w:pStyle w:val="SourceCode"/>
      </w:pPr>
      <w:r>
        <w:rPr>
          <w:rStyle w:val="VerbatimChar"/>
        </w:rPr>
        <w:t>Require: Trained policy network π_DQN, gate parameters Ω, min trigger interval Δ_min, total steps T</w:t>
      </w:r>
      <w:r>
        <w:br/>
      </w:r>
      <w:r>
        <w:rPr>
          <w:rStyle w:val="VerbatimChar"/>
        </w:rPr>
        <w:t>Require: Initial action u_0, last trigger time t_last ← −∞, anomaly score window A_0</w:t>
      </w:r>
      <w:r>
        <w:br/>
      </w:r>
      <w:r>
        <w:rPr>
          <w:rStyle w:val="VerbatimChar"/>
        </w:rPr>
        <w:t>1: for t = 1 to T do</w:t>
      </w:r>
      <w:r>
        <w:br/>
      </w:r>
      <w:r>
        <w:rPr>
          <w:rStyle w:val="VerbatimChar"/>
        </w:rPr>
        <w:t>2:     Collect Q_load^t, T_wb^t, Q̂_load^(t+1), form state s_t = [Q_load^t, T_wb^t, Q̂_load^(t+1)]</w:t>
      </w:r>
      <w:r>
        <w:br/>
      </w:r>
      <w:r>
        <w:rPr>
          <w:rStyle w:val="VerbatimChar"/>
        </w:rPr>
        <w:t>3:     Compute anomaly scores A_short(s_t), A_medium(s_t), A_long(s_t) on short/medium/long windows</w:t>
      </w:r>
      <w:r>
        <w:br/>
      </w:r>
      <w:r>
        <w:rPr>
          <w:rStyle w:val="VerbatimChar"/>
        </w:rPr>
        <w:t>4:     Fuse to obtain overall anomaly score:</w:t>
      </w:r>
      <w:r>
        <w:br/>
      </w:r>
      <w:r>
        <w:rPr>
          <w:rStyle w:val="VerbatimChar"/>
        </w:rPr>
        <w:t>5:     A(s_t) = w_s·A_short(s_t) + w_m·A_medium(s_t) + w_l·A_long(s_t)</w:t>
      </w:r>
      <w:r>
        <w:br/>
      </w:r>
      <w:r>
        <w:rPr>
          <w:rStyle w:val="VerbatimChar"/>
        </w:rPr>
        <w:t>6:     Compute candidate local threshold from window A_t:</w:t>
      </w:r>
      <w:r>
        <w:br/>
      </w:r>
      <w:r>
        <w:rPr>
          <w:rStyle w:val="VerbatimChar"/>
        </w:rPr>
        <w:t>7:     τ_cand^(t) = ω_q·τ_q^(t) + (1−ω_q)·τ_mad^(t)</w:t>
      </w:r>
      <w:r>
        <w:br/>
      </w:r>
      <w:r>
        <w:rPr>
          <w:rStyle w:val="VerbatimChar"/>
        </w:rPr>
        <w:t>8:     Update local threshold: τ_local^(t) = (1−λ_local)·τ_local^(t−1) + λ_local·τ_cand^(t)</w:t>
      </w:r>
      <w:r>
        <w:br/>
      </w:r>
      <w:r>
        <w:rPr>
          <w:rStyle w:val="VerbatimChar"/>
        </w:rPr>
        <w:t>9:     Update global threshold: τ_global^(t) = (1−λ_g)·τ_global^(t−1) + λ_g·τ_local^(t)</w:t>
      </w:r>
      <w:r>
        <w:br/>
      </w:r>
      <w:r>
        <w:rPr>
          <w:rStyle w:val="VerbatimChar"/>
        </w:rPr>
        <w:t>10:    τ̃_t = α_local·τ_local^(t) + (1−α_local)·τ_global^(t) + b_bias</w:t>
      </w:r>
      <w:r>
        <w:br/>
      </w:r>
      <w:r>
        <w:rPr>
          <w:rStyle w:val="VerbatimChar"/>
        </w:rPr>
        <w:t>11:    τ_t^* = clip(τ̃_t + m_hys, 0, 1)</w:t>
      </w:r>
      <w:r>
        <w:br/>
      </w:r>
      <w:r>
        <w:rPr>
          <w:rStyle w:val="VerbatimChar"/>
        </w:rPr>
        <w:t>12:    if A(s_t) &gt; τ_t^* and (t − t_last) &gt; Δ_min then</w:t>
      </w:r>
      <w:r>
        <w:br/>
      </w:r>
      <w:r>
        <w:rPr>
          <w:rStyle w:val="VerbatimChar"/>
        </w:rPr>
        <w:t>13:        u_t ← π_DQN(s_t); t_last ← t</w:t>
      </w:r>
      <w:r>
        <w:br/>
      </w:r>
      <w:r>
        <w:rPr>
          <w:rStyle w:val="VerbatimChar"/>
        </w:rPr>
        <w:t>14:    else</w:t>
      </w:r>
      <w:r>
        <w:br/>
      </w:r>
      <w:r>
        <w:rPr>
          <w:rStyle w:val="VerbatimChar"/>
        </w:rPr>
        <w:t>15:        u_t ← u_(t−1)    ⟹  ZOH hold</w:t>
      </w:r>
      <w:r>
        <w:br/>
      </w:r>
      <w:r>
        <w:rPr>
          <w:rStyle w:val="VerbatimChar"/>
        </w:rPr>
        <w:t>16:    end if</w:t>
      </w:r>
      <w:r>
        <w:br/>
      </w:r>
      <w:r>
        <w:rPr>
          <w:rStyle w:val="VerbatimChar"/>
        </w:rPr>
        <w:t>17:    Execute u_t; append A(s_t) to window for t+1 threshold update</w:t>
      </w:r>
      <w:r>
        <w:br/>
      </w:r>
      <w:r>
        <w:rPr>
          <w:rStyle w:val="VerbatimChar"/>
        </w:rPr>
        <w:t>18: end for</w:t>
      </w:r>
    </w:p>
    <w:p w14:paraId="289CA38C" w14:textId="77777777" w:rsidR="00C2291B" w:rsidRDefault="00000000">
      <w:pPr>
        <w:pStyle w:val="1"/>
      </w:pPr>
      <w:bookmarkStart w:id="13" w:name="案例系统与仿真环境"/>
      <w:bookmarkEnd w:id="8"/>
      <w:bookmarkEnd w:id="12"/>
      <w:r>
        <w:t xml:space="preserve">4. </w:t>
      </w:r>
      <w:r>
        <w:rPr>
          <w:rFonts w:hint="eastAsia"/>
        </w:rPr>
        <w:t>案例系统与仿真环境</w:t>
      </w:r>
    </w:p>
    <w:p w14:paraId="1C3AFE83" w14:textId="77777777" w:rsidR="00C2291B" w:rsidRDefault="00000000">
      <w:pPr>
        <w:pStyle w:val="2"/>
      </w:pPr>
      <w:bookmarkStart w:id="14" w:name="建筑热力系统建模"/>
      <w:r>
        <w:t xml:space="preserve">4.1 </w:t>
      </w:r>
      <w:r>
        <w:rPr>
          <w:rFonts w:hint="eastAsia"/>
        </w:rPr>
        <w:t>建筑热力系统建模</w:t>
      </w:r>
    </w:p>
    <w:p w14:paraId="1E42BA77" w14:textId="77777777" w:rsidR="00C2291B" w:rsidRDefault="00000000">
      <w:pPr>
        <w:pStyle w:val="FirstParagraph"/>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软件构建仿真环境。该模型已在前期研究中基于实测数据完成参数校验，验证了其对系统热力学特性的有效表征能力。冷源系统配置为典型的一次泵定流量</w:t>
      </w:r>
      <w:r>
        <w:rPr>
          <w:rFonts w:hint="eastAsia"/>
        </w:rPr>
        <w:lastRenderedPageBreak/>
        <w:t>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00F816AA" w14:textId="77777777" w:rsidR="00C2291B" w:rsidRDefault="00000000">
      <w:pPr>
        <w:pStyle w:val="a0"/>
      </w:pPr>
      <w:r>
        <w:rPr>
          <w:rFonts w:hint="eastAsia"/>
        </w:rPr>
        <w:t>为准确模拟系统的能耗与热力学特性，本研究对各核心组件的额定参数进行了统一设定。系统关键设备的设计参数汇总见表</w:t>
      </w:r>
      <w:r>
        <w:t xml:space="preserve"> 4-1</w:t>
      </w:r>
      <w:r>
        <w:t>。</w:t>
      </w:r>
    </w:p>
    <w:p w14:paraId="488A2A69" w14:textId="77777777" w:rsidR="00C2291B" w:rsidRDefault="00000000">
      <w:pPr>
        <w:pStyle w:val="a0"/>
      </w:pPr>
      <w:r>
        <w:rPr>
          <w:rFonts w:hint="eastAsia"/>
        </w:rPr>
        <w:t>表</w:t>
      </w:r>
      <w:r>
        <w:t xml:space="preserve"> 4-1 HVAC </w:t>
      </w:r>
      <w:r>
        <w:rPr>
          <w:rFonts w:hint="eastAsia"/>
        </w:rPr>
        <w:t>系统关键设备参数</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C2291B" w14:paraId="686D47F5" w14:textId="77777777" w:rsidTr="00C2291B">
        <w:trPr>
          <w:cnfStyle w:val="100000000000" w:firstRow="1" w:lastRow="0" w:firstColumn="0" w:lastColumn="0" w:oddVBand="0" w:evenVBand="0" w:oddHBand="0" w:evenHBand="0" w:firstRowFirstColumn="0" w:firstRowLastColumn="0" w:lastRowFirstColumn="0" w:lastRowLastColumn="0"/>
          <w:tblHeader/>
        </w:trPr>
        <w:tc>
          <w:tcPr>
            <w:tcW w:w="1584" w:type="dxa"/>
          </w:tcPr>
          <w:p w14:paraId="7789CFE4" w14:textId="77777777" w:rsidR="00C2291B" w:rsidRDefault="00000000">
            <w:pPr>
              <w:pStyle w:val="Compact"/>
            </w:pPr>
            <w:r>
              <w:rPr>
                <w:rFonts w:hint="eastAsia"/>
                <w:b/>
                <w:bCs/>
              </w:rPr>
              <w:t>设备名称</w:t>
            </w:r>
          </w:p>
        </w:tc>
        <w:tc>
          <w:tcPr>
            <w:tcW w:w="1584" w:type="dxa"/>
          </w:tcPr>
          <w:p w14:paraId="7CF949A6" w14:textId="77777777" w:rsidR="00C2291B"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1584" w:type="dxa"/>
          </w:tcPr>
          <w:p w14:paraId="028B4DD5" w14:textId="77777777" w:rsidR="00C2291B" w:rsidRDefault="00000000">
            <w:pPr>
              <w:pStyle w:val="Compact"/>
            </w:pPr>
            <w:r>
              <w:rPr>
                <w:rFonts w:hint="eastAsia"/>
                <w:b/>
                <w:bCs/>
              </w:rPr>
              <w:t>额定功率</w:t>
            </w:r>
            <w:r>
              <w:rPr>
                <w:b/>
                <w:bCs/>
              </w:rPr>
              <w:t xml:space="preserve"> (Pref, kW)</w:t>
            </w:r>
          </w:p>
        </w:tc>
        <w:tc>
          <w:tcPr>
            <w:tcW w:w="1584" w:type="dxa"/>
          </w:tcPr>
          <w:p w14:paraId="3535A6D7" w14:textId="77777777" w:rsidR="00C2291B" w:rsidRDefault="00000000">
            <w:pPr>
              <w:pStyle w:val="Compact"/>
            </w:pPr>
            <w:r>
              <w:rPr>
                <w:rFonts w:hint="eastAsia"/>
                <w:b/>
                <w:bCs/>
              </w:rPr>
              <w:t>额定容量</w:t>
            </w:r>
            <w:r>
              <w:rPr>
                <w:b/>
                <w:bCs/>
              </w:rPr>
              <w:t xml:space="preserve"> / </w:t>
            </w:r>
            <w:r>
              <w:rPr>
                <w:rFonts w:hint="eastAsia"/>
                <w:b/>
                <w:bCs/>
              </w:rPr>
              <w:t>流量</w:t>
            </w:r>
          </w:p>
        </w:tc>
        <w:tc>
          <w:tcPr>
            <w:tcW w:w="1584" w:type="dxa"/>
          </w:tcPr>
          <w:p w14:paraId="664E645E" w14:textId="77777777" w:rsidR="00C2291B" w:rsidRDefault="00000000">
            <w:pPr>
              <w:pStyle w:val="Compact"/>
            </w:pPr>
            <w:r>
              <w:rPr>
                <w:rFonts w:hint="eastAsia"/>
                <w:b/>
                <w:bCs/>
              </w:rPr>
              <w:t>运行特性与关键参数</w:t>
            </w:r>
          </w:p>
        </w:tc>
      </w:tr>
      <w:tr w:rsidR="00C2291B" w14:paraId="7DBF6E07" w14:textId="77777777">
        <w:tc>
          <w:tcPr>
            <w:tcW w:w="1584" w:type="dxa"/>
          </w:tcPr>
          <w:p w14:paraId="436E6BBA" w14:textId="77777777" w:rsidR="00C2291B" w:rsidRDefault="00000000">
            <w:pPr>
              <w:pStyle w:val="Compact"/>
            </w:pPr>
            <w:r>
              <w:rPr>
                <w:rFonts w:hint="eastAsia"/>
                <w:b/>
                <w:bCs/>
              </w:rPr>
              <w:t>离心式冷水机组</w:t>
            </w:r>
          </w:p>
        </w:tc>
        <w:tc>
          <w:tcPr>
            <w:tcW w:w="1584" w:type="dxa"/>
          </w:tcPr>
          <w:p w14:paraId="7E27A3B8" w14:textId="77777777" w:rsidR="00C2291B" w:rsidRDefault="00000000">
            <w:pPr>
              <w:pStyle w:val="Compact"/>
            </w:pPr>
            <w:r>
              <w:t>3</w:t>
            </w:r>
          </w:p>
        </w:tc>
        <w:tc>
          <w:tcPr>
            <w:tcW w:w="1584" w:type="dxa"/>
          </w:tcPr>
          <w:p w14:paraId="51C0D24A" w14:textId="77777777" w:rsidR="00C2291B" w:rsidRDefault="00000000">
            <w:pPr>
              <w:pStyle w:val="Compact"/>
            </w:pPr>
            <w:r>
              <w:t>314</w:t>
            </w:r>
          </w:p>
        </w:tc>
        <w:tc>
          <w:tcPr>
            <w:tcW w:w="1584" w:type="dxa"/>
          </w:tcPr>
          <w:p w14:paraId="6D5031E1" w14:textId="77777777" w:rsidR="00C2291B" w:rsidRDefault="00000000">
            <w:pPr>
              <w:pStyle w:val="Compact"/>
            </w:pPr>
            <w:r>
              <w:t xml:space="preserve">1760 kW </w:t>
            </w:r>
            <w:r>
              <w:rPr>
                <w:rFonts w:hint="eastAsia"/>
              </w:rPr>
              <w:t>(</w:t>
            </w:r>
            <w:r>
              <w:rPr>
                <w:rFonts w:hint="eastAsia"/>
              </w:rPr>
              <w:t>制冷量</w:t>
            </w:r>
            <w:r>
              <w:rPr>
                <w:rFonts w:hint="eastAsia"/>
              </w:rPr>
              <w:t>)</w:t>
            </w:r>
          </w:p>
        </w:tc>
        <w:tc>
          <w:tcPr>
            <w:tcW w:w="1584" w:type="dxa"/>
          </w:tcPr>
          <w:p w14:paraId="38966C24" w14:textId="77777777" w:rsidR="00C2291B" w:rsidRDefault="00000000">
            <w:pPr>
              <w:pStyle w:val="Compact"/>
            </w:pPr>
            <w:r>
              <w:t xml:space="preserve">COP </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C2291B" w14:paraId="02CF6D3E" w14:textId="77777777">
        <w:tc>
          <w:tcPr>
            <w:tcW w:w="1584" w:type="dxa"/>
          </w:tcPr>
          <w:p w14:paraId="33ECF14A" w14:textId="77777777" w:rsidR="00C2291B" w:rsidRDefault="00000000">
            <w:pPr>
              <w:pStyle w:val="Compact"/>
            </w:pPr>
            <w:r>
              <w:rPr>
                <w:rFonts w:hint="eastAsia"/>
                <w:b/>
                <w:bCs/>
              </w:rPr>
              <w:t>冷冻水泵</w:t>
            </w:r>
          </w:p>
        </w:tc>
        <w:tc>
          <w:tcPr>
            <w:tcW w:w="1584" w:type="dxa"/>
          </w:tcPr>
          <w:p w14:paraId="23F16958" w14:textId="77777777" w:rsidR="00C2291B" w:rsidRDefault="00000000">
            <w:pPr>
              <w:pStyle w:val="Compact"/>
            </w:pPr>
            <w:r>
              <w:t>3</w:t>
            </w:r>
          </w:p>
        </w:tc>
        <w:tc>
          <w:tcPr>
            <w:tcW w:w="1584" w:type="dxa"/>
          </w:tcPr>
          <w:p w14:paraId="7F63170D" w14:textId="77777777" w:rsidR="00C2291B" w:rsidRDefault="00000000">
            <w:pPr>
              <w:pStyle w:val="Compact"/>
            </w:pPr>
            <w:r>
              <w:t>15</w:t>
            </w:r>
          </w:p>
        </w:tc>
        <w:tc>
          <w:tcPr>
            <w:tcW w:w="1584" w:type="dxa"/>
          </w:tcPr>
          <w:p w14:paraId="177855DF" w14:textId="77777777" w:rsidR="00C2291B"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7E830122" w14:textId="77777777" w:rsidR="00C2291B" w:rsidRDefault="00000000">
            <w:pPr>
              <w:pStyle w:val="Compact"/>
            </w:pPr>
            <w:r>
              <w:rPr>
                <w:rFonts w:hint="eastAsia"/>
              </w:rPr>
              <w:t>定速运行；</w:t>
            </w:r>
            <w:r>
              <w:t xml:space="preserve"> </w:t>
            </w:r>
            <w:r>
              <w:rPr>
                <w:rFonts w:hint="eastAsia"/>
              </w:rPr>
              <w:t>额定扬程：</w:t>
            </w:r>
            <m:oMath>
              <m:r>
                <w:rPr>
                  <w:rFonts w:ascii="Cambria Math" w:hAnsi="Cambria Math"/>
                </w:rPr>
                <m:t>15 </m:t>
              </m:r>
              <m:r>
                <m:rPr>
                  <m:nor/>
                </m:rPr>
                <m:t>m</m:t>
              </m:r>
            </m:oMath>
          </w:p>
        </w:tc>
      </w:tr>
      <w:tr w:rsidR="00C2291B" w14:paraId="52E3C037" w14:textId="77777777">
        <w:tc>
          <w:tcPr>
            <w:tcW w:w="1584" w:type="dxa"/>
          </w:tcPr>
          <w:p w14:paraId="6A9E889C" w14:textId="77777777" w:rsidR="00C2291B" w:rsidRDefault="00000000">
            <w:pPr>
              <w:pStyle w:val="Compact"/>
            </w:pPr>
            <w:r>
              <w:rPr>
                <w:rFonts w:hint="eastAsia"/>
                <w:b/>
                <w:bCs/>
              </w:rPr>
              <w:t>冷却水泵</w:t>
            </w:r>
          </w:p>
        </w:tc>
        <w:tc>
          <w:tcPr>
            <w:tcW w:w="1584" w:type="dxa"/>
          </w:tcPr>
          <w:p w14:paraId="5EEBC581" w14:textId="77777777" w:rsidR="00C2291B" w:rsidRDefault="00000000">
            <w:pPr>
              <w:pStyle w:val="Compact"/>
            </w:pPr>
            <w:r>
              <w:t>3</w:t>
            </w:r>
          </w:p>
        </w:tc>
        <w:tc>
          <w:tcPr>
            <w:tcW w:w="1584" w:type="dxa"/>
          </w:tcPr>
          <w:p w14:paraId="1604C7DF" w14:textId="77777777" w:rsidR="00C2291B" w:rsidRDefault="00000000">
            <w:pPr>
              <w:pStyle w:val="Compact"/>
            </w:pPr>
            <w:r>
              <w:t>55</w:t>
            </w:r>
          </w:p>
        </w:tc>
        <w:tc>
          <w:tcPr>
            <w:tcW w:w="1584" w:type="dxa"/>
          </w:tcPr>
          <w:p w14:paraId="50747FF7" w14:textId="77777777" w:rsidR="00C2291B"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205E0B49" w14:textId="77777777" w:rsidR="00C2291B" w:rsidRDefault="00000000">
            <w:pPr>
              <w:pStyle w:val="Compact"/>
            </w:pPr>
            <w:r>
              <w:rPr>
                <w:rFonts w:hint="eastAsia"/>
              </w:rPr>
              <w:t>定速运行；</w:t>
            </w:r>
            <w:r>
              <w:t xml:space="preserve"> </w:t>
            </w:r>
            <w:r>
              <w:rPr>
                <w:rFonts w:hint="eastAsia"/>
              </w:rPr>
              <w:t>额定扬程：</w:t>
            </w:r>
            <m:oMath>
              <m:r>
                <w:rPr>
                  <w:rFonts w:ascii="Cambria Math" w:hAnsi="Cambria Math"/>
                </w:rPr>
                <m:t>33 </m:t>
              </m:r>
              <m:r>
                <m:rPr>
                  <m:nor/>
                </m:rPr>
                <m:t>m</m:t>
              </m:r>
            </m:oMath>
          </w:p>
        </w:tc>
      </w:tr>
      <w:tr w:rsidR="00C2291B" w14:paraId="1C94DF63" w14:textId="77777777">
        <w:tc>
          <w:tcPr>
            <w:tcW w:w="1584" w:type="dxa"/>
          </w:tcPr>
          <w:p w14:paraId="0651EFE0" w14:textId="77777777" w:rsidR="00C2291B" w:rsidRDefault="00000000">
            <w:pPr>
              <w:pStyle w:val="Compact"/>
            </w:pPr>
            <w:r>
              <w:rPr>
                <w:rFonts w:hint="eastAsia"/>
                <w:b/>
                <w:bCs/>
              </w:rPr>
              <w:t>冷却塔</w:t>
            </w:r>
          </w:p>
        </w:tc>
        <w:tc>
          <w:tcPr>
            <w:tcW w:w="1584" w:type="dxa"/>
          </w:tcPr>
          <w:p w14:paraId="106C1B73" w14:textId="77777777" w:rsidR="00C2291B" w:rsidRDefault="00000000">
            <w:pPr>
              <w:pStyle w:val="Compact"/>
            </w:pPr>
            <w:r>
              <w:t>3</w:t>
            </w:r>
          </w:p>
        </w:tc>
        <w:tc>
          <w:tcPr>
            <w:tcW w:w="1584" w:type="dxa"/>
          </w:tcPr>
          <w:p w14:paraId="1E65D1A9" w14:textId="77777777" w:rsidR="00C2291B" w:rsidRDefault="00000000">
            <w:pPr>
              <w:pStyle w:val="Compact"/>
            </w:pPr>
            <w:r>
              <w:t>16.5</w:t>
            </w:r>
          </w:p>
        </w:tc>
        <w:tc>
          <w:tcPr>
            <w:tcW w:w="1584" w:type="dxa"/>
          </w:tcPr>
          <w:p w14:paraId="432913CA" w14:textId="77777777" w:rsidR="00C2291B"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19E90C98" w14:textId="77777777" w:rsidR="00C2291B" w:rsidRDefault="00000000">
            <w:pPr>
              <w:pStyle w:val="Compact"/>
            </w:pPr>
            <w:r>
              <w:rPr>
                <w:rFonts w:hint="eastAsia"/>
              </w:rPr>
              <w:t>变工况特性；</w:t>
            </w:r>
            <w:r>
              <w:t xml:space="preserve"> </w:t>
            </w:r>
            <w:r>
              <w:rPr>
                <w:rFonts w:hint="eastAsia"/>
              </w:rPr>
              <w:t>性能与湿球温度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164AAD56" w14:textId="77777777" w:rsidR="00C2291B" w:rsidRDefault="00000000">
      <w:pPr>
        <w:pStyle w:val="a0"/>
      </w:pPr>
      <w:r>
        <w:rPr>
          <w:rFonts w:hint="eastAsia"/>
        </w:rPr>
        <w:t>基于上述参数，冷冻水侧的热量传递过程可由热力学守恒关系描述。本文在计算中采用标准水物性参数：比热容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。瞬时冷负荷计算公式为：</w:t>
      </w:r>
    </w:p>
    <w:p w14:paraId="49E883F3"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781AD498" w14:textId="77777777" w:rsidR="00C2291B"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分别表示冷冻水回水温度与供水温度。该物理建模过程保证了仿真环境能够较为真实地反映控制策略对系统热力状态的影响。</w:t>
      </w:r>
    </w:p>
    <w:p w14:paraId="385ACAD3" w14:textId="77777777" w:rsidR="00C2291B" w:rsidRDefault="00000000">
      <w:pPr>
        <w:pStyle w:val="2"/>
      </w:pPr>
      <w:bookmarkStart w:id="15" w:name="气象与负荷数据集特征"/>
      <w:bookmarkEnd w:id="14"/>
      <w:r>
        <w:t xml:space="preserve">4.2 </w:t>
      </w:r>
      <w:r>
        <w:rPr>
          <w:rFonts w:hint="eastAsia"/>
        </w:rPr>
        <w:t>气象与负荷数据集特征</w:t>
      </w:r>
    </w:p>
    <w:p w14:paraId="0E23C105" w14:textId="77777777" w:rsidR="00C2291B" w:rsidRDefault="00000000">
      <w:pPr>
        <w:pStyle w:val="FirstParagraph"/>
      </w:pPr>
      <w:r>
        <w:rPr>
          <w:rFonts w:hint="eastAsia"/>
        </w:rPr>
        <w:t>本研究采用基于上海地区典型气象年（</w:t>
      </w:r>
      <w:r>
        <w:rPr>
          <w:rFonts w:hint="eastAsia"/>
        </w:rPr>
        <w:t>Typical</w:t>
      </w:r>
      <w:r>
        <w:t xml:space="preserve"> Meteorological Year, </w:t>
      </w:r>
      <w:r>
        <w:rPr>
          <w:rFonts w:hint="eastAsia"/>
        </w:rPr>
        <w:t>TMY</w:t>
      </w:r>
      <w:r>
        <w:rPr>
          <w:rFonts w:hint="eastAsia"/>
        </w:rPr>
        <w:t>）生成的建筑冷负荷仿真数据集，采样间隔设定为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日），共计</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个时间步，能够同时表征日内周期性波动与季节尺度变化。统计结果表明：冷负荷峰值为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，变异系数（</w:t>
      </w:r>
      <w:r>
        <w:rPr>
          <w:rFonts w:hint="eastAsia"/>
        </w:rPr>
        <w:t>CV</w:t>
      </w:r>
      <w:r>
        <w:rPr>
          <w:rFonts w:hint="eastAsia"/>
        </w:rPr>
        <w:t>）为</w:t>
      </w:r>
      <w:r>
        <w:t xml:space="preserve"> </w:t>
      </w:r>
      <m:oMath>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t>。</w:t>
      </w:r>
    </w:p>
    <w:p w14:paraId="0CB0916B" w14:textId="77777777" w:rsidR="00C2291B" w:rsidRDefault="00000000">
      <w:pPr>
        <w:pStyle w:val="a0"/>
      </w:pPr>
      <w:r>
        <w:rPr>
          <w:rFonts w:hint="eastAsia"/>
        </w:rPr>
        <w:t>图</w:t>
      </w:r>
      <w:r>
        <w:t xml:space="preserve"> 4-2-1 </w:t>
      </w:r>
      <w:r>
        <w:rPr>
          <w:rFonts w:hint="eastAsia"/>
        </w:rPr>
        <w:t>展示了冷负荷与气象变量在不同时间尺度上的变化特征。图</w:t>
      </w:r>
      <w:r>
        <w:t xml:space="preserve"> 4-2-1(a) </w:t>
      </w:r>
      <w:r>
        <w:rPr>
          <w:rFonts w:hint="eastAsia"/>
        </w:rPr>
        <w:t>给出全季数据中选取的代表性</w:t>
      </w:r>
      <w:r>
        <w:t xml:space="preserve"> 14 </w:t>
      </w:r>
      <w:r>
        <w:rPr>
          <w:rFonts w:hint="eastAsia"/>
        </w:rPr>
        <w:t>天连续片段，结果表明冷负荷（</w:t>
      </w:r>
      <m:oMath>
        <m:sSub>
          <m:sSubPr>
            <m:ctrlPr>
              <w:rPr>
                <w:rFonts w:ascii="Cambria Math" w:hAnsi="Cambria Math"/>
              </w:rPr>
            </m:ctrlPr>
          </m:sSubPr>
          <m:e>
            <m:r>
              <w:rPr>
                <w:rFonts w:ascii="Cambria Math" w:hAnsi="Cambria Math"/>
              </w:rPr>
              <m:t>Q</m:t>
            </m:r>
          </m:e>
          <m:sub>
            <m:r>
              <w:rPr>
                <w:rFonts w:ascii="Cambria Math" w:hAnsi="Cambria Math"/>
              </w:rPr>
              <m:t>load</m:t>
            </m:r>
          </m:sub>
        </m:sSub>
      </m:oMath>
      <w:r>
        <w:rPr>
          <w:rFonts w:hint="eastAsia"/>
        </w:rPr>
        <w:t>）与湿球温度</w:t>
      </w:r>
      <w:r>
        <w:rPr>
          <w:rFonts w:hint="eastAsia"/>
        </w:rPr>
        <w:lastRenderedPageBreak/>
        <w:t>（</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）在高负荷阶段总体呈同向变化，且</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的昼夜振幅显著高于</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。图</w:t>
      </w:r>
      <w:r>
        <w:t xml:space="preserve"> 4-2-1(b) </w:t>
      </w:r>
      <w:r>
        <w:rPr>
          <w:rFonts w:hint="eastAsia"/>
        </w:rPr>
        <w:t>给出按日内时刻聚合后的均值曲线，结果显示</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在白天工作时段持续抬升并于夜间回落，而</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的日内波动相对缓和。</w:t>
      </w:r>
    </w:p>
    <w:p w14:paraId="6CC77CFA" w14:textId="77777777" w:rsidR="00C2291B" w:rsidRDefault="00000000">
      <w:pPr>
        <w:pStyle w:val="a0"/>
      </w:pPr>
      <w:r>
        <w:rPr>
          <w:rFonts w:hint="eastAsia"/>
        </w:rPr>
        <w:t>图</w:t>
      </w:r>
      <w:r>
        <w:t xml:space="preserve"> 4-2-2 </w:t>
      </w:r>
      <w:r>
        <w:rPr>
          <w:rFonts w:hint="eastAsia"/>
        </w:rPr>
        <w:t>进一步展示了关键变量的边际分布与联合分布特征。图</w:t>
      </w:r>
      <w:r>
        <w:t xml:space="preserve"> 4-2-2(a) </w:t>
      </w:r>
      <w:r>
        <w:rPr>
          <w:rFonts w:hint="eastAsia"/>
        </w:rPr>
        <w:t>表明冷负荷分布呈明显右偏与长尾特性，说明高负荷样本占比虽低但持续存在。图</w:t>
      </w:r>
      <w:r>
        <w:t xml:space="preserve"> 4-2-2(b) </w:t>
      </w:r>
      <w:r>
        <w:rPr>
          <w:rFonts w:hint="eastAsia"/>
        </w:rPr>
        <w:t>表明湿球温度主要集中于相对狭窄区间，刻画了外生气象扰动的有效波动边界。图</w:t>
      </w:r>
      <w:r>
        <w:t xml:space="preserve"> 4-2-2(c) </w:t>
      </w:r>
      <w:r>
        <w:rPr>
          <w:rFonts w:hint="eastAsia"/>
        </w:rPr>
        <w:t>的联合密度结果显示，</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的关系并非单一线性带状结构，而是在不同温度区间呈现异质性密度聚集。综合图</w:t>
      </w:r>
      <w:r>
        <w:t xml:space="preserve"> 4-2-1 </w:t>
      </w:r>
      <w:r>
        <w:rPr>
          <w:rFonts w:hint="eastAsia"/>
        </w:rPr>
        <w:t>与图</w:t>
      </w:r>
      <w:r>
        <w:t xml:space="preserve"> 4-2-2 </w:t>
      </w:r>
      <w:r>
        <w:rPr>
          <w:rFonts w:hint="eastAsia"/>
        </w:rPr>
        <w:t>可知，该数据集同时具备显著时序周期性与非线性联合分布特征，可为门控机制中的联合特征建模与动态判别提供数据依据。</w:t>
      </w:r>
    </w:p>
    <w:p w14:paraId="3C126B1F" w14:textId="77777777" w:rsidR="00C2291B" w:rsidRDefault="00000000">
      <w:pPr>
        <w:pStyle w:val="CaptionedFigure"/>
      </w:pPr>
      <w:r>
        <w:rPr>
          <w:noProof/>
        </w:rPr>
        <w:drawing>
          <wp:inline distT="0" distB="0" distL="0" distR="0" wp14:anchorId="7758EBD6" wp14:editId="295C61F6">
            <wp:extent cx="5334000" cy="3426797"/>
            <wp:effectExtent l="0" t="0" r="0" b="0"/>
            <wp:docPr id="22" name="Picture" descr="图 4-2-1 数据集时序特征可视化（全时段序列与日内统计轮廓）"/>
            <wp:cNvGraphicFramePr/>
            <a:graphic xmlns:a="http://schemas.openxmlformats.org/drawingml/2006/main">
              <a:graphicData uri="http://schemas.openxmlformats.org/drawingml/2006/picture">
                <pic:pic xmlns:pic="http://schemas.openxmlformats.org/drawingml/2006/picture">
                  <pic:nvPicPr>
                    <pic:cNvPr id="23" name="Picture" descr="../pics/fig_4_2_1_dataset_temporal_characteristics.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29A4581C" w14:textId="77777777" w:rsidR="00C2291B" w:rsidRDefault="00000000">
      <w:pPr>
        <w:pStyle w:val="ImageCaption"/>
      </w:pPr>
      <w:r>
        <w:rPr>
          <w:rFonts w:hint="eastAsia"/>
        </w:rPr>
        <w:t>图</w:t>
      </w:r>
      <w:r>
        <w:t xml:space="preserve"> 4-2-1 </w:t>
      </w:r>
      <w:r>
        <w:rPr>
          <w:rFonts w:hint="eastAsia"/>
        </w:rPr>
        <w:t>数据集时序特征可视化（全时段序列与日内统计轮廓）</w:t>
      </w:r>
    </w:p>
    <w:p w14:paraId="20D4E777" w14:textId="77777777" w:rsidR="00C2291B" w:rsidRDefault="00000000">
      <w:pPr>
        <w:pStyle w:val="CaptionedFigure"/>
      </w:pPr>
      <w:r>
        <w:rPr>
          <w:noProof/>
        </w:rPr>
        <w:drawing>
          <wp:inline distT="0" distB="0" distL="0" distR="0" wp14:anchorId="5826DF86" wp14:editId="665A0A9E">
            <wp:extent cx="5334000" cy="1530032"/>
            <wp:effectExtent l="0" t="0" r="0" b="0"/>
            <wp:docPr id="25" name="Picture" descr="图 4-2-2 数据集分布与特征依赖关系可视化"/>
            <wp:cNvGraphicFramePr/>
            <a:graphic xmlns:a="http://schemas.openxmlformats.org/drawingml/2006/main">
              <a:graphicData uri="http://schemas.openxmlformats.org/drawingml/2006/picture">
                <pic:pic xmlns:pic="http://schemas.openxmlformats.org/drawingml/2006/picture">
                  <pic:nvPicPr>
                    <pic:cNvPr id="26" name="Picture" descr="../pics/fig_4_2_2_dataset_distribution_and_correla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22C08A09" w14:textId="77777777" w:rsidR="00C2291B" w:rsidRDefault="00000000">
      <w:pPr>
        <w:pStyle w:val="ImageCaption"/>
      </w:pPr>
      <w:r>
        <w:rPr>
          <w:rFonts w:hint="eastAsia"/>
        </w:rPr>
        <w:t>图</w:t>
      </w:r>
      <w:r>
        <w:t xml:space="preserve"> 4-2-2 </w:t>
      </w:r>
      <w:r>
        <w:rPr>
          <w:rFonts w:hint="eastAsia"/>
        </w:rPr>
        <w:t>数据集分布与特征依赖关系可视化</w:t>
      </w:r>
    </w:p>
    <w:p w14:paraId="4F7C51E3" w14:textId="77777777" w:rsidR="00C2291B" w:rsidRDefault="00000000">
      <w:pPr>
        <w:pStyle w:val="a0"/>
      </w:pPr>
      <w:r>
        <w:rPr>
          <w:rFonts w:hint="eastAsia"/>
        </w:rPr>
        <w:lastRenderedPageBreak/>
        <w:t>在预处理阶段，针对原始仿真序列中出现的少量非物理负值（共</w:t>
      </w:r>
      <w:r>
        <w:t xml:space="preserve"> 8 </w:t>
      </w:r>
      <w:r>
        <w:rPr>
          <w:rFonts w:hint="eastAsia"/>
        </w:rPr>
        <w:t>处），本文采用零值截断进行修正。为增强状态表征的前瞻性，进一步引入由</w:t>
      </w:r>
      <w:r>
        <w:t xml:space="preserve"> LSTM </w:t>
      </w:r>
      <w:r>
        <w:rPr>
          <w:rFonts w:hint="eastAsia"/>
        </w:rPr>
        <w:t>模型生成的下一时刻负荷预测值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作为增广特征，从而构建同时包含当前运行状态与短时演化趋势的输入表示。</w:t>
      </w:r>
    </w:p>
    <w:p w14:paraId="6F5E4A67" w14:textId="77777777" w:rsidR="00C2291B" w:rsidRDefault="00000000">
      <w:pPr>
        <w:pStyle w:val="a0"/>
      </w:pPr>
      <w:r>
        <w:rPr>
          <w:rFonts w:hint="eastAsia"/>
        </w:rPr>
        <w:t>为避免时间信息泄漏并贴合实际部署场景，本文采用严格的时间顺序划分（</w:t>
      </w:r>
      <w:r>
        <w:rPr>
          <w:rFonts w:hint="eastAsia"/>
        </w:rPr>
        <w:t>Chronological</w:t>
      </w:r>
      <w:r>
        <w:t xml:space="preserve"> </w:t>
      </w:r>
      <w:r>
        <w:rPr>
          <w:rFonts w:hint="eastAsia"/>
        </w:rPr>
        <w:t>Split</w:t>
      </w:r>
      <w:r>
        <w:rPr>
          <w:rFonts w:hint="eastAsia"/>
        </w:rPr>
        <w:t>）策略，将数据集按时间先后划分为训练集、验证集与测试集，比例设定为</w:t>
      </w:r>
      <w:r>
        <w:t xml:space="preserve"> 70:15:15</w:t>
      </w:r>
      <w:r>
        <w:t>。</w:t>
      </w:r>
    </w:p>
    <w:p w14:paraId="0F594290" w14:textId="77777777" w:rsidR="00C2291B" w:rsidRDefault="00000000">
      <w:pPr>
        <w:pStyle w:val="1"/>
      </w:pPr>
      <w:bookmarkStart w:id="16" w:name="实验及结果"/>
      <w:bookmarkEnd w:id="13"/>
      <w:bookmarkEnd w:id="15"/>
      <w:r>
        <w:t xml:space="preserve">5. </w:t>
      </w:r>
      <w:r>
        <w:rPr>
          <w:rFonts w:hint="eastAsia"/>
        </w:rPr>
        <w:t>实验及结果</w:t>
      </w:r>
    </w:p>
    <w:p w14:paraId="6E5B4C93" w14:textId="77777777" w:rsidR="00C2291B" w:rsidRDefault="00000000">
      <w:pPr>
        <w:pStyle w:val="2"/>
      </w:pPr>
      <w:bookmarkStart w:id="17" w:name="实验设置-experimental-setup"/>
      <w:r>
        <w:t xml:space="preserve">5.1 </w:t>
      </w:r>
      <w:r>
        <w:rPr>
          <w:rFonts w:hint="eastAsia"/>
        </w:rPr>
        <w:t>实验设置</w:t>
      </w:r>
      <w:r>
        <w:t xml:space="preserve"> (Experimental Setup)</w:t>
      </w:r>
    </w:p>
    <w:p w14:paraId="3F95A16F" w14:textId="77777777" w:rsidR="00C2291B" w:rsidRDefault="00000000">
      <w:pPr>
        <w:pStyle w:val="Compact"/>
        <w:numPr>
          <w:ilvl w:val="0"/>
          <w:numId w:val="10"/>
        </w:numPr>
      </w:pPr>
      <w:r>
        <w:rPr>
          <w:rFonts w:hint="eastAsia"/>
        </w:rPr>
        <w:t>实验配置与超参数设置</w:t>
      </w:r>
    </w:p>
    <w:p w14:paraId="6A5EE6E1" w14:textId="77777777" w:rsidR="00C2291B" w:rsidRDefault="00000000">
      <w:pPr>
        <w:pStyle w:val="FirstParagraph"/>
      </w:pPr>
      <w:r>
        <w:rPr>
          <w:rFonts w:hint="eastAsia"/>
        </w:rPr>
        <w:t>本节给出实验中采用的核心超参数设置。为保证实验可复现性，表</w:t>
      </w:r>
      <w:r>
        <w:t xml:space="preserve"> 5-1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分钟。所有超参数均通过贝叶斯优化算法确定，并在验证集上完成性能筛选后固定用于后续实验。</w:t>
      </w:r>
    </w:p>
    <w:p w14:paraId="55CC317C" w14:textId="77777777" w:rsidR="00C2291B" w:rsidRDefault="00000000">
      <w:pPr>
        <w:pStyle w:val="Compact"/>
        <w:numPr>
          <w:ilvl w:val="0"/>
          <w:numId w:val="11"/>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15934388" w14:textId="77777777" w:rsidR="00C2291B" w:rsidRDefault="00000000">
      <w:pPr>
        <w:pStyle w:val="Compact"/>
        <w:numPr>
          <w:ilvl w:val="0"/>
          <w:numId w:val="11"/>
        </w:numPr>
      </w:pPr>
      <w:r>
        <w:rPr>
          <w:rFonts w:hint="eastAsia"/>
          <w:b/>
          <w:bCs/>
        </w:rPr>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p w14:paraId="4D9277F2" w14:textId="77777777" w:rsidR="00C2291B" w:rsidRDefault="00000000">
      <w:pPr>
        <w:pStyle w:val="FirstParagraph"/>
      </w:pPr>
      <w:r>
        <w:rPr>
          <w:rFonts w:hint="eastAsia"/>
        </w:rPr>
        <w:t>表</w:t>
      </w:r>
      <w:r>
        <w:t xml:space="preserve"> 5-1 </w:t>
      </w:r>
      <w:r>
        <w:rPr>
          <w:rFonts w:hint="eastAsia"/>
        </w:rPr>
        <w:t>关键超参数设置</w:t>
      </w:r>
    </w:p>
    <w:tbl>
      <w:tblPr>
        <w:tblStyle w:val="Table"/>
        <w:tblW w:w="5000" w:type="pct"/>
        <w:tblLayout w:type="fixed"/>
        <w:tblLook w:val="0020" w:firstRow="1" w:lastRow="0" w:firstColumn="0" w:lastColumn="0" w:noHBand="0" w:noVBand="0"/>
      </w:tblPr>
      <w:tblGrid>
        <w:gridCol w:w="2214"/>
        <w:gridCol w:w="2214"/>
        <w:gridCol w:w="2214"/>
        <w:gridCol w:w="2214"/>
      </w:tblGrid>
      <w:tr w:rsidR="00C2291B" w14:paraId="730FE12A" w14:textId="77777777" w:rsidTr="00C2291B">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1059F5" w14:textId="77777777" w:rsidR="00C2291B" w:rsidRDefault="00000000">
            <w:pPr>
              <w:pStyle w:val="Compact"/>
            </w:pPr>
            <w:r>
              <w:rPr>
                <w:b/>
                <w:bCs/>
              </w:rPr>
              <w:t>Module</w:t>
            </w:r>
          </w:p>
        </w:tc>
        <w:tc>
          <w:tcPr>
            <w:tcW w:w="1980" w:type="dxa"/>
          </w:tcPr>
          <w:p w14:paraId="1957B3B8" w14:textId="77777777" w:rsidR="00C2291B" w:rsidRDefault="00000000">
            <w:pPr>
              <w:pStyle w:val="Compact"/>
            </w:pPr>
            <w:r>
              <w:rPr>
                <w:b/>
                <w:bCs/>
              </w:rPr>
              <w:t>Parameter Description</w:t>
            </w:r>
          </w:p>
        </w:tc>
        <w:tc>
          <w:tcPr>
            <w:tcW w:w="1980" w:type="dxa"/>
          </w:tcPr>
          <w:p w14:paraId="549657A9" w14:textId="77777777" w:rsidR="00C2291B" w:rsidRDefault="00000000">
            <w:pPr>
              <w:pStyle w:val="Compact"/>
            </w:pPr>
            <w:r>
              <w:rPr>
                <w:b/>
                <w:bCs/>
              </w:rPr>
              <w:t>Symbol</w:t>
            </w:r>
          </w:p>
        </w:tc>
        <w:tc>
          <w:tcPr>
            <w:tcW w:w="1980" w:type="dxa"/>
          </w:tcPr>
          <w:p w14:paraId="26ADC29E" w14:textId="77777777" w:rsidR="00C2291B" w:rsidRDefault="00000000">
            <w:pPr>
              <w:pStyle w:val="Compact"/>
            </w:pPr>
            <w:r>
              <w:rPr>
                <w:b/>
                <w:bCs/>
              </w:rPr>
              <w:t>Value</w:t>
            </w:r>
          </w:p>
        </w:tc>
      </w:tr>
      <w:tr w:rsidR="00C2291B" w14:paraId="742CAB00" w14:textId="77777777">
        <w:tc>
          <w:tcPr>
            <w:tcW w:w="1980" w:type="dxa"/>
          </w:tcPr>
          <w:p w14:paraId="433E0A2F" w14:textId="77777777" w:rsidR="00C2291B" w:rsidRDefault="00000000">
            <w:pPr>
              <w:pStyle w:val="Compact"/>
            </w:pPr>
            <w:r>
              <w:rPr>
                <w:b/>
                <w:bCs/>
              </w:rPr>
              <w:t>DQN Agent</w:t>
            </w:r>
          </w:p>
        </w:tc>
        <w:tc>
          <w:tcPr>
            <w:tcW w:w="1980" w:type="dxa"/>
          </w:tcPr>
          <w:p w14:paraId="3E1985B7" w14:textId="77777777" w:rsidR="00C2291B" w:rsidRDefault="00000000">
            <w:pPr>
              <w:pStyle w:val="Compact"/>
            </w:pPr>
            <w:r>
              <w:t>Learning rate</w:t>
            </w:r>
          </w:p>
        </w:tc>
        <w:tc>
          <w:tcPr>
            <w:tcW w:w="1980" w:type="dxa"/>
          </w:tcPr>
          <w:p w14:paraId="742B92BF" w14:textId="77777777" w:rsidR="00C2291B" w:rsidRDefault="00000000">
            <w:pPr>
              <w:pStyle w:val="Compact"/>
            </w:pPr>
            <m:oMathPara>
              <m:oMath>
                <m:r>
                  <w:rPr>
                    <w:rFonts w:ascii="Cambria Math" w:hAnsi="Cambria Math"/>
                  </w:rPr>
                  <m:t>α</m:t>
                </m:r>
              </m:oMath>
            </m:oMathPara>
          </w:p>
        </w:tc>
        <w:tc>
          <w:tcPr>
            <w:tcW w:w="1980" w:type="dxa"/>
          </w:tcPr>
          <w:p w14:paraId="46A99E5A" w14:textId="77777777" w:rsidR="00C2291B" w:rsidRDefault="00000000">
            <w:pPr>
              <w:pStyle w:val="Compact"/>
            </w:pPr>
            <m:oMathPara>
              <m:oMath>
                <m:r>
                  <w:rPr>
                    <w:rFonts w:ascii="Cambria Math" w:hAnsi="Cambria Math"/>
                  </w:rPr>
                  <m:t>0.0048</m:t>
                </m:r>
              </m:oMath>
            </m:oMathPara>
          </w:p>
        </w:tc>
      </w:tr>
      <w:tr w:rsidR="00C2291B" w14:paraId="74265D9E" w14:textId="77777777">
        <w:tc>
          <w:tcPr>
            <w:tcW w:w="1980" w:type="dxa"/>
          </w:tcPr>
          <w:p w14:paraId="70A903B3" w14:textId="77777777" w:rsidR="00C2291B" w:rsidRDefault="00C2291B">
            <w:pPr>
              <w:pStyle w:val="Compact"/>
            </w:pPr>
          </w:p>
        </w:tc>
        <w:tc>
          <w:tcPr>
            <w:tcW w:w="1980" w:type="dxa"/>
          </w:tcPr>
          <w:p w14:paraId="1EFFEF07" w14:textId="77777777" w:rsidR="00C2291B" w:rsidRDefault="00000000">
            <w:pPr>
              <w:pStyle w:val="Compact"/>
            </w:pPr>
            <w:r>
              <w:t>Discount factor</w:t>
            </w:r>
          </w:p>
        </w:tc>
        <w:tc>
          <w:tcPr>
            <w:tcW w:w="1980" w:type="dxa"/>
          </w:tcPr>
          <w:p w14:paraId="5B81A2E7" w14:textId="77777777" w:rsidR="00C2291B" w:rsidRDefault="00000000">
            <w:pPr>
              <w:pStyle w:val="Compact"/>
            </w:pPr>
            <m:oMathPara>
              <m:oMath>
                <m:r>
                  <w:rPr>
                    <w:rFonts w:ascii="Cambria Math" w:hAnsi="Cambria Math"/>
                  </w:rPr>
                  <m:t>γ</m:t>
                </m:r>
              </m:oMath>
            </m:oMathPara>
          </w:p>
        </w:tc>
        <w:tc>
          <w:tcPr>
            <w:tcW w:w="1980" w:type="dxa"/>
          </w:tcPr>
          <w:p w14:paraId="17535D13" w14:textId="77777777" w:rsidR="00C2291B" w:rsidRDefault="00000000">
            <w:pPr>
              <w:pStyle w:val="Compact"/>
            </w:pPr>
            <m:oMathPara>
              <m:oMath>
                <m:r>
                  <w:rPr>
                    <w:rFonts w:ascii="Cambria Math" w:hAnsi="Cambria Math"/>
                  </w:rPr>
                  <m:t>0.962</m:t>
                </m:r>
              </m:oMath>
            </m:oMathPara>
          </w:p>
        </w:tc>
      </w:tr>
      <w:tr w:rsidR="00C2291B" w14:paraId="3EB16568" w14:textId="77777777">
        <w:tc>
          <w:tcPr>
            <w:tcW w:w="1980" w:type="dxa"/>
          </w:tcPr>
          <w:p w14:paraId="7EE26DAE" w14:textId="77777777" w:rsidR="00C2291B" w:rsidRDefault="00C2291B">
            <w:pPr>
              <w:pStyle w:val="Compact"/>
            </w:pPr>
          </w:p>
        </w:tc>
        <w:tc>
          <w:tcPr>
            <w:tcW w:w="1980" w:type="dxa"/>
          </w:tcPr>
          <w:p w14:paraId="4F96B302" w14:textId="77777777" w:rsidR="00C2291B" w:rsidRDefault="00000000">
            <w:pPr>
              <w:pStyle w:val="Compact"/>
            </w:pPr>
            <w:r>
              <w:t>Replay buffer size</w:t>
            </w:r>
          </w:p>
        </w:tc>
        <w:tc>
          <w:tcPr>
            <w:tcW w:w="1980" w:type="dxa"/>
          </w:tcPr>
          <w:p w14:paraId="635E24DF" w14:textId="77777777" w:rsidR="00C2291B" w:rsidRDefault="00000000">
            <w:pPr>
              <w:pStyle w:val="Compact"/>
            </w:pPr>
            <m:oMathPara>
              <m:oMath>
                <m:r>
                  <w:rPr>
                    <w:rFonts w:ascii="Cambria Math" w:hAnsi="Cambria Math"/>
                  </w:rPr>
                  <m:t>M</m:t>
                </m:r>
              </m:oMath>
            </m:oMathPara>
          </w:p>
        </w:tc>
        <w:tc>
          <w:tcPr>
            <w:tcW w:w="1980" w:type="dxa"/>
          </w:tcPr>
          <w:p w14:paraId="2DB9745A" w14:textId="77777777" w:rsidR="00C2291B"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C2291B" w14:paraId="0F1F4E3A" w14:textId="77777777">
        <w:tc>
          <w:tcPr>
            <w:tcW w:w="1980" w:type="dxa"/>
          </w:tcPr>
          <w:p w14:paraId="368C0FEA" w14:textId="77777777" w:rsidR="00C2291B" w:rsidRDefault="00C2291B">
            <w:pPr>
              <w:pStyle w:val="Compact"/>
            </w:pPr>
          </w:p>
        </w:tc>
        <w:tc>
          <w:tcPr>
            <w:tcW w:w="1980" w:type="dxa"/>
          </w:tcPr>
          <w:p w14:paraId="364B4246" w14:textId="77777777" w:rsidR="00C2291B" w:rsidRDefault="00000000">
            <w:pPr>
              <w:pStyle w:val="Compact"/>
            </w:pPr>
            <w:r>
              <w:t>Mini-batch size</w:t>
            </w:r>
          </w:p>
        </w:tc>
        <w:tc>
          <w:tcPr>
            <w:tcW w:w="1980" w:type="dxa"/>
          </w:tcPr>
          <w:p w14:paraId="003A4F1A" w14:textId="77777777" w:rsidR="00C2291B" w:rsidRDefault="00000000">
            <w:pPr>
              <w:pStyle w:val="Compact"/>
            </w:pPr>
            <m:oMathPara>
              <m:oMath>
                <m:r>
                  <w:rPr>
                    <w:rFonts w:ascii="Cambria Math" w:hAnsi="Cambria Math"/>
                  </w:rPr>
                  <m:t>B</m:t>
                </m:r>
              </m:oMath>
            </m:oMathPara>
          </w:p>
        </w:tc>
        <w:tc>
          <w:tcPr>
            <w:tcW w:w="1980" w:type="dxa"/>
          </w:tcPr>
          <w:p w14:paraId="57F9397D" w14:textId="77777777" w:rsidR="00C2291B" w:rsidRDefault="00000000">
            <w:pPr>
              <w:pStyle w:val="Compact"/>
            </w:pPr>
            <m:oMathPara>
              <m:oMath>
                <m:r>
                  <w:rPr>
                    <w:rFonts w:ascii="Cambria Math" w:hAnsi="Cambria Math"/>
                  </w:rPr>
                  <m:t>178</m:t>
                </m:r>
              </m:oMath>
            </m:oMathPara>
          </w:p>
        </w:tc>
      </w:tr>
      <w:tr w:rsidR="00C2291B" w14:paraId="05281326" w14:textId="77777777">
        <w:tc>
          <w:tcPr>
            <w:tcW w:w="1980" w:type="dxa"/>
          </w:tcPr>
          <w:p w14:paraId="3F08B274" w14:textId="77777777" w:rsidR="00C2291B" w:rsidRDefault="00C2291B">
            <w:pPr>
              <w:pStyle w:val="Compact"/>
            </w:pPr>
          </w:p>
        </w:tc>
        <w:tc>
          <w:tcPr>
            <w:tcW w:w="1980" w:type="dxa"/>
          </w:tcPr>
          <w:p w14:paraId="4BB2EC7F" w14:textId="77777777" w:rsidR="00C2291B" w:rsidRDefault="00000000">
            <w:pPr>
              <w:pStyle w:val="Compact"/>
            </w:pPr>
            <w:r>
              <w:t>Epsilon schedule</w:t>
            </w:r>
          </w:p>
        </w:tc>
        <w:tc>
          <w:tcPr>
            <w:tcW w:w="1980" w:type="dxa"/>
          </w:tcPr>
          <w:p w14:paraId="2A27B49B" w14:textId="77777777" w:rsidR="00C2291B" w:rsidRDefault="00000000">
            <w:pPr>
              <w:pStyle w:val="Compact"/>
            </w:pPr>
            <m:oMathPara>
              <m:oMath>
                <m:r>
                  <w:rPr>
                    <w:rFonts w:ascii="Cambria Math" w:hAnsi="Cambria Math"/>
                  </w:rPr>
                  <m:t>ϵ</m:t>
                </m:r>
              </m:oMath>
            </m:oMathPara>
          </w:p>
        </w:tc>
        <w:tc>
          <w:tcPr>
            <w:tcW w:w="1980" w:type="dxa"/>
          </w:tcPr>
          <w:p w14:paraId="50486A6F" w14:textId="77777777" w:rsidR="00C2291B"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C2291B" w14:paraId="0AB79175" w14:textId="77777777">
        <w:tc>
          <w:tcPr>
            <w:tcW w:w="1980" w:type="dxa"/>
          </w:tcPr>
          <w:p w14:paraId="6D733EB7" w14:textId="77777777" w:rsidR="00C2291B" w:rsidRDefault="00C2291B">
            <w:pPr>
              <w:pStyle w:val="Compact"/>
            </w:pPr>
          </w:p>
        </w:tc>
        <w:tc>
          <w:tcPr>
            <w:tcW w:w="1980" w:type="dxa"/>
          </w:tcPr>
          <w:p w14:paraId="7939EF3C" w14:textId="77777777" w:rsidR="00C2291B" w:rsidRDefault="00000000">
            <w:pPr>
              <w:pStyle w:val="Compact"/>
            </w:pPr>
            <w:r>
              <w:t>Epsilon decay factor</w:t>
            </w:r>
          </w:p>
        </w:tc>
        <w:tc>
          <w:tcPr>
            <w:tcW w:w="1980" w:type="dxa"/>
          </w:tcPr>
          <w:p w14:paraId="3E9BBB45" w14:textId="77777777" w:rsidR="00C2291B"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Pr>
          <w:p w14:paraId="776C2440" w14:textId="77777777" w:rsidR="00C2291B" w:rsidRDefault="00000000">
            <w:pPr>
              <w:pStyle w:val="Compact"/>
            </w:pPr>
            <m:oMathPara>
              <m:oMath>
                <m:r>
                  <w:rPr>
                    <w:rFonts w:ascii="Cambria Math" w:hAnsi="Cambria Math"/>
                  </w:rPr>
                  <m:t>0.9947</m:t>
                </m:r>
              </m:oMath>
            </m:oMathPara>
          </w:p>
        </w:tc>
      </w:tr>
      <w:tr w:rsidR="00C2291B" w14:paraId="058A2EDD" w14:textId="77777777">
        <w:tc>
          <w:tcPr>
            <w:tcW w:w="1980" w:type="dxa"/>
          </w:tcPr>
          <w:p w14:paraId="3F53DFB0" w14:textId="77777777" w:rsidR="00C2291B" w:rsidRDefault="00C2291B">
            <w:pPr>
              <w:pStyle w:val="Compact"/>
            </w:pPr>
          </w:p>
        </w:tc>
        <w:tc>
          <w:tcPr>
            <w:tcW w:w="1980" w:type="dxa"/>
          </w:tcPr>
          <w:p w14:paraId="0FB946E5" w14:textId="77777777" w:rsidR="00C2291B" w:rsidRDefault="00000000">
            <w:pPr>
              <w:pStyle w:val="Compact"/>
            </w:pPr>
            <w:r>
              <w:t>Target update frequency</w:t>
            </w:r>
          </w:p>
        </w:tc>
        <w:tc>
          <w:tcPr>
            <w:tcW w:w="1980" w:type="dxa"/>
          </w:tcPr>
          <w:p w14:paraId="51E17E81" w14:textId="77777777" w:rsidR="00C2291B" w:rsidRDefault="00000000">
            <w:pPr>
              <w:pStyle w:val="Compact"/>
            </w:pPr>
            <m:oMathPara>
              <m:oMath>
                <m:r>
                  <w:rPr>
                    <w:rFonts w:ascii="Cambria Math" w:hAnsi="Cambria Math"/>
                  </w:rPr>
                  <m:t>C</m:t>
                </m:r>
              </m:oMath>
            </m:oMathPara>
          </w:p>
        </w:tc>
        <w:tc>
          <w:tcPr>
            <w:tcW w:w="1980" w:type="dxa"/>
          </w:tcPr>
          <w:p w14:paraId="52BF075C" w14:textId="77777777" w:rsidR="00C2291B" w:rsidRDefault="00000000">
            <w:pPr>
              <w:pStyle w:val="Compact"/>
            </w:pPr>
            <m:oMath>
              <m:r>
                <w:rPr>
                  <w:rFonts w:ascii="Cambria Math" w:hAnsi="Cambria Math"/>
                </w:rPr>
                <m:t>126</m:t>
              </m:r>
            </m:oMath>
            <w:r>
              <w:t xml:space="preserve"> steps</w:t>
            </w:r>
          </w:p>
        </w:tc>
      </w:tr>
      <w:tr w:rsidR="00C2291B" w14:paraId="2FFE1449" w14:textId="77777777">
        <w:tc>
          <w:tcPr>
            <w:tcW w:w="1980" w:type="dxa"/>
          </w:tcPr>
          <w:p w14:paraId="213490FB" w14:textId="77777777" w:rsidR="00C2291B" w:rsidRDefault="00C2291B">
            <w:pPr>
              <w:pStyle w:val="Compact"/>
            </w:pPr>
          </w:p>
        </w:tc>
        <w:tc>
          <w:tcPr>
            <w:tcW w:w="1980" w:type="dxa"/>
          </w:tcPr>
          <w:p w14:paraId="78AAA59A" w14:textId="77777777" w:rsidR="00C2291B" w:rsidRDefault="00000000">
            <w:pPr>
              <w:pStyle w:val="Compact"/>
            </w:pPr>
            <w:r>
              <w:t xml:space="preserve">Network </w:t>
            </w:r>
            <w:r>
              <w:lastRenderedPageBreak/>
              <w:t>architecture</w:t>
            </w:r>
          </w:p>
        </w:tc>
        <w:tc>
          <w:tcPr>
            <w:tcW w:w="1980" w:type="dxa"/>
          </w:tcPr>
          <w:p w14:paraId="459FFC88" w14:textId="77777777" w:rsidR="00C2291B" w:rsidRDefault="00000000">
            <w:pPr>
              <w:pStyle w:val="Compact"/>
            </w:pPr>
            <w:r>
              <w:lastRenderedPageBreak/>
              <w:t>-</w:t>
            </w:r>
          </w:p>
        </w:tc>
        <w:tc>
          <w:tcPr>
            <w:tcW w:w="1980" w:type="dxa"/>
          </w:tcPr>
          <w:p w14:paraId="25A7C35A" w14:textId="77777777" w:rsidR="00C2291B" w:rsidRDefault="00000000">
            <w:pPr>
              <w:pStyle w:val="Compact"/>
            </w:pPr>
            <w:r>
              <w:t>[256, 128, 64]</w:t>
            </w:r>
          </w:p>
        </w:tc>
      </w:tr>
      <w:tr w:rsidR="00C2291B" w14:paraId="629CA584" w14:textId="77777777">
        <w:tc>
          <w:tcPr>
            <w:tcW w:w="1980" w:type="dxa"/>
          </w:tcPr>
          <w:p w14:paraId="415CFE06" w14:textId="77777777" w:rsidR="00C2291B" w:rsidRDefault="00C2291B">
            <w:pPr>
              <w:pStyle w:val="Compact"/>
            </w:pPr>
          </w:p>
        </w:tc>
        <w:tc>
          <w:tcPr>
            <w:tcW w:w="1980" w:type="dxa"/>
          </w:tcPr>
          <w:p w14:paraId="278A0D4A" w14:textId="77777777" w:rsidR="00C2291B" w:rsidRDefault="00000000">
            <w:pPr>
              <w:pStyle w:val="Compact"/>
            </w:pPr>
            <w:r>
              <w:t>State dimension / action cardinality</w:t>
            </w:r>
          </w:p>
        </w:tc>
        <w:tc>
          <w:tcPr>
            <w:tcW w:w="1980" w:type="dxa"/>
          </w:tcPr>
          <w:p w14:paraId="762C92F1" w14:textId="77777777" w:rsidR="00C2291B" w:rsidRDefault="00000000">
            <w:pPr>
              <w:pStyle w:val="Compact"/>
            </w:pPr>
            <w:r>
              <w:t>-</w:t>
            </w:r>
          </w:p>
        </w:tc>
        <w:tc>
          <w:tcPr>
            <w:tcW w:w="1980" w:type="dxa"/>
          </w:tcPr>
          <w:p w14:paraId="270E1732" w14:textId="77777777" w:rsidR="00C2291B"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C2291B" w14:paraId="3FA95DD9" w14:textId="77777777">
        <w:tc>
          <w:tcPr>
            <w:tcW w:w="1980" w:type="dxa"/>
          </w:tcPr>
          <w:p w14:paraId="2E869651" w14:textId="77777777" w:rsidR="00C2291B" w:rsidRDefault="00000000">
            <w:pPr>
              <w:pStyle w:val="Compact"/>
            </w:pPr>
            <w:r>
              <w:rPr>
                <w:b/>
                <w:bCs/>
              </w:rPr>
              <w:t>Streaming Anomaly Gate</w:t>
            </w:r>
          </w:p>
        </w:tc>
        <w:tc>
          <w:tcPr>
            <w:tcW w:w="1980" w:type="dxa"/>
          </w:tcPr>
          <w:p w14:paraId="7C416156" w14:textId="77777777" w:rsidR="00C2291B" w:rsidRDefault="00000000">
            <w:pPr>
              <w:pStyle w:val="Compact"/>
            </w:pPr>
            <w:r>
              <w:t>Gate EMA Decay (</w:t>
            </w:r>
            <m:oMath>
              <m:r>
                <w:rPr>
                  <w:rFonts w:ascii="Cambria Math" w:hAnsi="Cambria Math"/>
                </w:rPr>
                <m:t>λ</m:t>
              </m:r>
            </m:oMath>
            <w:r>
              <w:t xml:space="preserve"> global)</w:t>
            </w:r>
          </w:p>
        </w:tc>
        <w:tc>
          <w:tcPr>
            <w:tcW w:w="1980" w:type="dxa"/>
          </w:tcPr>
          <w:p w14:paraId="73401E1E" w14:textId="77777777" w:rsidR="00C2291B"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oMath>
            </m:oMathPara>
          </w:p>
        </w:tc>
        <w:tc>
          <w:tcPr>
            <w:tcW w:w="1980" w:type="dxa"/>
          </w:tcPr>
          <w:p w14:paraId="7DD06B17" w14:textId="77777777" w:rsidR="00C2291B" w:rsidRDefault="00000000">
            <w:pPr>
              <w:pStyle w:val="Compact"/>
            </w:pPr>
            <m:oMathPara>
              <m:oMath>
                <m:r>
                  <w:rPr>
                    <w:rFonts w:ascii="Cambria Math" w:hAnsi="Cambria Math"/>
                  </w:rPr>
                  <m:t>0.0625</m:t>
                </m:r>
              </m:oMath>
            </m:oMathPara>
          </w:p>
        </w:tc>
      </w:tr>
      <w:tr w:rsidR="00C2291B" w14:paraId="4B572E6B" w14:textId="77777777">
        <w:tc>
          <w:tcPr>
            <w:tcW w:w="1980" w:type="dxa"/>
          </w:tcPr>
          <w:p w14:paraId="5F82177C" w14:textId="77777777" w:rsidR="00C2291B" w:rsidRDefault="00C2291B">
            <w:pPr>
              <w:pStyle w:val="Compact"/>
            </w:pPr>
          </w:p>
        </w:tc>
        <w:tc>
          <w:tcPr>
            <w:tcW w:w="1980" w:type="dxa"/>
          </w:tcPr>
          <w:p w14:paraId="1CCBDF18" w14:textId="77777777" w:rsidR="00C2291B" w:rsidRDefault="00000000">
            <w:pPr>
              <w:pStyle w:val="Compact"/>
            </w:pPr>
            <w:r>
              <w:t>Local window size</w:t>
            </w:r>
          </w:p>
        </w:tc>
        <w:tc>
          <w:tcPr>
            <w:tcW w:w="1980" w:type="dxa"/>
          </w:tcPr>
          <w:p w14:paraId="543A5689" w14:textId="77777777" w:rsidR="00C2291B" w:rsidRDefault="00000000">
            <w:pPr>
              <w:pStyle w:val="Compact"/>
            </w:pPr>
            <m:oMathPara>
              <m:oMath>
                <m:r>
                  <w:rPr>
                    <w:rFonts w:ascii="Cambria Math" w:hAnsi="Cambria Math"/>
                  </w:rPr>
                  <m:t>W</m:t>
                </m:r>
              </m:oMath>
            </m:oMathPara>
          </w:p>
        </w:tc>
        <w:tc>
          <w:tcPr>
            <w:tcW w:w="1980" w:type="dxa"/>
          </w:tcPr>
          <w:p w14:paraId="5D16B629" w14:textId="77777777" w:rsidR="00C2291B" w:rsidRDefault="00000000">
            <w:pPr>
              <w:pStyle w:val="Compact"/>
            </w:pPr>
            <m:oMathPara>
              <m:oMath>
                <m:r>
                  <w:rPr>
                    <w:rFonts w:ascii="Cambria Math" w:hAnsi="Cambria Math"/>
                  </w:rPr>
                  <m:t>135</m:t>
                </m:r>
              </m:oMath>
            </m:oMathPara>
          </w:p>
        </w:tc>
      </w:tr>
      <w:tr w:rsidR="00C2291B" w14:paraId="18294CF9" w14:textId="77777777">
        <w:tc>
          <w:tcPr>
            <w:tcW w:w="1980" w:type="dxa"/>
          </w:tcPr>
          <w:p w14:paraId="6A9C8B72" w14:textId="77777777" w:rsidR="00C2291B" w:rsidRDefault="00C2291B">
            <w:pPr>
              <w:pStyle w:val="Compact"/>
            </w:pPr>
          </w:p>
        </w:tc>
        <w:tc>
          <w:tcPr>
            <w:tcW w:w="1980" w:type="dxa"/>
          </w:tcPr>
          <w:p w14:paraId="129E86AF" w14:textId="77777777" w:rsidR="00C2291B" w:rsidRDefault="00000000">
            <w:pPr>
              <w:pStyle w:val="Compact"/>
            </w:pPr>
            <w:r>
              <w:t>Local update rate</w:t>
            </w:r>
          </w:p>
        </w:tc>
        <w:tc>
          <w:tcPr>
            <w:tcW w:w="1980" w:type="dxa"/>
          </w:tcPr>
          <w:p w14:paraId="66A19B1F" w14:textId="77777777" w:rsidR="00C2291B"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Pr>
          <w:p w14:paraId="60C8F343" w14:textId="77777777" w:rsidR="00C2291B" w:rsidRDefault="00000000">
            <w:pPr>
              <w:pStyle w:val="Compact"/>
            </w:pPr>
            <m:oMathPara>
              <m:oMath>
                <m:r>
                  <w:rPr>
                    <w:rFonts w:ascii="Cambria Math" w:hAnsi="Cambria Math"/>
                  </w:rPr>
                  <m:t>0.595659</m:t>
                </m:r>
              </m:oMath>
            </m:oMathPara>
          </w:p>
        </w:tc>
      </w:tr>
      <w:tr w:rsidR="00C2291B" w14:paraId="0A9A9566" w14:textId="77777777">
        <w:tc>
          <w:tcPr>
            <w:tcW w:w="1980" w:type="dxa"/>
          </w:tcPr>
          <w:p w14:paraId="037ABB10" w14:textId="77777777" w:rsidR="00C2291B" w:rsidRDefault="00C2291B">
            <w:pPr>
              <w:pStyle w:val="Compact"/>
            </w:pPr>
          </w:p>
        </w:tc>
        <w:tc>
          <w:tcPr>
            <w:tcW w:w="1980" w:type="dxa"/>
          </w:tcPr>
          <w:p w14:paraId="1666F6AF" w14:textId="77777777" w:rsidR="00C2291B" w:rsidRDefault="00000000">
            <w:pPr>
              <w:pStyle w:val="Compact"/>
            </w:pPr>
            <w:r>
              <w:t>Reference samples</w:t>
            </w:r>
          </w:p>
        </w:tc>
        <w:tc>
          <w:tcPr>
            <w:tcW w:w="1980" w:type="dxa"/>
          </w:tcPr>
          <w:p w14:paraId="07124EF3" w14:textId="77777777" w:rsidR="00C2291B"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1980" w:type="dxa"/>
          </w:tcPr>
          <w:p w14:paraId="646B7CAB" w14:textId="77777777" w:rsidR="00C2291B" w:rsidRDefault="00000000">
            <w:pPr>
              <w:pStyle w:val="Compact"/>
            </w:pPr>
            <m:oMathPara>
              <m:oMath>
                <m:r>
                  <w:rPr>
                    <w:rFonts w:ascii="Cambria Math" w:hAnsi="Cambria Math"/>
                  </w:rPr>
                  <m:t>700</m:t>
                </m:r>
              </m:oMath>
            </m:oMathPara>
          </w:p>
        </w:tc>
      </w:tr>
      <w:tr w:rsidR="00C2291B" w14:paraId="6E487879" w14:textId="77777777">
        <w:tc>
          <w:tcPr>
            <w:tcW w:w="1980" w:type="dxa"/>
          </w:tcPr>
          <w:p w14:paraId="67622565" w14:textId="77777777" w:rsidR="00C2291B" w:rsidRDefault="00C2291B">
            <w:pPr>
              <w:pStyle w:val="Compact"/>
            </w:pPr>
          </w:p>
        </w:tc>
        <w:tc>
          <w:tcPr>
            <w:tcW w:w="1980" w:type="dxa"/>
          </w:tcPr>
          <w:p w14:paraId="3B418E80" w14:textId="77777777" w:rsidR="00C2291B" w:rsidRDefault="00000000">
            <w:pPr>
              <w:pStyle w:val="Compact"/>
            </w:pPr>
            <w:r>
              <w:t>Base contamination</w:t>
            </w:r>
          </w:p>
        </w:tc>
        <w:tc>
          <w:tcPr>
            <w:tcW w:w="1980" w:type="dxa"/>
          </w:tcPr>
          <w:p w14:paraId="5D04932C" w14:textId="77777777" w:rsidR="00C2291B" w:rsidRDefault="00000000">
            <w:pPr>
              <w:pStyle w:val="Compact"/>
            </w:pPr>
            <m:oMathPara>
              <m:oMath>
                <m:r>
                  <w:rPr>
                    <w:rFonts w:ascii="Cambria Math" w:hAnsi="Cambria Math"/>
                  </w:rPr>
                  <m:t>ν</m:t>
                </m:r>
              </m:oMath>
            </m:oMathPara>
          </w:p>
        </w:tc>
        <w:tc>
          <w:tcPr>
            <w:tcW w:w="1980" w:type="dxa"/>
          </w:tcPr>
          <w:p w14:paraId="138EF48D" w14:textId="77777777" w:rsidR="00C2291B" w:rsidRDefault="00000000">
            <w:pPr>
              <w:pStyle w:val="Compact"/>
            </w:pPr>
            <m:oMathPara>
              <m:oMath>
                <m:r>
                  <w:rPr>
                    <w:rFonts w:ascii="Cambria Math" w:hAnsi="Cambria Math"/>
                  </w:rPr>
                  <m:t>0.310449</m:t>
                </m:r>
              </m:oMath>
            </m:oMathPara>
          </w:p>
        </w:tc>
      </w:tr>
      <w:tr w:rsidR="00C2291B" w14:paraId="4421183E" w14:textId="77777777">
        <w:tc>
          <w:tcPr>
            <w:tcW w:w="1980" w:type="dxa"/>
          </w:tcPr>
          <w:p w14:paraId="6D429D16" w14:textId="77777777" w:rsidR="00C2291B" w:rsidRDefault="00C2291B">
            <w:pPr>
              <w:pStyle w:val="Compact"/>
            </w:pPr>
          </w:p>
        </w:tc>
        <w:tc>
          <w:tcPr>
            <w:tcW w:w="1980" w:type="dxa"/>
          </w:tcPr>
          <w:p w14:paraId="2F913AD2" w14:textId="77777777" w:rsidR="00C2291B" w:rsidRDefault="00000000">
            <w:pPr>
              <w:pStyle w:val="Compact"/>
            </w:pPr>
            <w:r>
              <w:t>Threshold local alpha weight</w:t>
            </w:r>
          </w:p>
        </w:tc>
        <w:tc>
          <w:tcPr>
            <w:tcW w:w="1980" w:type="dxa"/>
          </w:tcPr>
          <w:p w14:paraId="718A5E6E" w14:textId="77777777" w:rsidR="00C2291B"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Pr>
          <w:p w14:paraId="6455A17D" w14:textId="77777777" w:rsidR="00C2291B" w:rsidRDefault="00000000">
            <w:pPr>
              <w:pStyle w:val="Compact"/>
            </w:pPr>
            <m:oMathPara>
              <m:oMath>
                <m:r>
                  <w:rPr>
                    <w:rFonts w:ascii="Cambria Math" w:hAnsi="Cambria Math"/>
                  </w:rPr>
                  <m:t>0.675</m:t>
                </m:r>
              </m:oMath>
            </m:oMathPara>
          </w:p>
        </w:tc>
      </w:tr>
      <w:tr w:rsidR="00C2291B" w14:paraId="00D5C2C6" w14:textId="77777777">
        <w:tc>
          <w:tcPr>
            <w:tcW w:w="1980" w:type="dxa"/>
          </w:tcPr>
          <w:p w14:paraId="44ABE893" w14:textId="77777777" w:rsidR="00C2291B" w:rsidRDefault="00C2291B">
            <w:pPr>
              <w:pStyle w:val="Compact"/>
            </w:pPr>
          </w:p>
        </w:tc>
        <w:tc>
          <w:tcPr>
            <w:tcW w:w="1980" w:type="dxa"/>
          </w:tcPr>
          <w:p w14:paraId="12063861" w14:textId="77777777" w:rsidR="00C2291B" w:rsidRDefault="00000000">
            <w:pPr>
              <w:pStyle w:val="Compact"/>
            </w:pPr>
            <w:r>
              <w:t>Threshold Bias term</w:t>
            </w:r>
          </w:p>
        </w:tc>
        <w:tc>
          <w:tcPr>
            <w:tcW w:w="1980" w:type="dxa"/>
          </w:tcPr>
          <w:p w14:paraId="13ADA713" w14:textId="77777777" w:rsidR="00C2291B"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Pr>
          <w:p w14:paraId="07EF4279" w14:textId="77777777" w:rsidR="00C2291B" w:rsidRDefault="00000000">
            <w:pPr>
              <w:pStyle w:val="Compact"/>
            </w:pPr>
            <m:oMathPara>
              <m:oMath>
                <m:r>
                  <m:rPr>
                    <m:sty m:val="p"/>
                  </m:rPr>
                  <w:rPr>
                    <w:rFonts w:ascii="Cambria Math" w:hAnsi="Cambria Math"/>
                  </w:rPr>
                  <m:t>-</m:t>
                </m:r>
                <m:r>
                  <w:rPr>
                    <w:rFonts w:ascii="Cambria Math" w:hAnsi="Cambria Math"/>
                  </w:rPr>
                  <m:t>0.043058</m:t>
                </m:r>
              </m:oMath>
            </m:oMathPara>
          </w:p>
        </w:tc>
      </w:tr>
      <w:tr w:rsidR="00C2291B" w14:paraId="27CF259A" w14:textId="77777777">
        <w:tc>
          <w:tcPr>
            <w:tcW w:w="1980" w:type="dxa"/>
          </w:tcPr>
          <w:p w14:paraId="239DDCDB" w14:textId="77777777" w:rsidR="00C2291B" w:rsidRDefault="00C2291B">
            <w:pPr>
              <w:pStyle w:val="Compact"/>
            </w:pPr>
          </w:p>
        </w:tc>
        <w:tc>
          <w:tcPr>
            <w:tcW w:w="1980" w:type="dxa"/>
          </w:tcPr>
          <w:p w14:paraId="7A2E7681" w14:textId="77777777" w:rsidR="00C2291B" w:rsidRDefault="00000000">
            <w:pPr>
              <w:pStyle w:val="Compact"/>
            </w:pPr>
            <w:r>
              <w:t>Threshold quantile</w:t>
            </w:r>
          </w:p>
        </w:tc>
        <w:tc>
          <w:tcPr>
            <w:tcW w:w="1980" w:type="dxa"/>
          </w:tcPr>
          <w:p w14:paraId="63851A00" w14:textId="77777777" w:rsidR="00C2291B" w:rsidRDefault="00000000">
            <w:pPr>
              <w:pStyle w:val="Compact"/>
            </w:pPr>
            <m:oMathPara>
              <m:oMath>
                <m:r>
                  <w:rPr>
                    <w:rFonts w:ascii="Cambria Math" w:hAnsi="Cambria Math"/>
                  </w:rPr>
                  <m:t>q</m:t>
                </m:r>
              </m:oMath>
            </m:oMathPara>
          </w:p>
        </w:tc>
        <w:tc>
          <w:tcPr>
            <w:tcW w:w="1980" w:type="dxa"/>
          </w:tcPr>
          <w:p w14:paraId="04436039" w14:textId="77777777" w:rsidR="00C2291B" w:rsidRDefault="00000000">
            <w:pPr>
              <w:pStyle w:val="Compact"/>
            </w:pPr>
            <m:oMathPara>
              <m:oMath>
                <m:r>
                  <w:rPr>
                    <w:rFonts w:ascii="Cambria Math" w:hAnsi="Cambria Math"/>
                  </w:rPr>
                  <m:t>0.667542</m:t>
                </m:r>
              </m:oMath>
            </m:oMathPara>
          </w:p>
        </w:tc>
      </w:tr>
      <w:tr w:rsidR="00C2291B" w14:paraId="44C34A41" w14:textId="77777777">
        <w:tc>
          <w:tcPr>
            <w:tcW w:w="1980" w:type="dxa"/>
          </w:tcPr>
          <w:p w14:paraId="50E255F1" w14:textId="77777777" w:rsidR="00C2291B" w:rsidRDefault="00C2291B">
            <w:pPr>
              <w:pStyle w:val="Compact"/>
            </w:pPr>
          </w:p>
        </w:tc>
        <w:tc>
          <w:tcPr>
            <w:tcW w:w="1980" w:type="dxa"/>
          </w:tcPr>
          <w:p w14:paraId="1607E5F4" w14:textId="77777777" w:rsidR="00C2291B" w:rsidRDefault="00000000">
            <w:pPr>
              <w:pStyle w:val="Compact"/>
            </w:pPr>
            <w:r>
              <w:t>Threshold MAD scale</w:t>
            </w:r>
          </w:p>
        </w:tc>
        <w:tc>
          <w:tcPr>
            <w:tcW w:w="1980" w:type="dxa"/>
          </w:tcPr>
          <w:p w14:paraId="480D8E98" w14:textId="77777777" w:rsidR="00C2291B" w:rsidRDefault="00000000">
            <w:pPr>
              <w:pStyle w:val="Compact"/>
            </w:pPr>
            <m:oMathPara>
              <m:oMath>
                <m:r>
                  <w:rPr>
                    <w:rFonts w:ascii="Cambria Math" w:hAnsi="Cambria Math"/>
                  </w:rPr>
                  <m:t>κ</m:t>
                </m:r>
              </m:oMath>
            </m:oMathPara>
          </w:p>
        </w:tc>
        <w:tc>
          <w:tcPr>
            <w:tcW w:w="1980" w:type="dxa"/>
          </w:tcPr>
          <w:p w14:paraId="4B242599" w14:textId="77777777" w:rsidR="00C2291B" w:rsidRDefault="00000000">
            <w:pPr>
              <w:pStyle w:val="Compact"/>
            </w:pPr>
            <m:oMathPara>
              <m:oMath>
                <m:r>
                  <w:rPr>
                    <w:rFonts w:ascii="Cambria Math" w:hAnsi="Cambria Math"/>
                  </w:rPr>
                  <m:t>1.135275</m:t>
                </m:r>
              </m:oMath>
            </m:oMathPara>
          </w:p>
        </w:tc>
      </w:tr>
      <w:tr w:rsidR="00C2291B" w14:paraId="7800B4B8" w14:textId="77777777">
        <w:tc>
          <w:tcPr>
            <w:tcW w:w="1980" w:type="dxa"/>
          </w:tcPr>
          <w:p w14:paraId="13047A21" w14:textId="77777777" w:rsidR="00C2291B" w:rsidRDefault="00C2291B">
            <w:pPr>
              <w:pStyle w:val="Compact"/>
            </w:pPr>
          </w:p>
        </w:tc>
        <w:tc>
          <w:tcPr>
            <w:tcW w:w="1980" w:type="dxa"/>
          </w:tcPr>
          <w:p w14:paraId="2DCE07A6" w14:textId="77777777" w:rsidR="00C2291B" w:rsidRDefault="00000000">
            <w:pPr>
              <w:pStyle w:val="Compact"/>
            </w:pPr>
            <w:r>
              <w:t>Threshold quantile weight</w:t>
            </w:r>
          </w:p>
        </w:tc>
        <w:tc>
          <w:tcPr>
            <w:tcW w:w="1980" w:type="dxa"/>
          </w:tcPr>
          <w:p w14:paraId="540845F8" w14:textId="77777777" w:rsidR="00C2291B"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Pr>
          <w:p w14:paraId="5C710CB0" w14:textId="77777777" w:rsidR="00C2291B" w:rsidRDefault="00000000">
            <w:pPr>
              <w:pStyle w:val="Compact"/>
            </w:pPr>
            <m:oMathPara>
              <m:oMath>
                <m:r>
                  <w:rPr>
                    <w:rFonts w:ascii="Cambria Math" w:hAnsi="Cambria Math"/>
                  </w:rPr>
                  <m:t>0.575</m:t>
                </m:r>
              </m:oMath>
            </m:oMathPara>
          </w:p>
        </w:tc>
      </w:tr>
      <w:tr w:rsidR="00C2291B" w14:paraId="086D02CD" w14:textId="77777777">
        <w:tc>
          <w:tcPr>
            <w:tcW w:w="1980" w:type="dxa"/>
          </w:tcPr>
          <w:p w14:paraId="4E21EF8D" w14:textId="77777777" w:rsidR="00C2291B" w:rsidRDefault="00C2291B">
            <w:pPr>
              <w:pStyle w:val="Compact"/>
            </w:pPr>
          </w:p>
        </w:tc>
        <w:tc>
          <w:tcPr>
            <w:tcW w:w="1980" w:type="dxa"/>
          </w:tcPr>
          <w:p w14:paraId="06EFE60B" w14:textId="77777777" w:rsidR="00C2291B" w:rsidRDefault="00000000">
            <w:pPr>
              <w:pStyle w:val="Compact"/>
            </w:pPr>
            <w:r>
              <w:t>Trigger hysteresis margin</w:t>
            </w:r>
          </w:p>
        </w:tc>
        <w:tc>
          <w:tcPr>
            <w:tcW w:w="1980" w:type="dxa"/>
          </w:tcPr>
          <w:p w14:paraId="3C58E41A" w14:textId="77777777" w:rsidR="00C2291B"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Pr>
          <w:p w14:paraId="39338473" w14:textId="77777777" w:rsidR="00C2291B" w:rsidRDefault="00000000">
            <w:pPr>
              <w:pStyle w:val="Compact"/>
            </w:pPr>
            <m:oMathPara>
              <m:oMath>
                <m:r>
                  <w:rPr>
                    <w:rFonts w:ascii="Cambria Math" w:hAnsi="Cambria Math"/>
                  </w:rPr>
                  <m:t>0.021760</m:t>
                </m:r>
              </m:oMath>
            </m:oMathPara>
          </w:p>
        </w:tc>
      </w:tr>
      <w:tr w:rsidR="00C2291B" w14:paraId="28681BCB" w14:textId="77777777">
        <w:tc>
          <w:tcPr>
            <w:tcW w:w="1980" w:type="dxa"/>
          </w:tcPr>
          <w:p w14:paraId="59112FD6" w14:textId="77777777" w:rsidR="00C2291B" w:rsidRDefault="00C2291B">
            <w:pPr>
              <w:pStyle w:val="Compact"/>
            </w:pPr>
          </w:p>
        </w:tc>
        <w:tc>
          <w:tcPr>
            <w:tcW w:w="1980" w:type="dxa"/>
          </w:tcPr>
          <w:p w14:paraId="03651BE2" w14:textId="77777777" w:rsidR="00C2291B" w:rsidRDefault="00000000">
            <w:pPr>
              <w:pStyle w:val="Compact"/>
            </w:pPr>
            <w:r>
              <w:t>Min samples for threshold optimization</w:t>
            </w:r>
          </w:p>
        </w:tc>
        <w:tc>
          <w:tcPr>
            <w:tcW w:w="1980" w:type="dxa"/>
          </w:tcPr>
          <w:p w14:paraId="58EB593C" w14:textId="77777777" w:rsidR="00C2291B"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1980" w:type="dxa"/>
          </w:tcPr>
          <w:p w14:paraId="57CB2C1C" w14:textId="77777777" w:rsidR="00C2291B" w:rsidRDefault="00000000">
            <w:pPr>
              <w:pStyle w:val="Compact"/>
            </w:pPr>
            <m:oMathPara>
              <m:oMath>
                <m:r>
                  <w:rPr>
                    <w:rFonts w:ascii="Cambria Math" w:hAnsi="Cambria Math"/>
                  </w:rPr>
                  <m:t>70</m:t>
                </m:r>
              </m:oMath>
            </m:oMathPara>
          </w:p>
        </w:tc>
      </w:tr>
      <w:tr w:rsidR="00C2291B" w14:paraId="0A0C9316" w14:textId="77777777">
        <w:tc>
          <w:tcPr>
            <w:tcW w:w="1980" w:type="dxa"/>
          </w:tcPr>
          <w:p w14:paraId="3CFF0A9F" w14:textId="77777777" w:rsidR="00C2291B" w:rsidRDefault="00C2291B">
            <w:pPr>
              <w:pStyle w:val="Compact"/>
            </w:pPr>
          </w:p>
        </w:tc>
        <w:tc>
          <w:tcPr>
            <w:tcW w:w="1980" w:type="dxa"/>
          </w:tcPr>
          <w:p w14:paraId="1F47415E" w14:textId="77777777" w:rsidR="00C2291B" w:rsidRDefault="00000000">
            <w:pPr>
              <w:pStyle w:val="Compact"/>
            </w:pPr>
            <w:r>
              <w:t>Scale fusing weights (Short/Mid/Long)</w:t>
            </w:r>
          </w:p>
        </w:tc>
        <w:tc>
          <w:tcPr>
            <w:tcW w:w="1980" w:type="dxa"/>
          </w:tcPr>
          <w:p w14:paraId="0BA37131" w14:textId="77777777" w:rsidR="00C2291B" w:rsidRDefault="00000000">
            <w:pPr>
              <w:pStyle w:val="Compact"/>
            </w:pPr>
            <m:oMathPara>
              <m:oMath>
                <m:r>
                  <m:rPr>
                    <m:sty m:val="bi"/>
                  </m:rPr>
                  <w:rPr>
                    <w:rFonts w:ascii="Cambria Math" w:hAnsi="Cambria Math"/>
                  </w:rPr>
                  <m:t>w</m:t>
                </m:r>
              </m:oMath>
            </m:oMathPara>
          </w:p>
        </w:tc>
        <w:tc>
          <w:tcPr>
            <w:tcW w:w="1980" w:type="dxa"/>
          </w:tcPr>
          <w:p w14:paraId="183A2791" w14:textId="77777777" w:rsidR="00C2291B" w:rsidRDefault="00000000">
            <w:pPr>
              <w:pStyle w:val="Compact"/>
            </w:pPr>
            <m:oMathPara>
              <m:oMath>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0.275</m:t>
                </m:r>
                <m:r>
                  <m:rPr>
                    <m:sty m:val="p"/>
                  </m:rPr>
                  <w:rPr>
                    <w:rFonts w:ascii="Cambria Math" w:hAnsi="Cambria Math"/>
                  </w:rPr>
                  <m:t>,</m:t>
                </m:r>
                <m:r>
                  <w:rPr>
                    <w:rFonts w:ascii="Cambria Math" w:hAnsi="Cambria Math"/>
                  </w:rPr>
                  <m:t>0.175</m:t>
                </m:r>
                <m:r>
                  <m:rPr>
                    <m:sty m:val="p"/>
                  </m:rPr>
                  <w:rPr>
                    <w:rFonts w:ascii="Cambria Math" w:hAnsi="Cambria Math"/>
                  </w:rPr>
                  <m:t>]</m:t>
                </m:r>
              </m:oMath>
            </m:oMathPara>
          </w:p>
        </w:tc>
      </w:tr>
    </w:tbl>
    <w:p w14:paraId="1F736951" w14:textId="77777777" w:rsidR="00C2291B" w:rsidRDefault="00000000">
      <w:pPr>
        <w:pStyle w:val="Compact"/>
        <w:numPr>
          <w:ilvl w:val="0"/>
          <w:numId w:val="12"/>
        </w:numPr>
      </w:pPr>
      <w:r>
        <w:rPr>
          <w:rFonts w:hint="eastAsia"/>
        </w:rPr>
        <w:t>评价指标体系</w:t>
      </w:r>
      <w:r>
        <w:t xml:space="preserve"> (Evaluation Metrics)</w:t>
      </w:r>
    </w:p>
    <w:p w14:paraId="299C165A" w14:textId="77777777" w:rsidR="00C2291B" w:rsidRDefault="00000000">
      <w:pPr>
        <w:pStyle w:val="FirstParagraph"/>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641250F0" w14:textId="77777777" w:rsidR="00C2291B" w:rsidRDefault="00000000">
      <w:pPr>
        <w:numPr>
          <w:ilvl w:val="0"/>
          <w:numId w:val="13"/>
        </w:numPr>
      </w:pPr>
      <w:r>
        <w:rPr>
          <w:rFonts w:hint="eastAsia"/>
        </w:rPr>
        <w:t>能耗效率指标</w:t>
      </w:r>
      <w:r>
        <w:t xml:space="preserve"> (Energy Efficiency Metrics)</w:t>
      </w:r>
    </w:p>
    <w:p w14:paraId="2DB7E3A7" w14:textId="77777777" w:rsidR="00C2291B"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02A536B1" w14:textId="77777777" w:rsidR="00C2291B" w:rsidRDefault="00000000">
      <w:pPr>
        <w:numPr>
          <w:ilvl w:val="1"/>
          <w:numId w:val="14"/>
        </w:numPr>
      </w:pPr>
      <w:r>
        <w:rPr>
          <w:rFonts w:hint="eastAsia"/>
        </w:rPr>
        <w:lastRenderedPageBreak/>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172FE08C"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22C60FD7" w14:textId="77777777" w:rsidR="00C2291B" w:rsidRDefault="00000000">
      <w:pPr>
        <w:numPr>
          <w:ilvl w:val="1"/>
          <w:numId w:val="1"/>
        </w:numPr>
      </w:pPr>
      <w:r>
        <w:rPr>
          <w:rFonts w:hint="eastAsia"/>
        </w:rPr>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235A5F55" w14:textId="77777777" w:rsidR="00C2291B" w:rsidRDefault="00000000">
      <w:pPr>
        <w:numPr>
          <w:ilvl w:val="1"/>
          <w:numId w:val="14"/>
        </w:numPr>
      </w:pPr>
      <w:r>
        <w:rPr>
          <w:rFonts w:hint="eastAsia"/>
        </w:rPr>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：用于量化任一待评估方法相较统一比较基线的节能效果：</w:t>
      </w:r>
    </w:p>
    <w:p w14:paraId="5D080A82" w14:textId="77777777" w:rsidR="00C2291B"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887F3C5" w14:textId="77777777" w:rsidR="00C2291B"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m:t>
            </m:r>
          </m:sub>
        </m:sSub>
      </m:oMath>
      <w:r>
        <w:t xml:space="preserve"> </w:t>
      </w:r>
      <w:r>
        <w:rPr>
          <w:rFonts w:hint="eastAsia"/>
        </w:rPr>
        <w:t>为统一比较基线的累积能耗，</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个方法的累积能耗。</w:t>
      </w:r>
    </w:p>
    <w:p w14:paraId="329F9E8A" w14:textId="77777777" w:rsidR="00C2291B" w:rsidRDefault="00000000">
      <w:pPr>
        <w:numPr>
          <w:ilvl w:val="1"/>
          <w:numId w:val="14"/>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3091E309" w14:textId="77777777" w:rsidR="00C2291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67BF8E02" w14:textId="77777777" w:rsidR="00C2291B" w:rsidRDefault="00000000">
      <w:pPr>
        <w:numPr>
          <w:ilvl w:val="1"/>
          <w:numId w:val="1"/>
        </w:numPr>
      </w:pPr>
      <w:r>
        <w:rPr>
          <w:rFonts w:hint="eastAsia"/>
        </w:rPr>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3AB7D657" w14:textId="77777777" w:rsidR="00C2291B" w:rsidRDefault="00000000">
      <w:pPr>
        <w:numPr>
          <w:ilvl w:val="0"/>
          <w:numId w:val="13"/>
        </w:numPr>
      </w:pPr>
      <w:r>
        <w:rPr>
          <w:rFonts w:hint="eastAsia"/>
        </w:rPr>
        <w:t>温度控制与稳定性指标</w:t>
      </w:r>
      <w:r>
        <w:t xml:space="preserve"> (Temperature Control &amp; Stability Metrics)</w:t>
      </w:r>
    </w:p>
    <w:p w14:paraId="39A6ABDC" w14:textId="77777777" w:rsidR="00C2291B" w:rsidRDefault="00000000">
      <w:pPr>
        <w:numPr>
          <w:ilvl w:val="0"/>
          <w:numId w:val="1"/>
        </w:numPr>
      </w:pPr>
      <w:r>
        <w:rPr>
          <w:rFonts w:hint="eastAsia"/>
        </w:rPr>
        <w:t>本研究采用冷冻水供水温度（代码记录字段</w:t>
      </w:r>
      <w:r>
        <w:t xml:space="preserve"> </w:t>
      </w:r>
      <w:r>
        <w:rPr>
          <w:rStyle w:val="VerbatimChar"/>
        </w:rPr>
        <w:t>chiller_supply_temp</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4A1BF21C" w14:textId="77777777" w:rsidR="00C2291B" w:rsidRDefault="00000000">
      <w:pPr>
        <w:numPr>
          <w:ilvl w:val="1"/>
          <w:numId w:val="15"/>
        </w:numPr>
      </w:pPr>
      <w:r>
        <w:rPr>
          <w:rFonts w:hint="eastAsia"/>
        </w:rPr>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2D23F82F" w14:textId="77777777" w:rsidR="00C2291B"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57F4FF03" w14:textId="77777777" w:rsidR="00C2291B"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6CE7EB0E" w14:textId="77777777" w:rsidR="00C2291B" w:rsidRDefault="00000000">
      <w:pPr>
        <w:numPr>
          <w:ilvl w:val="1"/>
          <w:numId w:val="15"/>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1831778B"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3CC3C1EC" w14:textId="77777777" w:rsidR="00C2291B"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3CF35DF1" w14:textId="77777777" w:rsidR="00C2291B" w:rsidRDefault="00000000">
      <w:pPr>
        <w:numPr>
          <w:ilvl w:val="0"/>
          <w:numId w:val="13"/>
        </w:numPr>
      </w:pPr>
      <w:r>
        <w:rPr>
          <w:rFonts w:hint="eastAsia"/>
        </w:rPr>
        <w:t>控制稀疏性指标</w:t>
      </w:r>
      <w:r>
        <w:t xml:space="preserve"> (Control Sparsity Metrics)</w:t>
      </w:r>
    </w:p>
    <w:p w14:paraId="5F67ACE8" w14:textId="77777777" w:rsidR="00C2291B" w:rsidRDefault="00000000">
      <w:pPr>
        <w:numPr>
          <w:ilvl w:val="0"/>
          <w:numId w:val="1"/>
        </w:numPr>
      </w:pPr>
      <w:r>
        <w:rPr>
          <w:rFonts w:hint="eastAsia"/>
        </w:rPr>
        <w:t>本类指标旨在量化事件驱动机制在降低通信负载与执行器磨损方面的效果。</w:t>
      </w:r>
    </w:p>
    <w:p w14:paraId="27612FA0" w14:textId="77777777" w:rsidR="00C2291B" w:rsidRDefault="00000000">
      <w:pPr>
        <w:numPr>
          <w:ilvl w:val="1"/>
          <w:numId w:val="16"/>
        </w:numPr>
      </w:pPr>
      <w:r>
        <w:rPr>
          <w:rFonts w:hint="eastAsia"/>
        </w:rPr>
        <w:t>动作更新总次数</w:t>
      </w:r>
      <w:r>
        <w:t xml:space="preserve"> (Total Action Updates, </w:t>
      </w:r>
      <m:oMath>
        <m:sSub>
          <m:sSubPr>
            <m:ctrlPr>
              <w:rPr>
                <w:rFonts w:ascii="Cambria Math" w:hAnsi="Cambria Math"/>
              </w:rPr>
            </m:ctrlPr>
          </m:sSubPr>
          <m:e>
            <m:r>
              <w:rPr>
                <w:rFonts w:ascii="Cambria Math" w:hAnsi="Cambria Math"/>
              </w:rPr>
              <m:t>N</m:t>
            </m:r>
          </m:e>
          <m:sub>
            <m:r>
              <m:rPr>
                <m:nor/>
              </m:rPr>
              <m:t>update</m:t>
            </m:r>
          </m:sub>
        </m:sSub>
      </m:oMath>
      <w:r>
        <w:rPr>
          <w:rFonts w:hint="eastAsia"/>
        </w:rPr>
        <w:t>)</w:t>
      </w:r>
      <w:r>
        <w:rPr>
          <w:rFonts w:hint="eastAsia"/>
        </w:rPr>
        <w:t>：用于统计测试周期内控制动作实际发生更新的总次数：</w:t>
      </w:r>
    </w:p>
    <w:p w14:paraId="566CE3D1"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2A6CA8D6" w14:textId="77777777" w:rsidR="00C2291B" w:rsidRDefault="00000000">
      <w:pPr>
        <w:numPr>
          <w:ilvl w:val="1"/>
          <w:numId w:val="1"/>
        </w:numPr>
      </w:pPr>
      <w:r>
        <w:rPr>
          <w:rFonts w:hint="eastAsia"/>
        </w:rPr>
        <w:t>其中，</w:t>
      </w:r>
      <m:oMath>
        <m:r>
          <m:rPr>
            <m:scr m:val="double-struck"/>
            <m:sty m:val="p"/>
          </m:rPr>
          <w:rPr>
            <w:rFonts w:ascii="Cambria Math" w:hAnsi="Cambria Math"/>
          </w:rPr>
          <m:t>I(⋅)</m:t>
        </m:r>
      </m:oMath>
      <w:r>
        <w:t xml:space="preserve"> </w:t>
      </w:r>
      <w:r>
        <w:rPr>
          <w:rFonts w:hint="eastAsia"/>
        </w:rPr>
        <w:t>为指示函数。固定步长策略下通常有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w:t>
      </w:r>
    </w:p>
    <w:p w14:paraId="2595E067" w14:textId="77777777" w:rsidR="00C2291B" w:rsidRDefault="00000000">
      <w:pPr>
        <w:numPr>
          <w:ilvl w:val="1"/>
          <w:numId w:val="16"/>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01CE8DEA"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6C26E9DA" w14:textId="77777777" w:rsidR="00C2291B" w:rsidRDefault="00000000">
      <w:pPr>
        <w:numPr>
          <w:ilvl w:val="1"/>
          <w:numId w:val="1"/>
        </w:numPr>
      </w:pPr>
      <w:r>
        <w:rPr>
          <w:rFonts w:hint="eastAsia"/>
        </w:rPr>
        <w:t>该指标以有量纲的实物频次直接体现执行器的机械磨损风险。</w:t>
      </w:r>
    </w:p>
    <w:p w14:paraId="2BE6319B" w14:textId="77777777" w:rsidR="00C2291B" w:rsidRDefault="00000000">
      <w:pPr>
        <w:numPr>
          <w:ilvl w:val="1"/>
          <w:numId w:val="16"/>
        </w:numPr>
      </w:pPr>
      <w:r>
        <w:rPr>
          <w:rFonts w:hint="eastAsia"/>
        </w:rPr>
        <w:t>动作压缩比</w:t>
      </w:r>
      <w:r>
        <w:t xml:space="preserve"> (Actuation Compression Ratio, </w:t>
      </w:r>
      <w:r>
        <w:rPr>
          <w:rFonts w:hint="eastAsia"/>
        </w:rPr>
        <w:t>ACR)</w:t>
      </w:r>
      <w:r>
        <w:rPr>
          <w:rFonts w:hint="eastAsia"/>
        </w:rPr>
        <w:t>：</w:t>
      </w:r>
    </w:p>
    <w:p w14:paraId="3909D6F5" w14:textId="77777777" w:rsidR="00C2291B"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49885211" w14:textId="77777777" w:rsidR="00C2291B"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分别为固定步长策略和待评估策略的动作更新总次数。</w:t>
      </w:r>
      <w:r>
        <w:rPr>
          <w:rFonts w:hint="eastAsia"/>
        </w:rPr>
        <w:t>ACR</w:t>
      </w:r>
      <w:r>
        <w:t xml:space="preserve"> </w:t>
      </w:r>
      <w:r>
        <w:rPr>
          <w:rFonts w:hint="eastAsia"/>
        </w:rPr>
        <w:t>值越大，表明事件驱动机制对控制动作的稀疏化效果越显著。</w:t>
      </w:r>
    </w:p>
    <w:p w14:paraId="0DC12095" w14:textId="77777777" w:rsidR="00C2291B" w:rsidRDefault="00000000">
      <w:pPr>
        <w:numPr>
          <w:ilvl w:val="1"/>
          <w:numId w:val="16"/>
        </w:numPr>
      </w:pPr>
      <w:r>
        <w:rPr>
          <w:rFonts w:hint="eastAsia"/>
        </w:rPr>
        <w:t>动作减少率</w:t>
      </w:r>
      <w:r>
        <w:t xml:space="preserve"> (Action Reduction Rate, </w:t>
      </w:r>
      <w:r>
        <w:rPr>
          <w:rFonts w:hint="eastAsia"/>
        </w:rPr>
        <w:t>ARR)</w:t>
      </w:r>
      <w:r>
        <w:rPr>
          <w:rFonts w:hint="eastAsia"/>
        </w:rPr>
        <w:t>：用于表征待评估策略相对固定步长策略减少的动作更新比例：</w:t>
      </w:r>
    </w:p>
    <w:p w14:paraId="450BB5C4" w14:textId="77777777" w:rsidR="00C2291B"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6D48FE89" w14:textId="77777777" w:rsidR="00C2291B" w:rsidRDefault="00000000">
      <w:pPr>
        <w:numPr>
          <w:ilvl w:val="1"/>
          <w:numId w:val="1"/>
        </w:numPr>
      </w:pPr>
      <w:r>
        <w:t xml:space="preserve">ARR </w:t>
      </w:r>
      <w:r>
        <w:rPr>
          <w:rFonts w:hint="eastAsia"/>
        </w:rPr>
        <w:t>值越大，表示动作更新压缩越充分，工程可解释性更直观。</w:t>
      </w:r>
    </w:p>
    <w:p w14:paraId="2459C1E9" w14:textId="77777777" w:rsidR="00C2291B" w:rsidRDefault="00000000">
      <w:pPr>
        <w:numPr>
          <w:ilvl w:val="0"/>
          <w:numId w:val="1"/>
        </w:numPr>
      </w:pPr>
      <w:r>
        <w:rPr>
          <w:rFonts w:hint="eastAsia"/>
        </w:rPr>
        <w:lastRenderedPageBreak/>
        <w:t>为综合刻画门控机制的运行行为与策略执行开销，本研究进一步报告以下执行层统计指标。</w:t>
      </w:r>
    </w:p>
    <w:p w14:paraId="2270D01A" w14:textId="77777777" w:rsidR="00C2291B" w:rsidRDefault="00000000">
      <w:pPr>
        <w:numPr>
          <w:ilvl w:val="1"/>
          <w:numId w:val="17"/>
        </w:numPr>
      </w:pPr>
      <w:r>
        <w:rPr>
          <w:rFonts w:hint="eastAsia"/>
        </w:rPr>
        <w:t>总奖励</w:t>
      </w:r>
      <w:r>
        <w:t xml:space="preserve"> (Cumulative Test Reward, </w:t>
      </w:r>
      <m:oMath>
        <m:sSub>
          <m:sSubPr>
            <m:ctrlPr>
              <w:rPr>
                <w:rFonts w:ascii="Cambria Math" w:hAnsi="Cambria Math"/>
              </w:rPr>
            </m:ctrlPr>
          </m:sSubPr>
          <m:e>
            <m:r>
              <w:rPr>
                <w:rFonts w:ascii="Cambria Math" w:hAnsi="Cambria Math"/>
              </w:rPr>
              <m:t>R</m:t>
            </m:r>
          </m:e>
          <m:sub>
            <m:r>
              <m:rPr>
                <m:nor/>
              </m:rPr>
              <m:t>test</m:t>
            </m:r>
          </m:sub>
        </m:sSub>
      </m:oMath>
      <w:r>
        <w:rPr>
          <w:rFonts w:hint="eastAsia"/>
        </w:rPr>
        <w:t>)</w:t>
      </w:r>
      <w:r>
        <w:rPr>
          <w:rFonts w:hint="eastAsia"/>
        </w:rPr>
        <w:t>：</w:t>
      </w:r>
    </w:p>
    <w:p w14:paraId="5CEC41B9" w14:textId="77777777" w:rsidR="00C2291B"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14:paraId="6EA22C99" w14:textId="77777777" w:rsidR="00C2291B" w:rsidRDefault="00000000">
      <w:pPr>
        <w:numPr>
          <w:ilvl w:val="1"/>
          <w:numId w:val="1"/>
        </w:numPr>
      </w:pPr>
      <w:r>
        <w:rPr>
          <w:rFonts w:hint="eastAsia"/>
        </w:rPr>
        <w:t>该指标用于衡量测试周期内策略的总体控制收益。</w:t>
      </w:r>
    </w:p>
    <w:p w14:paraId="5E95D3FB" w14:textId="77777777" w:rsidR="00C2291B" w:rsidRDefault="00000000">
      <w:pPr>
        <w:numPr>
          <w:ilvl w:val="1"/>
          <w:numId w:val="17"/>
        </w:numPr>
      </w:pPr>
      <w:r>
        <w:rPr>
          <w:rFonts w:hint="eastAsia"/>
        </w:rPr>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34F21B54" w14:textId="77777777" w:rsidR="00C2291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470F2282" w14:textId="77777777" w:rsidR="00C2291B"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2AABA986" w14:textId="77777777" w:rsidR="00C2291B" w:rsidRDefault="00000000">
      <w:pPr>
        <w:pStyle w:val="FirstParagraph"/>
      </w:pPr>
      <w:r>
        <w:rPr>
          <w:rFonts w:hint="eastAsia"/>
        </w:rPr>
        <w:t>评价指标体系与优化方向见附录表</w:t>
      </w:r>
      <w:r>
        <w:t xml:space="preserve"> A</w:t>
      </w:r>
      <w:r>
        <w:t>。</w:t>
      </w:r>
    </w:p>
    <w:p w14:paraId="16933A6C" w14:textId="77777777" w:rsidR="00C2291B" w:rsidRDefault="00000000">
      <w:pPr>
        <w:pStyle w:val="Compact"/>
        <w:numPr>
          <w:ilvl w:val="0"/>
          <w:numId w:val="18"/>
        </w:numPr>
      </w:pPr>
      <w:r>
        <w:rPr>
          <w:rFonts w:hint="eastAsia"/>
        </w:rPr>
        <w:t>基线策略训练稳定性与模型选择</w:t>
      </w:r>
    </w:p>
    <w:p w14:paraId="2934F250" w14:textId="77777777" w:rsidR="00C2291B" w:rsidRDefault="00000000">
      <w:pPr>
        <w:pStyle w:val="FirstParagraph"/>
      </w:pPr>
      <w:r>
        <w:rPr>
          <w:rFonts w:hint="eastAsia"/>
        </w:rPr>
        <w:t>为保证后续多策略测试对比的可解释性，本文对时间触发强化学习基线（</w:t>
      </w:r>
      <w:r>
        <w:rPr>
          <w:rFonts w:hint="eastAsia"/>
        </w:rPr>
        <w:t>Time-Triggered</w:t>
      </w:r>
      <w:r>
        <w:t xml:space="preserve"> Reinforcement Learning Baseline, </w:t>
      </w:r>
      <w:r>
        <w:rPr>
          <w:rFonts w:hint="eastAsia"/>
        </w:rPr>
        <w:t>TTC-RL</w:t>
      </w:r>
      <w:r>
        <w:rPr>
          <w:rFonts w:hint="eastAsia"/>
        </w:rPr>
        <w:t>）的训练稳定性进行独立验证。训练阶段采用固定步长</w:t>
      </w:r>
      <w:r>
        <w:t xml:space="preserve"> </w:t>
      </w:r>
      <w:r>
        <w:rPr>
          <w:rFonts w:hint="eastAsia"/>
        </w:rPr>
        <w:t>1</w:t>
      </w:r>
      <w:r>
        <w:rPr>
          <w:rFonts w:hint="eastAsia"/>
        </w:rPr>
        <w:t>（即</w:t>
      </w:r>
      <w:r>
        <w:t xml:space="preserve"> </w:t>
      </w:r>
      <w:r>
        <w:rPr>
          <w:rFonts w:hint="eastAsia"/>
        </w:rPr>
        <w:t>TTC-RL-1</w:t>
      </w:r>
      <w:r>
        <w:rPr>
          <w:rFonts w:hint="eastAsia"/>
        </w:rPr>
        <w:t>）进行</w:t>
      </w:r>
      <w:r>
        <w:t xml:space="preserve"> 80 </w:t>
      </w:r>
      <w:r>
        <w:rPr>
          <w:rFonts w:hint="eastAsia"/>
        </w:rPr>
        <w:t>个回合（</w:t>
      </w:r>
      <w:r>
        <w:rPr>
          <w:rFonts w:hint="eastAsia"/>
        </w:rPr>
        <w:t>Episode</w:t>
      </w:r>
      <w:r>
        <w:rPr>
          <w:rFonts w:hint="eastAsia"/>
        </w:rPr>
        <w:t>）交互，并在每个回合结束后于验证集执行贪婪评估。模型选择遵循验证集累计奖励最大准则。结果显示，验证集奖励在训练前期快速上升后进入平台区，并于</w:t>
      </w:r>
      <w:r>
        <w:t xml:space="preserve"> Episode 71 </w:t>
      </w:r>
      <w:r>
        <w:rPr>
          <w:rFonts w:hint="eastAsia"/>
        </w:rPr>
        <w:t>达到峰值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；后续回合虽存在小幅波动，但未出现持续下降趋势。基于该验证结果，本文选取</w:t>
      </w:r>
      <w:r>
        <w:t xml:space="preserve"> Episode 71 </w:t>
      </w:r>
      <w:r>
        <w:rPr>
          <w:rFonts w:hint="eastAsia"/>
        </w:rPr>
        <w:t>对应参数作为测试阶段的统一训练参照。需要说明的是，除</w:t>
      </w:r>
      <w:r>
        <w:t xml:space="preserve"> RBC</w:t>
      </w:r>
      <w:r>
        <w:t>、</w:t>
      </w:r>
      <w:r>
        <w:t xml:space="preserve">PID </w:t>
      </w:r>
      <w:r>
        <w:rPr>
          <w:rFonts w:hint="eastAsia"/>
        </w:rPr>
        <w:t>外，其余方法均基于该</w:t>
      </w:r>
      <w:r>
        <w:t xml:space="preserve"> TTC-RL </w:t>
      </w:r>
      <w:r>
        <w:rPr>
          <w:rFonts w:hint="eastAsia"/>
        </w:rPr>
        <w:t>训练模型，仅在动作更新时间调度与触发机制上存在差异。</w:t>
      </w:r>
    </w:p>
    <w:p w14:paraId="6F40BFED" w14:textId="77777777" w:rsidR="00C2291B" w:rsidRDefault="00000000">
      <w:pPr>
        <w:pStyle w:val="CaptionedFigure"/>
      </w:pPr>
      <w:r>
        <w:rPr>
          <w:noProof/>
        </w:rPr>
        <w:lastRenderedPageBreak/>
        <w:drawing>
          <wp:inline distT="0" distB="0" distL="0" distR="0" wp14:anchorId="275641AA" wp14:editId="3321F0AC">
            <wp:extent cx="2695575" cy="1971675"/>
            <wp:effectExtent l="0" t="0" r="0" b="0"/>
            <wp:docPr id="30" name="Picture" descr="图 5-1-1 TTC-RL 基线训练奖励曲线"/>
            <wp:cNvGraphicFramePr/>
            <a:graphic xmlns:a="http://schemas.openxmlformats.org/drawingml/2006/main">
              <a:graphicData uri="http://schemas.openxmlformats.org/drawingml/2006/picture">
                <pic:pic xmlns:pic="http://schemas.openxmlformats.org/drawingml/2006/picture">
                  <pic:nvPicPr>
                    <pic:cNvPr id="31" name="Picture" descr="../pics/fig_5_1_1_ttc_rl_training_curves.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2695575" cy="1971675"/>
                    </a:xfrm>
                    <a:prstGeom prst="rect">
                      <a:avLst/>
                    </a:prstGeom>
                    <a:noFill/>
                    <a:ln w="9525">
                      <a:noFill/>
                      <a:headEnd/>
                      <a:tailEnd/>
                    </a:ln>
                  </pic:spPr>
                </pic:pic>
              </a:graphicData>
            </a:graphic>
          </wp:inline>
        </w:drawing>
      </w:r>
    </w:p>
    <w:p w14:paraId="220FD146" w14:textId="77777777" w:rsidR="00C2291B" w:rsidRDefault="00000000">
      <w:pPr>
        <w:pStyle w:val="ImageCaption"/>
      </w:pPr>
      <w:r>
        <w:rPr>
          <w:rFonts w:hint="eastAsia"/>
        </w:rPr>
        <w:t>图</w:t>
      </w:r>
      <w:r>
        <w:t xml:space="preserve"> 5-1-1 TTC-RL </w:t>
      </w:r>
      <w:r>
        <w:rPr>
          <w:rFonts w:hint="eastAsia"/>
        </w:rPr>
        <w:t>基线训练奖励曲线</w:t>
      </w:r>
    </w:p>
    <w:p w14:paraId="53DC2CBE" w14:textId="77777777" w:rsidR="00C2291B" w:rsidRDefault="00000000">
      <w:pPr>
        <w:pStyle w:val="a0"/>
      </w:pPr>
      <w:r>
        <w:rPr>
          <w:rFonts w:hint="eastAsia"/>
        </w:rPr>
        <w:t>图</w:t>
      </w:r>
      <w:r>
        <w:t xml:space="preserve"> 5-1-1 TTC-RL </w:t>
      </w:r>
      <w:r>
        <w:rPr>
          <w:rFonts w:hint="eastAsia"/>
        </w:rPr>
        <w:t>基线训练奖励曲线</w:t>
      </w:r>
    </w:p>
    <w:p w14:paraId="40AD4559" w14:textId="77777777" w:rsidR="00C2291B" w:rsidRDefault="00000000">
      <w:pPr>
        <w:pStyle w:val="2"/>
      </w:pPr>
      <w:bookmarkStart w:id="18" w:name="实验结果分析"/>
      <w:bookmarkEnd w:id="17"/>
      <w:r>
        <w:t xml:space="preserve">5.2 </w:t>
      </w:r>
      <w:r>
        <w:rPr>
          <w:rFonts w:hint="eastAsia"/>
        </w:rPr>
        <w:t>实验结果分析</w:t>
      </w:r>
    </w:p>
    <w:p w14:paraId="524A3661" w14:textId="77777777" w:rsidR="00C2291B" w:rsidRDefault="00000000">
      <w:pPr>
        <w:pStyle w:val="Compact"/>
        <w:numPr>
          <w:ilvl w:val="0"/>
          <w:numId w:val="19"/>
        </w:numPr>
      </w:pPr>
      <w:r>
        <w:rPr>
          <w:rFonts w:hint="eastAsia"/>
        </w:rPr>
        <w:t>整体性能分析</w:t>
      </w:r>
    </w:p>
    <w:p w14:paraId="04151948" w14:textId="77777777" w:rsidR="00C2291B" w:rsidRDefault="00000000">
      <w:pPr>
        <w:pStyle w:val="FirstParagraph"/>
      </w:pPr>
      <w:r>
        <w:rPr>
          <w:rFonts w:hint="eastAsia"/>
        </w:rPr>
        <w:t>本文在统一测试集与评估协议下比较六类策略，以分析控制稀疏性与能效之间的关系。各策略设置如下：</w:t>
      </w:r>
      <w:r>
        <w:rPr>
          <w:rFonts w:hint="eastAsia"/>
        </w:rPr>
        <w:t>PID</w:t>
      </w:r>
      <w:r>
        <w:t xml:space="preserve"> </w:t>
      </w:r>
      <w:r>
        <w:rPr>
          <w:rFonts w:hint="eastAsia"/>
        </w:rPr>
        <w:t>为基于供水温度误差闭环的离散控制，</w:t>
      </w:r>
      <w:r>
        <w:rPr>
          <w:rFonts w:hint="eastAsia"/>
        </w:rPr>
        <w:t>RBC</w:t>
      </w:r>
      <w:r>
        <w:t xml:space="preserve"> </w:t>
      </w:r>
      <w:r>
        <w:rPr>
          <w:rFonts w:hint="eastAsia"/>
        </w:rPr>
        <w:t>为固定供水设定值规则控制，</w:t>
      </w:r>
      <w:r>
        <w:rPr>
          <w:rFonts w:hint="eastAsia"/>
        </w:rPr>
        <w:t>TTC-RL-1</w:t>
      </w:r>
      <w:r>
        <w:t xml:space="preserve"> </w:t>
      </w:r>
      <w:r>
        <w:rPr>
          <w:rFonts w:hint="eastAsia"/>
        </w:rPr>
        <w:t>为每步更新，</w:t>
      </w:r>
      <w:r>
        <w:rPr>
          <w:rFonts w:hint="eastAsia"/>
        </w:rPr>
        <w:t>TTC-RL-2</w:t>
      </w:r>
      <w:r>
        <w:t xml:space="preserve"> </w:t>
      </w:r>
      <w:r>
        <w:rPr>
          <w:rFonts w:hint="eastAsia"/>
        </w:rPr>
        <w:t>为隔步更新，</w:t>
      </w:r>
      <w:r>
        <w:rPr>
          <w:rFonts w:hint="eastAsia"/>
        </w:rPr>
        <w:t>ST-ETC</w:t>
      </w:r>
      <w:r>
        <w:t xml:space="preserve"> </w:t>
      </w:r>
      <w:r>
        <w:rPr>
          <w:rFonts w:hint="eastAsia"/>
        </w:rPr>
        <w:t>为静态阈值事件触发更新，</w:t>
      </w:r>
      <w:r>
        <w:rPr>
          <w:rFonts w:hint="eastAsia"/>
        </w:rPr>
        <w:t>ET-PRL</w:t>
      </w:r>
      <w:r>
        <w:t xml:space="preserve"> </w:t>
      </w:r>
      <w:r>
        <w:rPr>
          <w:rFonts w:hint="eastAsia"/>
        </w:rPr>
        <w:t>为动态事件触发更新。综合对比结果见表</w:t>
      </w:r>
      <w:r>
        <w:t xml:space="preserve"> 5-3</w:t>
      </w:r>
      <w:r>
        <w:t>。</w:t>
      </w:r>
    </w:p>
    <w:p w14:paraId="3877A42A" w14:textId="77777777" w:rsidR="00C2291B" w:rsidRDefault="00000000">
      <w:pPr>
        <w:pStyle w:val="a0"/>
      </w:pPr>
      <w:r>
        <w:rPr>
          <w:rFonts w:hint="eastAsia"/>
        </w:rPr>
        <w:t>为保证跨方法比较的一致性，本文以</w:t>
      </w:r>
      <w:r>
        <w:t xml:space="preserve"> TTC-RL-1 </w:t>
      </w:r>
      <w:r>
        <w:rPr>
          <w:rFonts w:hint="eastAsia"/>
        </w:rPr>
        <w:t>作为统一比较基线，计算相对节能率</w:t>
      </w:r>
      <w:r>
        <w:t xml:space="preserve"> </w:t>
      </w:r>
      <m:oMath>
        <m:sSub>
          <m:sSubPr>
            <m:ctrlPr>
              <w:rPr>
                <w:rFonts w:ascii="Cambria Math" w:hAnsi="Cambria Math"/>
              </w:rPr>
            </m:ctrlPr>
          </m:sSubPr>
          <m:e>
            <m:r>
              <w:rPr>
                <w:rFonts w:ascii="Cambria Math" w:hAnsi="Cambria Math"/>
              </w:rPr>
              <m:t>η</m:t>
            </m:r>
          </m:e>
          <m:sub>
            <m:r>
              <m:rPr>
                <m:nor/>
              </m:rPr>
              <m:t>saving</m:t>
            </m:r>
          </m:sub>
        </m:sSub>
      </m:oMath>
      <w:r>
        <w:rPr>
          <w:rFonts w:hint="eastAsia"/>
        </w:rPr>
        <w:t>、性能保持率</w:t>
      </w:r>
      <w:r>
        <w:t xml:space="preserve"> </w:t>
      </w:r>
      <w:r>
        <w:rPr>
          <w:rFonts w:hint="eastAsia"/>
        </w:rPr>
        <w:t>PPR</w:t>
      </w:r>
      <w:r>
        <w:rPr>
          <w:rFonts w:hint="eastAsia"/>
        </w:rPr>
        <w:t>、动作压缩比</w:t>
      </w:r>
      <w:r>
        <w:t xml:space="preserve"> ACR </w:t>
      </w:r>
      <w:r>
        <w:rPr>
          <w:rFonts w:hint="eastAsia"/>
        </w:rPr>
        <w:t>与动作减少率</w:t>
      </w:r>
      <w:r>
        <w:t xml:space="preserve"> </w:t>
      </w:r>
      <w:r>
        <w:rPr>
          <w:rFonts w:hint="eastAsia"/>
        </w:rPr>
        <w:t>ARR</w:t>
      </w:r>
      <w:r>
        <w:rPr>
          <w:rFonts w:hint="eastAsia"/>
        </w:rPr>
        <w:t>。考虑表格信息密度，表</w:t>
      </w:r>
      <w:r>
        <w:t xml:space="preserve"> 5-3 </w:t>
      </w:r>
      <w:r>
        <w:rPr>
          <w:rFonts w:hint="eastAsia"/>
        </w:rPr>
        <w:t>在控制稀疏性维度仅保留动作更新总次数</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与动作减少率</w:t>
      </w:r>
      <w:r>
        <w:t xml:space="preserve"> </w:t>
      </w:r>
      <w:r>
        <w:rPr>
          <w:rFonts w:hint="eastAsia"/>
        </w:rPr>
        <w:t>ARR</w:t>
      </w:r>
      <w:r>
        <w:rPr>
          <w:rFonts w:hint="eastAsia"/>
        </w:rPr>
        <w:t>，</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与</w:t>
      </w:r>
      <w:r>
        <w:t xml:space="preserve"> ACR </w:t>
      </w:r>
      <w:r>
        <w:rPr>
          <w:rFonts w:hint="eastAsia"/>
        </w:rPr>
        <w:t>在正文中补充说明。由于</w:t>
      </w:r>
      <w:r>
        <w:t xml:space="preserve"> PID </w:t>
      </w:r>
      <w:r>
        <w:rPr>
          <w:rFonts w:hint="eastAsia"/>
        </w:rPr>
        <w:t>的优化目标为设定值跟踪而非最大化强化学习复合奖励，且其奖励定义与强化学习策略不一致，因此仅报告能耗、功率、动作频次与平滑度等可比指标。</w:t>
      </w:r>
    </w:p>
    <w:p w14:paraId="60E1C442" w14:textId="77777777" w:rsidR="00C2291B" w:rsidRDefault="00000000">
      <w:pPr>
        <w:pStyle w:val="a0"/>
      </w:pPr>
      <w:r>
        <w:rPr>
          <w:rFonts w:hint="eastAsia"/>
        </w:rPr>
        <w:t>表</w:t>
      </w:r>
      <w:r>
        <w:t xml:space="preserve"> 5-3 </w:t>
      </w:r>
      <w:r>
        <w:rPr>
          <w:rFonts w:hint="eastAsia"/>
        </w:rPr>
        <w:t>多控制策略综合对比结果</w:t>
      </w:r>
    </w:p>
    <w:tbl>
      <w:tblPr>
        <w:tblStyle w:val="Table"/>
        <w:tblW w:w="5000" w:type="pct"/>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C2291B" w14:paraId="2403B625" w14:textId="77777777" w:rsidTr="00C2291B">
        <w:trPr>
          <w:cnfStyle w:val="100000000000" w:firstRow="1" w:lastRow="0" w:firstColumn="0" w:lastColumn="0" w:oddVBand="0" w:evenVBand="0" w:oddHBand="0" w:evenHBand="0" w:firstRowFirstColumn="0" w:firstRowLastColumn="0" w:lastRowFirstColumn="0" w:lastRowLastColumn="0"/>
          <w:tblHeader/>
        </w:trPr>
        <w:tc>
          <w:tcPr>
            <w:tcW w:w="792" w:type="dxa"/>
          </w:tcPr>
          <w:p w14:paraId="5033127C" w14:textId="77777777" w:rsidR="00C2291B" w:rsidRDefault="00000000">
            <w:pPr>
              <w:pStyle w:val="Compact"/>
            </w:pPr>
            <w:r>
              <w:rPr>
                <w:rFonts w:hint="eastAsia"/>
                <w:b/>
                <w:bCs/>
              </w:rPr>
              <w:t>策略</w:t>
            </w:r>
          </w:p>
        </w:tc>
        <w:tc>
          <w:tcPr>
            <w:tcW w:w="792" w:type="dxa"/>
          </w:tcPr>
          <w:p w14:paraId="5258F836" w14:textId="77777777" w:rsidR="00C2291B" w:rsidRDefault="00000000">
            <w:pPr>
              <w:pStyle w:val="Compact"/>
            </w:pPr>
            <w:r>
              <w:rPr>
                <w:rFonts w:hint="eastAsia"/>
                <w:b/>
                <w:bCs/>
              </w:rPr>
              <w:t>日均能耗</w:t>
            </w:r>
            <w:r>
              <w:rPr>
                <w:b/>
                <w:bCs/>
              </w:rPr>
              <w:t xml:space="preserve"> </w:t>
            </w:r>
            <m:oMath>
              <m:sSub>
                <m:sSubPr>
                  <m:ctrlPr>
                    <w:rPr>
                      <w:rFonts w:ascii="Cambria Math" w:hAnsi="Cambria Math"/>
                    </w:rPr>
                  </m:ctrlPr>
                </m:sSubPr>
                <m:e>
                  <m:r>
                    <w:rPr>
                      <w:rFonts w:ascii="Cambria Math" w:hAnsi="Cambria Math"/>
                    </w:rPr>
                    <m:t>E</m:t>
                  </m:r>
                </m:e>
                <m:sub>
                  <m:r>
                    <w:rPr>
                      <w:rFonts w:ascii="Cambria Math" w:hAnsi="Cambria Math"/>
                    </w:rPr>
                    <m:t>daily</m:t>
                  </m:r>
                </m:sub>
              </m:sSub>
            </m:oMath>
            <w:r>
              <w:rPr>
                <w:b/>
                <w:bCs/>
              </w:rPr>
              <w:t xml:space="preserve"> (kWh/day)</w:t>
            </w:r>
          </w:p>
        </w:tc>
        <w:tc>
          <w:tcPr>
            <w:tcW w:w="792" w:type="dxa"/>
          </w:tcPr>
          <w:p w14:paraId="3A370F4D" w14:textId="77777777" w:rsidR="00C2291B" w:rsidRDefault="00000000">
            <w:pPr>
              <w:pStyle w:val="Compact"/>
            </w:pPr>
            <w:r>
              <w:rPr>
                <w:rFonts w:hint="eastAsia"/>
                <w:b/>
                <w:bCs/>
              </w:rPr>
              <w:t>相对节能率</w:t>
            </w:r>
            <w:r>
              <w:rPr>
                <w:b/>
                <w:bCs/>
              </w:rPr>
              <w:t xml:space="preserve"> </w:t>
            </w:r>
            <m:oMath>
              <m:sSub>
                <m:sSubPr>
                  <m:ctrlPr>
                    <w:rPr>
                      <w:rFonts w:ascii="Cambria Math" w:hAnsi="Cambria Math"/>
                    </w:rPr>
                  </m:ctrlPr>
                </m:sSubPr>
                <m:e>
                  <m:r>
                    <w:rPr>
                      <w:rFonts w:ascii="Cambria Math" w:hAnsi="Cambria Math"/>
                    </w:rPr>
                    <m:t>η</m:t>
                  </m:r>
                </m:e>
                <m:sub>
                  <m:r>
                    <w:rPr>
                      <w:rFonts w:ascii="Cambria Math" w:hAnsi="Cambria Math"/>
                    </w:rPr>
                    <m:t>saving</m:t>
                  </m:r>
                </m:sub>
              </m:sSub>
            </m:oMath>
            <w:r>
              <w:rPr>
                <w:b/>
                <w:bCs/>
              </w:rPr>
              <w:t xml:space="preserve"> (%)</w:t>
            </w:r>
          </w:p>
        </w:tc>
        <w:tc>
          <w:tcPr>
            <w:tcW w:w="792" w:type="dxa"/>
          </w:tcPr>
          <w:p w14:paraId="6D52D516" w14:textId="77777777" w:rsidR="00C2291B" w:rsidRDefault="00000000">
            <w:pPr>
              <w:pStyle w:val="Compact"/>
            </w:pPr>
            <w:r>
              <w:rPr>
                <w:rFonts w:hint="eastAsia"/>
                <w:b/>
                <w:bCs/>
              </w:rPr>
              <w:t>平均功率</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chiller</m:t>
                  </m:r>
                </m:sub>
              </m:sSub>
            </m:oMath>
            <w:r>
              <w:rPr>
                <w:b/>
                <w:bCs/>
              </w:rPr>
              <w:t xml:space="preserve"> (kW)</w:t>
            </w:r>
          </w:p>
        </w:tc>
        <w:tc>
          <w:tcPr>
            <w:tcW w:w="792" w:type="dxa"/>
          </w:tcPr>
          <w:p w14:paraId="1DC59E36" w14:textId="77777777" w:rsidR="00C2291B" w:rsidRDefault="00000000">
            <w:pPr>
              <w:pStyle w:val="Compact"/>
            </w:pPr>
            <w:r>
              <w:rPr>
                <w:rFonts w:hint="eastAsia"/>
                <w:b/>
                <w:bCs/>
              </w:rPr>
              <w:t>动作更新总次数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update</m:t>
                  </m:r>
                </m:sub>
              </m:sSub>
            </m:oMath>
          </w:p>
        </w:tc>
        <w:tc>
          <w:tcPr>
            <w:tcW w:w="792" w:type="dxa"/>
          </w:tcPr>
          <w:p w14:paraId="415342C7" w14:textId="77777777" w:rsidR="00C2291B" w:rsidRDefault="00000000">
            <w:pPr>
              <w:pStyle w:val="Compact"/>
            </w:pPr>
            <w:r>
              <w:rPr>
                <w:rFonts w:hint="eastAsia"/>
                <w:b/>
                <w:bCs/>
              </w:rPr>
              <w:t>动作减少率</w:t>
            </w:r>
            <w:r>
              <w:rPr>
                <w:b/>
                <w:bCs/>
              </w:rPr>
              <w:t xml:space="preserve"> ARR (%)</w:t>
            </w:r>
          </w:p>
        </w:tc>
        <w:tc>
          <w:tcPr>
            <w:tcW w:w="792" w:type="dxa"/>
          </w:tcPr>
          <w:p w14:paraId="323598DF" w14:textId="77777777" w:rsidR="00C2291B" w:rsidRDefault="00000000">
            <w:pPr>
              <w:pStyle w:val="Compact"/>
            </w:pPr>
            <w:r>
              <w:rPr>
                <w:rFonts w:hint="eastAsia"/>
                <w:b/>
                <w:bCs/>
              </w:rPr>
              <w:t>动作平滑度</w:t>
            </w:r>
            <w:r>
              <w:rPr>
                <w:b/>
                <w:bCs/>
              </w:rP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p>
        </w:tc>
        <w:tc>
          <w:tcPr>
            <w:tcW w:w="792" w:type="dxa"/>
          </w:tcPr>
          <w:p w14:paraId="4D366EEA" w14:textId="77777777" w:rsidR="00C2291B" w:rsidRDefault="00000000">
            <w:pPr>
              <w:pStyle w:val="Compact"/>
            </w:pPr>
            <w:r>
              <w:rPr>
                <w:rFonts w:hint="eastAsia"/>
                <w:b/>
                <w:bCs/>
              </w:rPr>
              <w:t>总奖励</w:t>
            </w:r>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test</m:t>
                  </m:r>
                </m:sub>
              </m:sSub>
            </m:oMath>
          </w:p>
        </w:tc>
        <w:tc>
          <w:tcPr>
            <w:tcW w:w="792" w:type="dxa"/>
          </w:tcPr>
          <w:p w14:paraId="3C49E0EC" w14:textId="77777777" w:rsidR="00C2291B" w:rsidRDefault="00000000">
            <w:pPr>
              <w:pStyle w:val="Compact"/>
            </w:pPr>
            <w:r>
              <w:rPr>
                <w:rFonts w:hint="eastAsia"/>
                <w:b/>
                <w:bCs/>
              </w:rPr>
              <w:t>平均步奖励</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step</m:t>
                  </m:r>
                </m:sub>
              </m:sSub>
            </m:oMath>
          </w:p>
        </w:tc>
        <w:tc>
          <w:tcPr>
            <w:tcW w:w="792" w:type="dxa"/>
          </w:tcPr>
          <w:p w14:paraId="7946965F" w14:textId="77777777" w:rsidR="00C2291B" w:rsidRDefault="00000000">
            <w:pPr>
              <w:pStyle w:val="Compact"/>
            </w:pPr>
            <w:r>
              <w:rPr>
                <w:b/>
                <w:bCs/>
              </w:rPr>
              <w:t>PPR (%)</w:t>
            </w:r>
          </w:p>
        </w:tc>
      </w:tr>
      <w:tr w:rsidR="00C2291B" w14:paraId="41CFE16B" w14:textId="77777777">
        <w:tc>
          <w:tcPr>
            <w:tcW w:w="792" w:type="dxa"/>
          </w:tcPr>
          <w:p w14:paraId="3D6F7831" w14:textId="77777777" w:rsidR="00C2291B" w:rsidRDefault="00000000">
            <w:pPr>
              <w:pStyle w:val="Compact"/>
            </w:pPr>
            <w:r>
              <w:t>PID</w:t>
            </w:r>
          </w:p>
        </w:tc>
        <w:tc>
          <w:tcPr>
            <w:tcW w:w="792" w:type="dxa"/>
          </w:tcPr>
          <w:p w14:paraId="7862C5F7" w14:textId="77777777" w:rsidR="00C2291B" w:rsidRDefault="00000000">
            <w:pPr>
              <w:pStyle w:val="Compact"/>
            </w:pPr>
            <w:r>
              <w:t>8486.90</w:t>
            </w:r>
          </w:p>
        </w:tc>
        <w:tc>
          <w:tcPr>
            <w:tcW w:w="792" w:type="dxa"/>
          </w:tcPr>
          <w:p w14:paraId="00519097" w14:textId="77777777" w:rsidR="00C2291B" w:rsidRDefault="00000000">
            <w:pPr>
              <w:pStyle w:val="Compact"/>
            </w:pPr>
            <w:r>
              <w:t>-13.29</w:t>
            </w:r>
          </w:p>
        </w:tc>
        <w:tc>
          <w:tcPr>
            <w:tcW w:w="792" w:type="dxa"/>
          </w:tcPr>
          <w:p w14:paraId="5424AE12" w14:textId="77777777" w:rsidR="00C2291B" w:rsidRDefault="00000000">
            <w:pPr>
              <w:pStyle w:val="Compact"/>
            </w:pPr>
            <w:r>
              <w:t>353.62</w:t>
            </w:r>
          </w:p>
        </w:tc>
        <w:tc>
          <w:tcPr>
            <w:tcW w:w="792" w:type="dxa"/>
          </w:tcPr>
          <w:p w14:paraId="1E36D1BE" w14:textId="77777777" w:rsidR="00C2291B" w:rsidRDefault="00000000">
            <w:pPr>
              <w:pStyle w:val="Compact"/>
            </w:pPr>
            <w:r>
              <w:t>-</w:t>
            </w:r>
          </w:p>
        </w:tc>
        <w:tc>
          <w:tcPr>
            <w:tcW w:w="792" w:type="dxa"/>
          </w:tcPr>
          <w:p w14:paraId="381928C9" w14:textId="77777777" w:rsidR="00C2291B" w:rsidRDefault="00000000">
            <w:pPr>
              <w:pStyle w:val="Compact"/>
            </w:pPr>
            <w:r>
              <w:t>-</w:t>
            </w:r>
          </w:p>
        </w:tc>
        <w:tc>
          <w:tcPr>
            <w:tcW w:w="792" w:type="dxa"/>
          </w:tcPr>
          <w:p w14:paraId="383E7ACA" w14:textId="77777777" w:rsidR="00C2291B" w:rsidRDefault="00000000">
            <w:pPr>
              <w:pStyle w:val="Compact"/>
            </w:pPr>
            <w:r>
              <w:t>0.1669</w:t>
            </w:r>
          </w:p>
        </w:tc>
        <w:tc>
          <w:tcPr>
            <w:tcW w:w="792" w:type="dxa"/>
          </w:tcPr>
          <w:p w14:paraId="4FF97412" w14:textId="77777777" w:rsidR="00C2291B" w:rsidRDefault="00000000">
            <w:pPr>
              <w:pStyle w:val="Compact"/>
            </w:pPr>
            <w:r>
              <w:t>-</w:t>
            </w:r>
          </w:p>
        </w:tc>
        <w:tc>
          <w:tcPr>
            <w:tcW w:w="792" w:type="dxa"/>
          </w:tcPr>
          <w:p w14:paraId="2FE6A477" w14:textId="77777777" w:rsidR="00C2291B" w:rsidRDefault="00000000">
            <w:pPr>
              <w:pStyle w:val="Compact"/>
            </w:pPr>
            <w:r>
              <w:t>-</w:t>
            </w:r>
          </w:p>
        </w:tc>
        <w:tc>
          <w:tcPr>
            <w:tcW w:w="792" w:type="dxa"/>
          </w:tcPr>
          <w:p w14:paraId="3E403F79" w14:textId="77777777" w:rsidR="00C2291B" w:rsidRDefault="00000000">
            <w:pPr>
              <w:pStyle w:val="Compact"/>
            </w:pPr>
            <w:r>
              <w:t>-</w:t>
            </w:r>
          </w:p>
        </w:tc>
      </w:tr>
      <w:tr w:rsidR="00C2291B" w14:paraId="564548F0" w14:textId="77777777">
        <w:tc>
          <w:tcPr>
            <w:tcW w:w="792" w:type="dxa"/>
          </w:tcPr>
          <w:p w14:paraId="5F07A541" w14:textId="77777777" w:rsidR="00C2291B" w:rsidRDefault="00000000">
            <w:pPr>
              <w:pStyle w:val="Compact"/>
            </w:pPr>
            <w:r>
              <w:t>RBC</w:t>
            </w:r>
          </w:p>
        </w:tc>
        <w:tc>
          <w:tcPr>
            <w:tcW w:w="792" w:type="dxa"/>
          </w:tcPr>
          <w:p w14:paraId="435B9138" w14:textId="77777777" w:rsidR="00C2291B" w:rsidRDefault="00000000">
            <w:pPr>
              <w:pStyle w:val="Compact"/>
            </w:pPr>
            <w:r>
              <w:t>8548.72</w:t>
            </w:r>
          </w:p>
        </w:tc>
        <w:tc>
          <w:tcPr>
            <w:tcW w:w="792" w:type="dxa"/>
          </w:tcPr>
          <w:p w14:paraId="2ADEECAF" w14:textId="77777777" w:rsidR="00C2291B" w:rsidRDefault="00000000">
            <w:pPr>
              <w:pStyle w:val="Compact"/>
            </w:pPr>
            <w:r>
              <w:t>-14.12</w:t>
            </w:r>
          </w:p>
        </w:tc>
        <w:tc>
          <w:tcPr>
            <w:tcW w:w="792" w:type="dxa"/>
          </w:tcPr>
          <w:p w14:paraId="452AB929" w14:textId="77777777" w:rsidR="00C2291B" w:rsidRDefault="00000000">
            <w:pPr>
              <w:pStyle w:val="Compact"/>
            </w:pPr>
            <w:r>
              <w:t>356.20</w:t>
            </w:r>
          </w:p>
        </w:tc>
        <w:tc>
          <w:tcPr>
            <w:tcW w:w="792" w:type="dxa"/>
          </w:tcPr>
          <w:p w14:paraId="130E2D98" w14:textId="77777777" w:rsidR="00C2291B" w:rsidRDefault="00000000">
            <w:pPr>
              <w:pStyle w:val="Compact"/>
            </w:pPr>
            <w:r>
              <w:t>-</w:t>
            </w:r>
          </w:p>
        </w:tc>
        <w:tc>
          <w:tcPr>
            <w:tcW w:w="792" w:type="dxa"/>
          </w:tcPr>
          <w:p w14:paraId="21F7CF93" w14:textId="77777777" w:rsidR="00C2291B" w:rsidRDefault="00000000">
            <w:pPr>
              <w:pStyle w:val="Compact"/>
            </w:pPr>
            <w:r>
              <w:t>-</w:t>
            </w:r>
          </w:p>
        </w:tc>
        <w:tc>
          <w:tcPr>
            <w:tcW w:w="792" w:type="dxa"/>
          </w:tcPr>
          <w:p w14:paraId="3AE30C73" w14:textId="77777777" w:rsidR="00C2291B" w:rsidRDefault="00000000">
            <w:pPr>
              <w:pStyle w:val="Compact"/>
            </w:pPr>
            <w:r>
              <w:t>-</w:t>
            </w:r>
          </w:p>
        </w:tc>
        <w:tc>
          <w:tcPr>
            <w:tcW w:w="792" w:type="dxa"/>
          </w:tcPr>
          <w:p w14:paraId="33616DA5" w14:textId="77777777" w:rsidR="00C2291B" w:rsidRDefault="00000000">
            <w:pPr>
              <w:pStyle w:val="Compact"/>
            </w:pPr>
            <w:r>
              <w:t>-</w:t>
            </w:r>
          </w:p>
        </w:tc>
        <w:tc>
          <w:tcPr>
            <w:tcW w:w="792" w:type="dxa"/>
          </w:tcPr>
          <w:p w14:paraId="3BB832ED" w14:textId="77777777" w:rsidR="00C2291B" w:rsidRDefault="00000000">
            <w:pPr>
              <w:pStyle w:val="Compact"/>
            </w:pPr>
            <w:r>
              <w:t>-</w:t>
            </w:r>
          </w:p>
        </w:tc>
        <w:tc>
          <w:tcPr>
            <w:tcW w:w="792" w:type="dxa"/>
          </w:tcPr>
          <w:p w14:paraId="24867BBA" w14:textId="77777777" w:rsidR="00C2291B" w:rsidRDefault="00000000">
            <w:pPr>
              <w:pStyle w:val="Compact"/>
            </w:pPr>
            <w:r>
              <w:t>-</w:t>
            </w:r>
          </w:p>
        </w:tc>
      </w:tr>
      <w:tr w:rsidR="00C2291B" w14:paraId="5B3BBC46" w14:textId="77777777">
        <w:tc>
          <w:tcPr>
            <w:tcW w:w="792" w:type="dxa"/>
          </w:tcPr>
          <w:p w14:paraId="3B0C0C22" w14:textId="77777777" w:rsidR="00C2291B" w:rsidRDefault="00000000">
            <w:pPr>
              <w:pStyle w:val="Compact"/>
            </w:pPr>
            <w:r>
              <w:t>TTC-</w:t>
            </w:r>
            <w:r>
              <w:lastRenderedPageBreak/>
              <w:t>RL-1</w:t>
            </w:r>
          </w:p>
        </w:tc>
        <w:tc>
          <w:tcPr>
            <w:tcW w:w="792" w:type="dxa"/>
          </w:tcPr>
          <w:p w14:paraId="583A523C" w14:textId="77777777" w:rsidR="00C2291B" w:rsidRDefault="00000000">
            <w:pPr>
              <w:pStyle w:val="Compact"/>
            </w:pPr>
            <w:r>
              <w:lastRenderedPageBreak/>
              <w:t>7491.</w:t>
            </w:r>
            <w:r>
              <w:lastRenderedPageBreak/>
              <w:t>14</w:t>
            </w:r>
          </w:p>
        </w:tc>
        <w:tc>
          <w:tcPr>
            <w:tcW w:w="792" w:type="dxa"/>
          </w:tcPr>
          <w:p w14:paraId="5071B87D" w14:textId="77777777" w:rsidR="00C2291B" w:rsidRDefault="00000000">
            <w:pPr>
              <w:pStyle w:val="Compact"/>
            </w:pPr>
            <w:r>
              <w:lastRenderedPageBreak/>
              <w:t>-</w:t>
            </w:r>
          </w:p>
        </w:tc>
        <w:tc>
          <w:tcPr>
            <w:tcW w:w="792" w:type="dxa"/>
          </w:tcPr>
          <w:p w14:paraId="35BF7471" w14:textId="77777777" w:rsidR="00C2291B" w:rsidRDefault="00000000">
            <w:pPr>
              <w:pStyle w:val="Compact"/>
            </w:pPr>
            <w:r>
              <w:t>312.1</w:t>
            </w:r>
            <w:r>
              <w:lastRenderedPageBreak/>
              <w:t>3</w:t>
            </w:r>
          </w:p>
        </w:tc>
        <w:tc>
          <w:tcPr>
            <w:tcW w:w="792" w:type="dxa"/>
          </w:tcPr>
          <w:p w14:paraId="0CE2F583" w14:textId="77777777" w:rsidR="00C2291B" w:rsidRDefault="00000000">
            <w:pPr>
              <w:pStyle w:val="Compact"/>
            </w:pPr>
            <w:r>
              <w:lastRenderedPageBreak/>
              <w:t>4404</w:t>
            </w:r>
          </w:p>
        </w:tc>
        <w:tc>
          <w:tcPr>
            <w:tcW w:w="792" w:type="dxa"/>
          </w:tcPr>
          <w:p w14:paraId="79F149A0" w14:textId="77777777" w:rsidR="00C2291B" w:rsidRDefault="00000000">
            <w:pPr>
              <w:pStyle w:val="Compact"/>
            </w:pPr>
            <w:r>
              <w:t>-</w:t>
            </w:r>
          </w:p>
        </w:tc>
        <w:tc>
          <w:tcPr>
            <w:tcW w:w="792" w:type="dxa"/>
          </w:tcPr>
          <w:p w14:paraId="38A27151" w14:textId="77777777" w:rsidR="00C2291B" w:rsidRDefault="00000000">
            <w:pPr>
              <w:pStyle w:val="Compact"/>
            </w:pPr>
            <w:r>
              <w:t>0.810</w:t>
            </w:r>
            <w:r>
              <w:lastRenderedPageBreak/>
              <w:t>1</w:t>
            </w:r>
          </w:p>
        </w:tc>
        <w:tc>
          <w:tcPr>
            <w:tcW w:w="792" w:type="dxa"/>
          </w:tcPr>
          <w:p w14:paraId="4AE2035F" w14:textId="77777777" w:rsidR="00C2291B" w:rsidRDefault="00000000">
            <w:pPr>
              <w:pStyle w:val="Compact"/>
            </w:pPr>
            <w:r>
              <w:lastRenderedPageBreak/>
              <w:t>2054.</w:t>
            </w:r>
            <w:r>
              <w:lastRenderedPageBreak/>
              <w:t>63</w:t>
            </w:r>
          </w:p>
        </w:tc>
        <w:tc>
          <w:tcPr>
            <w:tcW w:w="792" w:type="dxa"/>
          </w:tcPr>
          <w:p w14:paraId="5BA83046" w14:textId="77777777" w:rsidR="00C2291B" w:rsidRDefault="00000000">
            <w:pPr>
              <w:pStyle w:val="Compact"/>
            </w:pPr>
            <w:r>
              <w:lastRenderedPageBreak/>
              <w:t>0.466</w:t>
            </w:r>
            <w:r>
              <w:lastRenderedPageBreak/>
              <w:t>5</w:t>
            </w:r>
          </w:p>
        </w:tc>
        <w:tc>
          <w:tcPr>
            <w:tcW w:w="792" w:type="dxa"/>
          </w:tcPr>
          <w:p w14:paraId="5E50C252" w14:textId="77777777" w:rsidR="00C2291B" w:rsidRDefault="00000000">
            <w:pPr>
              <w:pStyle w:val="Compact"/>
            </w:pPr>
            <w:r>
              <w:lastRenderedPageBreak/>
              <w:t>-</w:t>
            </w:r>
          </w:p>
        </w:tc>
      </w:tr>
      <w:tr w:rsidR="00C2291B" w14:paraId="7FE0A961" w14:textId="77777777">
        <w:tc>
          <w:tcPr>
            <w:tcW w:w="792" w:type="dxa"/>
          </w:tcPr>
          <w:p w14:paraId="1DB2A645" w14:textId="77777777" w:rsidR="00C2291B" w:rsidRDefault="00000000">
            <w:pPr>
              <w:pStyle w:val="Compact"/>
            </w:pPr>
            <w:r>
              <w:t>TTC-RL-2</w:t>
            </w:r>
          </w:p>
        </w:tc>
        <w:tc>
          <w:tcPr>
            <w:tcW w:w="792" w:type="dxa"/>
          </w:tcPr>
          <w:p w14:paraId="69A15A90" w14:textId="77777777" w:rsidR="00C2291B" w:rsidRDefault="00000000">
            <w:pPr>
              <w:pStyle w:val="Compact"/>
            </w:pPr>
            <w:r>
              <w:t>7489.98</w:t>
            </w:r>
          </w:p>
        </w:tc>
        <w:tc>
          <w:tcPr>
            <w:tcW w:w="792" w:type="dxa"/>
          </w:tcPr>
          <w:p w14:paraId="6E1C3AAC" w14:textId="77777777" w:rsidR="00C2291B" w:rsidRDefault="00000000">
            <w:pPr>
              <w:pStyle w:val="Compact"/>
            </w:pPr>
            <w:r>
              <w:t>0.02</w:t>
            </w:r>
          </w:p>
        </w:tc>
        <w:tc>
          <w:tcPr>
            <w:tcW w:w="792" w:type="dxa"/>
          </w:tcPr>
          <w:p w14:paraId="4C03DC0F" w14:textId="77777777" w:rsidR="00C2291B" w:rsidRDefault="00000000">
            <w:pPr>
              <w:pStyle w:val="Compact"/>
            </w:pPr>
            <w:r>
              <w:t>312.08</w:t>
            </w:r>
          </w:p>
        </w:tc>
        <w:tc>
          <w:tcPr>
            <w:tcW w:w="792" w:type="dxa"/>
          </w:tcPr>
          <w:p w14:paraId="4B1E03CA" w14:textId="77777777" w:rsidR="00C2291B" w:rsidRDefault="00000000">
            <w:pPr>
              <w:pStyle w:val="Compact"/>
            </w:pPr>
            <w:r>
              <w:t>2202</w:t>
            </w:r>
          </w:p>
        </w:tc>
        <w:tc>
          <w:tcPr>
            <w:tcW w:w="792" w:type="dxa"/>
          </w:tcPr>
          <w:p w14:paraId="59843C24" w14:textId="77777777" w:rsidR="00C2291B" w:rsidRDefault="00000000">
            <w:pPr>
              <w:pStyle w:val="Compact"/>
            </w:pPr>
            <w:r>
              <w:t>50.00</w:t>
            </w:r>
          </w:p>
        </w:tc>
        <w:tc>
          <w:tcPr>
            <w:tcW w:w="792" w:type="dxa"/>
          </w:tcPr>
          <w:p w14:paraId="4104102A" w14:textId="77777777" w:rsidR="00C2291B" w:rsidRDefault="00000000">
            <w:pPr>
              <w:pStyle w:val="Compact"/>
            </w:pPr>
            <w:r>
              <w:t>0.5617</w:t>
            </w:r>
          </w:p>
        </w:tc>
        <w:tc>
          <w:tcPr>
            <w:tcW w:w="792" w:type="dxa"/>
          </w:tcPr>
          <w:p w14:paraId="53ECE1FD" w14:textId="77777777" w:rsidR="00C2291B" w:rsidRDefault="00000000">
            <w:pPr>
              <w:pStyle w:val="Compact"/>
            </w:pPr>
            <w:r>
              <w:t>2022.76</w:t>
            </w:r>
          </w:p>
        </w:tc>
        <w:tc>
          <w:tcPr>
            <w:tcW w:w="792" w:type="dxa"/>
          </w:tcPr>
          <w:p w14:paraId="41A692BB" w14:textId="77777777" w:rsidR="00C2291B" w:rsidRDefault="00000000">
            <w:pPr>
              <w:pStyle w:val="Compact"/>
            </w:pPr>
            <w:r>
              <w:t>0.9186</w:t>
            </w:r>
          </w:p>
        </w:tc>
        <w:tc>
          <w:tcPr>
            <w:tcW w:w="792" w:type="dxa"/>
          </w:tcPr>
          <w:p w14:paraId="2E57F863" w14:textId="77777777" w:rsidR="00C2291B" w:rsidRDefault="00000000">
            <w:pPr>
              <w:pStyle w:val="Compact"/>
            </w:pPr>
            <w:r>
              <w:t>98.45</w:t>
            </w:r>
          </w:p>
        </w:tc>
      </w:tr>
      <w:tr w:rsidR="00C2291B" w14:paraId="5726A750" w14:textId="77777777">
        <w:tc>
          <w:tcPr>
            <w:tcW w:w="792" w:type="dxa"/>
          </w:tcPr>
          <w:p w14:paraId="68CEF003" w14:textId="77777777" w:rsidR="00C2291B" w:rsidRDefault="00000000">
            <w:pPr>
              <w:pStyle w:val="Compact"/>
            </w:pPr>
            <w:r>
              <w:t>ST-ETC</w:t>
            </w:r>
          </w:p>
        </w:tc>
        <w:tc>
          <w:tcPr>
            <w:tcW w:w="792" w:type="dxa"/>
          </w:tcPr>
          <w:p w14:paraId="65DA9401" w14:textId="77777777" w:rsidR="00C2291B" w:rsidRDefault="00000000">
            <w:pPr>
              <w:pStyle w:val="Compact"/>
            </w:pPr>
            <w:r>
              <w:t>7485.44</w:t>
            </w:r>
          </w:p>
        </w:tc>
        <w:tc>
          <w:tcPr>
            <w:tcW w:w="792" w:type="dxa"/>
          </w:tcPr>
          <w:p w14:paraId="0D6CE04E" w14:textId="77777777" w:rsidR="00C2291B" w:rsidRDefault="00000000">
            <w:pPr>
              <w:pStyle w:val="Compact"/>
            </w:pPr>
            <w:r>
              <w:t>0.08</w:t>
            </w:r>
          </w:p>
        </w:tc>
        <w:tc>
          <w:tcPr>
            <w:tcW w:w="792" w:type="dxa"/>
          </w:tcPr>
          <w:p w14:paraId="24E5C011" w14:textId="77777777" w:rsidR="00C2291B" w:rsidRDefault="00000000">
            <w:pPr>
              <w:pStyle w:val="Compact"/>
            </w:pPr>
            <w:r>
              <w:t>311.89</w:t>
            </w:r>
          </w:p>
        </w:tc>
        <w:tc>
          <w:tcPr>
            <w:tcW w:w="792" w:type="dxa"/>
          </w:tcPr>
          <w:p w14:paraId="1D061AB4" w14:textId="77777777" w:rsidR="00C2291B" w:rsidRDefault="00000000">
            <w:pPr>
              <w:pStyle w:val="Compact"/>
            </w:pPr>
            <w:r>
              <w:t>3525</w:t>
            </w:r>
          </w:p>
        </w:tc>
        <w:tc>
          <w:tcPr>
            <w:tcW w:w="792" w:type="dxa"/>
          </w:tcPr>
          <w:p w14:paraId="0E3B2CA8" w14:textId="77777777" w:rsidR="00C2291B" w:rsidRDefault="00000000">
            <w:pPr>
              <w:pStyle w:val="Compact"/>
            </w:pPr>
            <w:r>
              <w:t>19.96</w:t>
            </w:r>
          </w:p>
        </w:tc>
        <w:tc>
          <w:tcPr>
            <w:tcW w:w="792" w:type="dxa"/>
          </w:tcPr>
          <w:p w14:paraId="0F2CE487" w14:textId="77777777" w:rsidR="00C2291B" w:rsidRDefault="00000000">
            <w:pPr>
              <w:pStyle w:val="Compact"/>
            </w:pPr>
            <w:r>
              <w:t>0.7711</w:t>
            </w:r>
          </w:p>
        </w:tc>
        <w:tc>
          <w:tcPr>
            <w:tcW w:w="792" w:type="dxa"/>
          </w:tcPr>
          <w:p w14:paraId="4847CB0F" w14:textId="77777777" w:rsidR="00C2291B" w:rsidRDefault="00000000">
            <w:pPr>
              <w:pStyle w:val="Compact"/>
            </w:pPr>
            <w:r>
              <w:t>2052.42</w:t>
            </w:r>
          </w:p>
        </w:tc>
        <w:tc>
          <w:tcPr>
            <w:tcW w:w="792" w:type="dxa"/>
          </w:tcPr>
          <w:p w14:paraId="0545EB40" w14:textId="77777777" w:rsidR="00C2291B" w:rsidRDefault="00000000">
            <w:pPr>
              <w:pStyle w:val="Compact"/>
            </w:pPr>
            <w:r>
              <w:t>0.5822</w:t>
            </w:r>
          </w:p>
        </w:tc>
        <w:tc>
          <w:tcPr>
            <w:tcW w:w="792" w:type="dxa"/>
          </w:tcPr>
          <w:p w14:paraId="665E9FD5" w14:textId="77777777" w:rsidR="00C2291B" w:rsidRDefault="00000000">
            <w:pPr>
              <w:pStyle w:val="Compact"/>
            </w:pPr>
            <w:r>
              <w:t>99.89</w:t>
            </w:r>
          </w:p>
        </w:tc>
      </w:tr>
      <w:tr w:rsidR="00C2291B" w14:paraId="221F8DBB" w14:textId="77777777">
        <w:tc>
          <w:tcPr>
            <w:tcW w:w="792" w:type="dxa"/>
          </w:tcPr>
          <w:p w14:paraId="00ED8859" w14:textId="77777777" w:rsidR="00C2291B" w:rsidRDefault="00000000">
            <w:pPr>
              <w:pStyle w:val="Compact"/>
            </w:pPr>
            <w:r>
              <w:t>ET-PRL</w:t>
            </w:r>
          </w:p>
        </w:tc>
        <w:tc>
          <w:tcPr>
            <w:tcW w:w="792" w:type="dxa"/>
          </w:tcPr>
          <w:p w14:paraId="33948178" w14:textId="77777777" w:rsidR="00C2291B" w:rsidRDefault="00000000">
            <w:pPr>
              <w:pStyle w:val="Compact"/>
            </w:pPr>
            <w:r>
              <w:t>7331.85</w:t>
            </w:r>
          </w:p>
        </w:tc>
        <w:tc>
          <w:tcPr>
            <w:tcW w:w="792" w:type="dxa"/>
          </w:tcPr>
          <w:p w14:paraId="6337A8D7" w14:textId="77777777" w:rsidR="00C2291B" w:rsidRDefault="00000000">
            <w:pPr>
              <w:pStyle w:val="Compact"/>
            </w:pPr>
            <w:r>
              <w:t>2.13</w:t>
            </w:r>
          </w:p>
        </w:tc>
        <w:tc>
          <w:tcPr>
            <w:tcW w:w="792" w:type="dxa"/>
          </w:tcPr>
          <w:p w14:paraId="69553A0D" w14:textId="77777777" w:rsidR="00C2291B" w:rsidRDefault="00000000">
            <w:pPr>
              <w:pStyle w:val="Compact"/>
            </w:pPr>
            <w:r>
              <w:t>305.49</w:t>
            </w:r>
          </w:p>
        </w:tc>
        <w:tc>
          <w:tcPr>
            <w:tcW w:w="792" w:type="dxa"/>
          </w:tcPr>
          <w:p w14:paraId="05A0E323" w14:textId="77777777" w:rsidR="00C2291B" w:rsidRDefault="00000000">
            <w:pPr>
              <w:pStyle w:val="Compact"/>
            </w:pPr>
            <w:r>
              <w:t>2046</w:t>
            </w:r>
          </w:p>
        </w:tc>
        <w:tc>
          <w:tcPr>
            <w:tcW w:w="792" w:type="dxa"/>
          </w:tcPr>
          <w:p w14:paraId="08366419" w14:textId="77777777" w:rsidR="00C2291B" w:rsidRDefault="00000000">
            <w:pPr>
              <w:pStyle w:val="Compact"/>
            </w:pPr>
            <w:r>
              <w:t>53.54</w:t>
            </w:r>
          </w:p>
        </w:tc>
        <w:tc>
          <w:tcPr>
            <w:tcW w:w="792" w:type="dxa"/>
          </w:tcPr>
          <w:p w14:paraId="29AAD745" w14:textId="77777777" w:rsidR="00C2291B" w:rsidRDefault="00000000">
            <w:pPr>
              <w:pStyle w:val="Compact"/>
            </w:pPr>
            <w:r>
              <w:t>0.6014</w:t>
            </w:r>
          </w:p>
        </w:tc>
        <w:tc>
          <w:tcPr>
            <w:tcW w:w="792" w:type="dxa"/>
          </w:tcPr>
          <w:p w14:paraId="1A1130C9" w14:textId="77777777" w:rsidR="00C2291B" w:rsidRDefault="00000000">
            <w:pPr>
              <w:pStyle w:val="Compact"/>
            </w:pPr>
            <w:r>
              <w:t>1939.74</w:t>
            </w:r>
          </w:p>
        </w:tc>
        <w:tc>
          <w:tcPr>
            <w:tcW w:w="792" w:type="dxa"/>
          </w:tcPr>
          <w:p w14:paraId="208943C5" w14:textId="77777777" w:rsidR="00C2291B" w:rsidRDefault="00000000">
            <w:pPr>
              <w:pStyle w:val="Compact"/>
            </w:pPr>
            <w:r>
              <w:t>0.9481</w:t>
            </w:r>
          </w:p>
        </w:tc>
        <w:tc>
          <w:tcPr>
            <w:tcW w:w="792" w:type="dxa"/>
          </w:tcPr>
          <w:p w14:paraId="4CF9B19C" w14:textId="77777777" w:rsidR="00C2291B" w:rsidRDefault="00000000">
            <w:pPr>
              <w:pStyle w:val="Compact"/>
            </w:pPr>
            <w:r>
              <w:t>94.41</w:t>
            </w:r>
          </w:p>
        </w:tc>
      </w:tr>
    </w:tbl>
    <w:p w14:paraId="2F8D1387" w14:textId="77777777" w:rsidR="00C2291B" w:rsidRDefault="00000000">
      <w:pPr>
        <w:pStyle w:val="a0"/>
      </w:pPr>
      <w:r>
        <w:rPr>
          <w:rFonts w:hint="eastAsia"/>
        </w:rPr>
        <w:t>由表</w:t>
      </w:r>
      <w:r>
        <w:t xml:space="preserve"> 5-3 </w:t>
      </w:r>
      <w:r>
        <w:rPr>
          <w:rFonts w:hint="eastAsia"/>
        </w:rPr>
        <w:t>可见，在以</w:t>
      </w:r>
      <w:r>
        <w:t xml:space="preserve"> TTC-RL-1 </w:t>
      </w:r>
      <w:r>
        <w:rPr>
          <w:rFonts w:hint="eastAsia"/>
        </w:rPr>
        <w:t>为统一基线的强化学习策略组内，</w:t>
      </w:r>
      <w:r>
        <w:rPr>
          <w:rFonts w:hint="eastAsia"/>
        </w:rPr>
        <w:t>ET-PRL</w:t>
      </w:r>
      <w:r>
        <w:t xml:space="preserve"> </w:t>
      </w:r>
      <w:r>
        <w:rPr>
          <w:rFonts w:hint="eastAsia"/>
        </w:rPr>
        <w:t>同时实现了更高的稀疏性与更低的能耗。具体而言，</w:t>
      </w:r>
      <w:r>
        <w:rPr>
          <w:rFonts w:hint="eastAsia"/>
        </w:rPr>
        <w:t>TTC-RL-2</w:t>
      </w:r>
      <w:r>
        <w:t xml:space="preserve"> </w:t>
      </w:r>
      <w:r>
        <w:rPr>
          <w:rFonts w:hint="eastAsia"/>
        </w:rPr>
        <w:t>将动作更新总次数由</w:t>
      </w:r>
      <w:r>
        <w:t xml:space="preserve"> 4404 </w:t>
      </w:r>
      <w:r>
        <w:rPr>
          <w:rFonts w:hint="eastAsia"/>
        </w:rPr>
        <w:t>降至</w:t>
      </w:r>
      <w:r>
        <w:t xml:space="preserve"> </w:t>
      </w:r>
      <w:r>
        <w:rPr>
          <w:rFonts w:hint="eastAsia"/>
        </w:rPr>
        <w:t>2202</w:t>
      </w:r>
      <w:r>
        <w:rPr>
          <w:rFonts w:hint="eastAsia"/>
        </w:rPr>
        <w:t>（</w:t>
      </w:r>
      <w:r>
        <w:rPr>
          <w:rFonts w:hint="eastAsia"/>
        </w:rPr>
        <w:t>ARR=50.00%</w:t>
      </w:r>
      <w:r>
        <w:rPr>
          <w:rFonts w:hint="eastAsia"/>
        </w:rPr>
        <w:t>），但相对节能率仅为</w:t>
      </w:r>
      <w:r>
        <w:t xml:space="preserve"> </w:t>
      </w:r>
      <w:r>
        <w:rPr>
          <w:rFonts w:hint="eastAsia"/>
        </w:rPr>
        <w:t>0.02%</w:t>
      </w:r>
      <w:r>
        <w:rPr>
          <w:rFonts w:hint="eastAsia"/>
        </w:rPr>
        <w:t>；</w:t>
      </w:r>
      <w:r>
        <w:rPr>
          <w:rFonts w:hint="eastAsia"/>
        </w:rPr>
        <w:t>ST-ETC</w:t>
      </w:r>
      <w:r>
        <w:t xml:space="preserve"> </w:t>
      </w:r>
      <w:r>
        <w:rPr>
          <w:rFonts w:hint="eastAsia"/>
        </w:rPr>
        <w:t>的</w:t>
      </w:r>
      <w:r>
        <w:t xml:space="preserve"> ARR </w:t>
      </w:r>
      <w:r>
        <w:rPr>
          <w:rFonts w:hint="eastAsia"/>
        </w:rPr>
        <w:t>为</w:t>
      </w:r>
      <w:r>
        <w:t xml:space="preserve"> </w:t>
      </w:r>
      <w:r>
        <w:rPr>
          <w:rFonts w:hint="eastAsia"/>
        </w:rPr>
        <w:t>19.96%</w:t>
      </w:r>
      <w:r>
        <w:rPr>
          <w:rFonts w:hint="eastAsia"/>
        </w:rPr>
        <w:t>，相对节能率为</w:t>
      </w:r>
      <w:r>
        <w:t xml:space="preserve"> </w:t>
      </w:r>
      <w:r>
        <w:rPr>
          <w:rFonts w:hint="eastAsia"/>
        </w:rPr>
        <w:t>0.08%</w:t>
      </w:r>
      <w:r>
        <w:rPr>
          <w:rFonts w:hint="eastAsia"/>
        </w:rPr>
        <w:t>。相比之下，</w:t>
      </w:r>
      <w:r>
        <w:rPr>
          <w:rFonts w:hint="eastAsia"/>
        </w:rPr>
        <w:t>ET-PRL</w:t>
      </w:r>
      <w:r>
        <w:t xml:space="preserve"> </w:t>
      </w:r>
      <w:r>
        <w:rPr>
          <w:rFonts w:hint="eastAsia"/>
        </w:rPr>
        <w:t>在动作更新总次数降至</w:t>
      </w:r>
      <w:r>
        <w:t xml:space="preserve"> </w:t>
      </w:r>
      <w:r>
        <w:rPr>
          <w:rFonts w:hint="eastAsia"/>
        </w:rPr>
        <w:t>2046</w:t>
      </w:r>
      <w:r>
        <w:rPr>
          <w:rFonts w:hint="eastAsia"/>
        </w:rPr>
        <w:t>（</w:t>
      </w:r>
      <w:r>
        <w:rPr>
          <w:rFonts w:hint="eastAsia"/>
        </w:rPr>
        <w:t>ARR=53.54%</w:t>
      </w:r>
      <w:r>
        <w:rPr>
          <w:rFonts w:hint="eastAsia"/>
        </w:rPr>
        <w:t>）的同时，相对节能率提升至</w:t>
      </w:r>
      <w:r>
        <w:t xml:space="preserve"> </w:t>
      </w:r>
      <w:r>
        <w:rPr>
          <w:rFonts w:hint="eastAsia"/>
        </w:rPr>
        <w:t>2.13%</w:t>
      </w:r>
      <w:r>
        <w:rPr>
          <w:rFonts w:hint="eastAsia"/>
        </w:rPr>
        <w:t>。按测试周期折算，</w:t>
      </w:r>
      <w:r>
        <w:rPr>
          <w:rFonts w:hint="eastAsia"/>
        </w:rPr>
        <w:t>TTC-RL-1</w:t>
      </w:r>
      <w:r>
        <w:rPr>
          <w:rFonts w:hint="eastAsia"/>
        </w:rPr>
        <w:t>、</w:t>
      </w:r>
      <w:r>
        <w:rPr>
          <w:rFonts w:hint="eastAsia"/>
        </w:rPr>
        <w:t>TTC-RL-2</w:t>
      </w:r>
      <w:r>
        <w:rPr>
          <w:rFonts w:hint="eastAsia"/>
        </w:rPr>
        <w:t>、</w:t>
      </w:r>
      <w:r>
        <w:rPr>
          <w:rFonts w:hint="eastAsia"/>
        </w:rPr>
        <w:t>ST-ETC</w:t>
      </w:r>
      <w:r>
        <w:t xml:space="preserve"> </w:t>
      </w:r>
      <w:r>
        <w:rPr>
          <w:rFonts w:hint="eastAsia"/>
        </w:rPr>
        <w:t>与</w:t>
      </w:r>
      <w:r>
        <w:t xml:space="preserve"> ET-PRL </w:t>
      </w:r>
      <w:r>
        <w:rPr>
          <w:rFonts w:hint="eastAsia"/>
        </w:rPr>
        <w:t>的</w:t>
      </w:r>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288.00</w:t>
      </w:r>
      <w:r>
        <w:t>、</w:t>
      </w:r>
      <w:r>
        <w:t>144.00</w:t>
      </w:r>
      <w:r>
        <w:t>、</w:t>
      </w:r>
      <w:r>
        <w:t xml:space="preserve">230.51 </w:t>
      </w:r>
      <w:r>
        <w:rPr>
          <w:rFonts w:hint="eastAsia"/>
        </w:rPr>
        <w:t>与</w:t>
      </w:r>
      <w:r>
        <w:t xml:space="preserve"> 133.80 </w:t>
      </w:r>
      <w:r>
        <w:rPr>
          <w:rFonts w:hint="eastAsia"/>
        </w:rPr>
        <w:t>次</w:t>
      </w:r>
      <w:r>
        <w:rPr>
          <w:rFonts w:hint="eastAsia"/>
        </w:rPr>
        <w:t>/</w:t>
      </w:r>
      <w:r>
        <w:rPr>
          <w:rFonts w:hint="eastAsia"/>
        </w:rPr>
        <w:t>日；对应</w:t>
      </w:r>
      <w:r>
        <w:t xml:space="preserve"> ACR </w:t>
      </w:r>
      <w:r>
        <w:rPr>
          <w:rFonts w:hint="eastAsia"/>
        </w:rPr>
        <w:t>分别为</w:t>
      </w:r>
      <w:r>
        <w:t xml:space="preserve"> 1.0000</w:t>
      </w:r>
      <w:r>
        <w:t>、</w:t>
      </w:r>
      <w:r>
        <w:t>2.0000</w:t>
      </w:r>
      <w:r>
        <w:t>、</w:t>
      </w:r>
      <w:r>
        <w:t xml:space="preserve">1.2494 </w:t>
      </w:r>
      <w:r>
        <w:rPr>
          <w:rFonts w:hint="eastAsia"/>
        </w:rPr>
        <w:t>与</w:t>
      </w:r>
      <w:r>
        <w:t xml:space="preserve"> </w:t>
      </w:r>
      <w:r>
        <w:rPr>
          <w:rFonts w:hint="eastAsia"/>
        </w:rPr>
        <w:t>2.1525</w:t>
      </w:r>
      <w:r>
        <w:rPr>
          <w:rFonts w:hint="eastAsia"/>
        </w:rPr>
        <w:t>。该结果说明，性能改善并非仅由降频幅度决定，而与触发时机和高价值决策状态的匹配程度密切相关。</w:t>
      </w:r>
    </w:p>
    <w:p w14:paraId="5232FEA7" w14:textId="77777777" w:rsidR="00C2291B" w:rsidRDefault="00000000">
      <w:pPr>
        <w:pStyle w:val="a0"/>
      </w:pPr>
      <w:r>
        <w:rPr>
          <w:rFonts w:hint="eastAsia"/>
        </w:rPr>
        <w:t>在传统控制策略对照下，</w:t>
      </w:r>
      <w:r>
        <w:rPr>
          <w:rFonts w:hint="eastAsia"/>
        </w:rPr>
        <w:t>PID</w:t>
      </w:r>
      <w:r>
        <w:t xml:space="preserve"> </w:t>
      </w:r>
      <w:r>
        <w:rPr>
          <w:rFonts w:hint="eastAsia"/>
        </w:rPr>
        <w:t>与</w:t>
      </w:r>
      <w:r>
        <w:t xml:space="preserve"> RBC </w:t>
      </w:r>
      <w:r>
        <w:rPr>
          <w:rFonts w:hint="eastAsia"/>
        </w:rPr>
        <w:t>的日均能耗分别为</w:t>
      </w:r>
      <w:r>
        <w:t xml:space="preserve"> 8486.90 </w:t>
      </w:r>
      <w:r>
        <w:rPr>
          <w:rFonts w:hint="eastAsia"/>
        </w:rPr>
        <w:t>与</w:t>
      </w:r>
      <w:r>
        <w:t xml:space="preserve"> 8548.72 </w:t>
      </w:r>
      <w:r>
        <w:rPr>
          <w:rFonts w:hint="eastAsia"/>
        </w:rPr>
        <w:t>kWh/day</w:t>
      </w:r>
      <w:r>
        <w:rPr>
          <w:rFonts w:hint="eastAsia"/>
        </w:rPr>
        <w:t>，均高于强化学习策略组（</w:t>
      </w:r>
      <w:r>
        <w:rPr>
          <w:rFonts w:hint="eastAsia"/>
        </w:rPr>
        <w:t>7331.85</w:t>
      </w:r>
      <w:r>
        <w:t xml:space="preserve"> </w:t>
      </w:r>
      <w:r>
        <w:rPr>
          <w:rFonts w:hint="eastAsia"/>
        </w:rPr>
        <w:t>至</w:t>
      </w:r>
      <w:r>
        <w:t xml:space="preserve"> 7491.14 </w:t>
      </w:r>
      <w:r>
        <w:rPr>
          <w:rFonts w:hint="eastAsia"/>
        </w:rPr>
        <w:t>kWh/day</w:t>
      </w:r>
      <w:r>
        <w:rPr>
          <w:rFonts w:hint="eastAsia"/>
        </w:rPr>
        <w:t>）。其中，</w:t>
      </w:r>
      <w:r>
        <w:rPr>
          <w:rFonts w:hint="eastAsia"/>
        </w:rPr>
        <w:t>ET-PRL</w:t>
      </w:r>
      <w:r>
        <w:t xml:space="preserve"> </w:t>
      </w:r>
      <w:r>
        <w:rPr>
          <w:rFonts w:hint="eastAsia"/>
        </w:rPr>
        <w:t>的日均能耗最低，为</w:t>
      </w:r>
      <w:r>
        <w:t xml:space="preserve"> 7331.85 </w:t>
      </w:r>
      <w:r>
        <w:rPr>
          <w:rFonts w:hint="eastAsia"/>
        </w:rPr>
        <w:t>kWh/day</w:t>
      </w:r>
      <w:r>
        <w:rPr>
          <w:rFonts w:hint="eastAsia"/>
        </w:rPr>
        <w:t>；相较于</w:t>
      </w:r>
      <w:r>
        <w:t xml:space="preserve"> PID </w:t>
      </w:r>
      <w:r>
        <w:rPr>
          <w:rFonts w:hint="eastAsia"/>
        </w:rPr>
        <w:t>与</w:t>
      </w:r>
      <w:r>
        <w:t xml:space="preserve"> </w:t>
      </w:r>
      <w:r>
        <w:rPr>
          <w:rFonts w:hint="eastAsia"/>
        </w:rPr>
        <w:t>RBC</w:t>
      </w:r>
      <w:r>
        <w:rPr>
          <w:rFonts w:hint="eastAsia"/>
        </w:rPr>
        <w:t>，分别降低</w:t>
      </w:r>
      <w:r>
        <w:t xml:space="preserve"> 1155.05 </w:t>
      </w:r>
      <w:r>
        <w:rPr>
          <w:rFonts w:hint="eastAsia"/>
        </w:rPr>
        <w:t>与</w:t>
      </w:r>
      <w:r>
        <w:t xml:space="preserve"> 1216.87 </w:t>
      </w:r>
      <w:r>
        <w:rPr>
          <w:rFonts w:hint="eastAsia"/>
        </w:rPr>
        <w:t>kWh/day</w:t>
      </w:r>
      <w:r>
        <w:rPr>
          <w:rFonts w:hint="eastAsia"/>
        </w:rPr>
        <w:t>，对应降幅为</w:t>
      </w:r>
      <w:r>
        <w:t xml:space="preserve"> 13.61% </w:t>
      </w:r>
      <w:r>
        <w:rPr>
          <w:rFonts w:hint="eastAsia"/>
        </w:rPr>
        <w:t>与</w:t>
      </w:r>
      <w:r>
        <w:t xml:space="preserve"> </w:t>
      </w:r>
      <w:r>
        <w:rPr>
          <w:rFonts w:hint="eastAsia"/>
        </w:rPr>
        <w:t>14.24%</w:t>
      </w:r>
      <w:r>
        <w:rPr>
          <w:rFonts w:hint="eastAsia"/>
        </w:rPr>
        <w:t>。在功率指标上，</w:t>
      </w:r>
      <w:r>
        <w:rPr>
          <w:rFonts w:hint="eastAsia"/>
        </w:rPr>
        <w:t>ET-PRL</w:t>
      </w:r>
      <w:r>
        <w:t xml:space="preserve"> </w:t>
      </w:r>
      <w:r>
        <w:rPr>
          <w:rFonts w:hint="eastAsia"/>
        </w:rPr>
        <w:t>的平均功率</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m:t>
        </m:r>
      </m:oMath>
      <w:r>
        <w:t xml:space="preserve"> </w:t>
      </w:r>
      <w:r>
        <w:rPr>
          <w:rFonts w:hint="eastAsia"/>
        </w:rPr>
        <w:t>kW</w:t>
      </w:r>
      <w:r>
        <w:rPr>
          <w:rFonts w:hint="eastAsia"/>
        </w:rPr>
        <w:t>，也低于</w:t>
      </w:r>
      <w:r>
        <w:t xml:space="preserve"> </w:t>
      </w:r>
      <w:r>
        <w:rPr>
          <w:rFonts w:hint="eastAsia"/>
        </w:rPr>
        <w:t>PID</w:t>
      </w:r>
      <w:r>
        <w:rPr>
          <w:rFonts w:hint="eastAsia"/>
        </w:rPr>
        <w:t>（</w:t>
      </w:r>
      <w:r>
        <w:rPr>
          <w:rFonts w:hint="eastAsia"/>
        </w:rPr>
        <w:t>353.62</w:t>
      </w:r>
      <w:r>
        <w:t xml:space="preserve"> </w:t>
      </w:r>
      <w:r>
        <w:rPr>
          <w:rFonts w:hint="eastAsia"/>
        </w:rPr>
        <w:t>kW</w:t>
      </w:r>
      <w:r>
        <w:rPr>
          <w:rFonts w:hint="eastAsia"/>
        </w:rPr>
        <w:t>）与</w:t>
      </w:r>
      <w:r>
        <w:t xml:space="preserve"> </w:t>
      </w:r>
      <w:r>
        <w:rPr>
          <w:rFonts w:hint="eastAsia"/>
        </w:rPr>
        <w:t>RBC</w:t>
      </w:r>
      <w:r>
        <w:rPr>
          <w:rFonts w:hint="eastAsia"/>
        </w:rPr>
        <w:t>（</w:t>
      </w:r>
      <w:r>
        <w:rPr>
          <w:rFonts w:hint="eastAsia"/>
        </w:rPr>
        <w:t>356.20</w:t>
      </w:r>
      <w:r>
        <w:t xml:space="preserve"> </w:t>
      </w:r>
      <w:r>
        <w:rPr>
          <w:rFonts w:hint="eastAsia"/>
        </w:rPr>
        <w:t>kW</w:t>
      </w:r>
      <w:r>
        <w:rPr>
          <w:rFonts w:hint="eastAsia"/>
        </w:rPr>
        <w:t>），表明其在本测试集上表现出一致的能效优势。</w:t>
      </w:r>
    </w:p>
    <w:p w14:paraId="096039FE" w14:textId="77777777" w:rsidR="00C2291B" w:rsidRDefault="00000000">
      <w:pPr>
        <w:pStyle w:val="a0"/>
      </w:pPr>
      <w:r>
        <w:rPr>
          <w:rFonts w:hint="eastAsia"/>
        </w:rPr>
        <w:t>在执行品质方面，</w:t>
      </w:r>
      <w:r>
        <w:rPr>
          <w:rFonts w:hint="eastAsia"/>
        </w:rPr>
        <w:t>ET-PRL</w:t>
      </w:r>
      <w:r>
        <w:t xml:space="preserve"> </w:t>
      </w:r>
      <w:r>
        <w:rPr>
          <w:rFonts w:hint="eastAsia"/>
        </w:rPr>
        <w:t>的动作平滑度</w:t>
      </w:r>
      <w: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r>
          <w:rPr>
            <w:rFonts w:ascii="Cambria Math" w:hAnsi="Cambria Math"/>
          </w:rPr>
          <m:t>0.6014</m:t>
        </m:r>
      </m:oMath>
      <w:r>
        <w:rPr>
          <w:rFonts w:hint="eastAsia"/>
        </w:rPr>
        <w:t>，较</w:t>
      </w:r>
      <w:r>
        <w:t xml:space="preserve"> </w:t>
      </w:r>
      <w:r>
        <w:rPr>
          <w:rFonts w:hint="eastAsia"/>
        </w:rPr>
        <w:t>TTC-RL-1</w:t>
      </w:r>
      <w:r>
        <w:rPr>
          <w:rFonts w:hint="eastAsia"/>
        </w:rPr>
        <w:t>（</w:t>
      </w:r>
      <w:r>
        <w:rPr>
          <w:rFonts w:hint="eastAsia"/>
        </w:rPr>
        <w:t>0.8101</w:t>
      </w:r>
      <w:r>
        <w:rPr>
          <w:rFonts w:hint="eastAsia"/>
        </w:rPr>
        <w:t>）下降</w:t>
      </w:r>
      <w:r>
        <w:t xml:space="preserve"> </w:t>
      </w:r>
      <w:r>
        <w:rPr>
          <w:rFonts w:hint="eastAsia"/>
        </w:rPr>
        <w:t>25.76%</w:t>
      </w:r>
      <w:r>
        <w:rPr>
          <w:rFonts w:hint="eastAsia"/>
        </w:rPr>
        <w:t>，较</w:t>
      </w:r>
      <w:r>
        <w:t xml:space="preserve"> </w:t>
      </w:r>
      <w:r>
        <w:rPr>
          <w:rFonts w:hint="eastAsia"/>
        </w:rPr>
        <w:t>ST-ETC</w:t>
      </w:r>
      <w:r>
        <w:rPr>
          <w:rFonts w:hint="eastAsia"/>
        </w:rPr>
        <w:t>（</w:t>
      </w:r>
      <w:r>
        <w:rPr>
          <w:rFonts w:hint="eastAsia"/>
        </w:rPr>
        <w:t>0.7711</w:t>
      </w:r>
      <w:r>
        <w:rPr>
          <w:rFonts w:hint="eastAsia"/>
        </w:rPr>
        <w:t>）下降</w:t>
      </w:r>
      <w:r>
        <w:t xml:space="preserve"> </w:t>
      </w:r>
      <w:r>
        <w:rPr>
          <w:rFonts w:hint="eastAsia"/>
        </w:rPr>
        <w:t>22.01%</w:t>
      </w:r>
      <w:r>
        <w:rPr>
          <w:rFonts w:hint="eastAsia"/>
        </w:rPr>
        <w:t>，说明其在抑制高频抖动、降低执行器频繁调节方面具有优势。该值略高于</w:t>
      </w:r>
      <w:r>
        <w:t xml:space="preserve"> </w:t>
      </w:r>
      <w:r>
        <w:rPr>
          <w:rFonts w:hint="eastAsia"/>
        </w:rPr>
        <w:t>TTC-RL-2</w:t>
      </w:r>
      <w:r>
        <w:rPr>
          <w:rFonts w:hint="eastAsia"/>
        </w:rPr>
        <w:t>（</w:t>
      </w:r>
      <w:r>
        <w:rPr>
          <w:rFonts w:hint="eastAsia"/>
        </w:rPr>
        <w:t>0.5617</w:t>
      </w:r>
      <w:r>
        <w:rPr>
          <w:rFonts w:hint="eastAsia"/>
        </w:rPr>
        <w:t>），反映</w:t>
      </w:r>
      <w:r>
        <w:t xml:space="preserve"> ET-PRL </w:t>
      </w:r>
      <w:r>
        <w:rPr>
          <w:rFonts w:hint="eastAsia"/>
        </w:rPr>
        <w:t>在保持必要动作调整与抑制无效更新之间实现了相对平衡的折中。</w:t>
      </w:r>
    </w:p>
    <w:p w14:paraId="4B9D7946" w14:textId="77777777" w:rsidR="00C2291B" w:rsidRDefault="00000000">
      <w:pPr>
        <w:pStyle w:val="a0"/>
      </w:pPr>
      <w:r>
        <w:rPr>
          <w:rFonts w:hint="eastAsia"/>
        </w:rPr>
        <w:t>在奖励指标方面，应区分累计收益与单位更新收益两类口径。</w:t>
      </w:r>
      <w:r>
        <w:rPr>
          <w:rFonts w:hint="eastAsia"/>
        </w:rPr>
        <w:t>ET-PRL</w:t>
      </w:r>
      <w:r>
        <w:t xml:space="preserve"> </w:t>
      </w:r>
      <w:r>
        <w:rPr>
          <w:rFonts w:hint="eastAsia"/>
        </w:rPr>
        <w:t>的总奖励</w:t>
      </w:r>
      <w:r>
        <w:t xml:space="preserve"> </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为</w:t>
      </w:r>
      <w:r>
        <w:t xml:space="preserve"> </w:t>
      </w:r>
      <w:r>
        <w:rPr>
          <w:rFonts w:hint="eastAsia"/>
        </w:rPr>
        <w:t>1939.74</w:t>
      </w:r>
      <w:r>
        <w:rPr>
          <w:rFonts w:hint="eastAsia"/>
        </w:rPr>
        <w:t>，低于</w:t>
      </w:r>
      <w:r>
        <w:t xml:space="preserve"> TTC-RL-1 </w:t>
      </w:r>
      <w:r>
        <w:rPr>
          <w:rFonts w:hint="eastAsia"/>
        </w:rPr>
        <w:t>的</w:t>
      </w:r>
      <w:r>
        <w:t xml:space="preserve"> </w:t>
      </w:r>
      <w:r>
        <w:rPr>
          <w:rFonts w:hint="eastAsia"/>
        </w:rPr>
        <w:t>2054.63</w:t>
      </w:r>
      <w:r>
        <w:rPr>
          <w:rFonts w:hint="eastAsia"/>
        </w:rPr>
        <w:t>，对应</w:t>
      </w:r>
      <w:r>
        <w:t xml:space="preserve"> PPR </w:t>
      </w:r>
      <w:r>
        <w:rPr>
          <w:rFonts w:hint="eastAsia"/>
        </w:rPr>
        <w:t>为</w:t>
      </w:r>
      <w:r>
        <w:t xml:space="preserve"> </w:t>
      </w:r>
      <w:r>
        <w:rPr>
          <w:rFonts w:hint="eastAsia"/>
        </w:rPr>
        <w:t>94.41%</w:t>
      </w:r>
      <w:r>
        <w:rPr>
          <w:rFonts w:hint="eastAsia"/>
        </w:rPr>
        <w:t>；但其平均步奖励</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t xml:space="preserve"> </w:t>
      </w:r>
      <w:r>
        <w:rPr>
          <w:rFonts w:hint="eastAsia"/>
        </w:rPr>
        <w:t>为</w:t>
      </w:r>
      <w:r>
        <w:t xml:space="preserve"> </w:t>
      </w:r>
      <w:r>
        <w:rPr>
          <w:rFonts w:hint="eastAsia"/>
        </w:rPr>
        <w:t>0.9481</w:t>
      </w:r>
      <w:r>
        <w:rPr>
          <w:rFonts w:hint="eastAsia"/>
        </w:rPr>
        <w:t>，为强化学习策略中最高，较</w:t>
      </w:r>
      <w:r>
        <w:t xml:space="preserve"> </w:t>
      </w:r>
      <w:r>
        <w:rPr>
          <w:rFonts w:hint="eastAsia"/>
        </w:rPr>
        <w:t>TTC-RL-1</w:t>
      </w:r>
      <w:r>
        <w:rPr>
          <w:rFonts w:hint="eastAsia"/>
        </w:rPr>
        <w:t>（</w:t>
      </w:r>
      <w:r>
        <w:rPr>
          <w:rFonts w:hint="eastAsia"/>
        </w:rPr>
        <w:t>0.4665</w:t>
      </w:r>
      <w:r>
        <w:rPr>
          <w:rFonts w:hint="eastAsia"/>
        </w:rPr>
        <w:t>）提升约</w:t>
      </w:r>
      <w:r>
        <w:t xml:space="preserve"> </w:t>
      </w:r>
      <w:r>
        <w:rPr>
          <w:rFonts w:hint="eastAsia"/>
        </w:rPr>
        <w:t>103.24%</w:t>
      </w:r>
      <w:r>
        <w:rPr>
          <w:rFonts w:hint="eastAsia"/>
        </w:rPr>
        <w:t>，较</w:t>
      </w:r>
      <w:r>
        <w:t xml:space="preserve"> </w:t>
      </w:r>
      <w:r>
        <w:rPr>
          <w:rFonts w:hint="eastAsia"/>
        </w:rPr>
        <w:t>ST-ETC</w:t>
      </w:r>
      <w:r>
        <w:rPr>
          <w:rFonts w:hint="eastAsia"/>
        </w:rPr>
        <w:t>（</w:t>
      </w:r>
      <w:r>
        <w:rPr>
          <w:rFonts w:hint="eastAsia"/>
        </w:rPr>
        <w:t>0.5822</w:t>
      </w:r>
      <w:r>
        <w:rPr>
          <w:rFonts w:hint="eastAsia"/>
        </w:rPr>
        <w:t>）提升约</w:t>
      </w:r>
      <w:r>
        <w:t xml:space="preserve"> </w:t>
      </w:r>
      <w:r>
        <w:rPr>
          <w:rFonts w:hint="eastAsia"/>
        </w:rPr>
        <w:t>62.85%</w:t>
      </w:r>
      <w:r>
        <w:rPr>
          <w:rFonts w:hint="eastAsia"/>
        </w:rPr>
        <w:t>，也高于</w:t>
      </w:r>
      <w:r>
        <w:t xml:space="preserve"> </w:t>
      </w:r>
      <w:r>
        <w:rPr>
          <w:rFonts w:hint="eastAsia"/>
        </w:rPr>
        <w:t>TTC-RL-2</w:t>
      </w:r>
      <w:r>
        <w:rPr>
          <w:rFonts w:hint="eastAsia"/>
        </w:rPr>
        <w:t>（</w:t>
      </w:r>
      <w:r>
        <w:rPr>
          <w:rFonts w:hint="eastAsia"/>
        </w:rPr>
        <w:t>0.9186</w:t>
      </w:r>
      <w:r>
        <w:rPr>
          <w:rFonts w:hint="eastAsia"/>
        </w:rPr>
        <w:t>）。该结果表明，</w:t>
      </w:r>
      <w:r>
        <w:rPr>
          <w:rFonts w:hint="eastAsia"/>
        </w:rPr>
        <w:t>ET-PRL</w:t>
      </w:r>
      <w:r>
        <w:t xml:space="preserve"> </w:t>
      </w:r>
      <w:r>
        <w:rPr>
          <w:rFonts w:hint="eastAsia"/>
        </w:rPr>
        <w:t>将有限动作更新预算集中在更高价值的决策时刻，在仅损失部分累计收益的情况下显著提升了单位更新效率，这与事件驱动控制追求按需高效干预的设计目标一致。</w:t>
      </w:r>
    </w:p>
    <w:p w14:paraId="73424E84" w14:textId="77777777" w:rsidR="00C2291B" w:rsidRDefault="00000000">
      <w:pPr>
        <w:pStyle w:val="Compact"/>
        <w:numPr>
          <w:ilvl w:val="0"/>
          <w:numId w:val="20"/>
        </w:numPr>
      </w:pPr>
      <w:r>
        <w:rPr>
          <w:rFonts w:hint="eastAsia"/>
        </w:rPr>
        <w:lastRenderedPageBreak/>
        <w:t>冷冻水供水温度设定值策略行为分析</w:t>
      </w:r>
    </w:p>
    <w:p w14:paraId="51CB00DC" w14:textId="77777777" w:rsidR="00C2291B" w:rsidRDefault="00000000">
      <w:pPr>
        <w:pStyle w:val="FirstParagraph"/>
      </w:pPr>
      <w:r>
        <w:rPr>
          <w:rFonts w:hint="eastAsia"/>
        </w:rPr>
        <w:t>在宏观分布层面，静态阈值策略</w:t>
      </w:r>
      <w:r>
        <w:t xml:space="preserve"> ST-ETC </w:t>
      </w:r>
      <w:r>
        <w:rPr>
          <w:rFonts w:hint="eastAsia"/>
        </w:rPr>
        <w:t>与</w:t>
      </w:r>
      <w:r>
        <w:t xml:space="preserve"> TTC-RL-1 </w:t>
      </w:r>
      <w:r>
        <w:rPr>
          <w:rFonts w:hint="eastAsia"/>
        </w:rPr>
        <w:t>的动作等效比率达到</w:t>
      </w:r>
      <w:r>
        <w:t xml:space="preserve"> </w:t>
      </w:r>
      <w:r>
        <w:rPr>
          <w:rFonts w:hint="eastAsia"/>
        </w:rPr>
        <w:t>99.2%</w:t>
      </w:r>
      <w:r>
        <w:rPr>
          <w:rFonts w:hint="eastAsia"/>
        </w:rPr>
        <w:t>，说明其主要表现为更新频率稀疏化，而非价值函数驱动的策略重构。基于此，图</w:t>
      </w:r>
      <w:r>
        <w:t xml:space="preserve"> 5-2-1 </w:t>
      </w:r>
      <w:r>
        <w:rPr>
          <w:rFonts w:hint="eastAsia"/>
        </w:rPr>
        <w:t>将</w:t>
      </w:r>
      <w:r>
        <w:t xml:space="preserve"> TTC-RL-1 </w:t>
      </w:r>
      <w:r>
        <w:rPr>
          <w:rFonts w:hint="eastAsia"/>
        </w:rPr>
        <w:t>与</w:t>
      </w:r>
      <w:r>
        <w:t xml:space="preserve"> ST-ETC </w:t>
      </w:r>
      <w:r>
        <w:rPr>
          <w:rFonts w:hint="eastAsia"/>
        </w:rPr>
        <w:t>的宏观分布合并展示，用于突出</w:t>
      </w:r>
      <w:r>
        <w:t xml:space="preserve"> ET-PRL </w:t>
      </w:r>
      <w:r>
        <w:rPr>
          <w:rFonts w:hint="eastAsia"/>
        </w:rPr>
        <w:t>在动作空间上的再分配特征。</w:t>
      </w:r>
    </w:p>
    <w:p w14:paraId="73ECC8C4" w14:textId="77777777" w:rsidR="00C2291B" w:rsidRDefault="00000000">
      <w:pPr>
        <w:pStyle w:val="CaptionedFigure"/>
      </w:pPr>
      <w:r>
        <w:rPr>
          <w:noProof/>
        </w:rPr>
        <w:drawing>
          <wp:inline distT="0" distB="0" distL="0" distR="0" wp14:anchorId="381ACF20" wp14:editId="7788D3E4">
            <wp:extent cx="5334000" cy="2714831"/>
            <wp:effectExtent l="0" t="0" r="0" b="0"/>
            <wp:docPr id="34" name="Picture" descr="图 5-2-1 ET-PRL、TTC-RL-1 与 ST-ETC 的 T_{\mathrm{chws}} 窗口分布对比（每个柱表示 10 小时窗口内动作比例）"/>
            <wp:cNvGraphicFramePr/>
            <a:graphic xmlns:a="http://schemas.openxmlformats.org/drawingml/2006/main">
              <a:graphicData uri="http://schemas.openxmlformats.org/drawingml/2006/picture">
                <pic:pic xmlns:pic="http://schemas.openxmlformats.org/drawingml/2006/picture">
                  <pic:nvPicPr>
                    <pic:cNvPr id="35" name="Picture" descr="../pics/fig_5_2_1_t_chws_macro_distribution.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2714831"/>
                    </a:xfrm>
                    <a:prstGeom prst="rect">
                      <a:avLst/>
                    </a:prstGeom>
                    <a:noFill/>
                    <a:ln w="9525">
                      <a:noFill/>
                      <a:headEnd/>
                      <a:tailEnd/>
                    </a:ln>
                  </pic:spPr>
                </pic:pic>
              </a:graphicData>
            </a:graphic>
          </wp:inline>
        </w:drawing>
      </w:r>
    </w:p>
    <w:p w14:paraId="5DDF0708" w14:textId="77777777" w:rsidR="00C2291B" w:rsidRDefault="00000000">
      <w:pPr>
        <w:pStyle w:val="ImageCaption"/>
      </w:pPr>
      <w:r>
        <w:rPr>
          <w:rFonts w:hint="eastAsia"/>
        </w:rPr>
        <w:t>图</w:t>
      </w:r>
      <w:r>
        <w:t xml:space="preserve"> 5-2-1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501D9340" w14:textId="77777777" w:rsidR="00C2291B" w:rsidRDefault="00000000">
      <w:pPr>
        <w:pStyle w:val="a0"/>
      </w:pPr>
      <w:r>
        <w:rPr>
          <w:rFonts w:hint="eastAsia"/>
        </w:rPr>
        <w:t>图</w:t>
      </w:r>
      <w:r>
        <w:t xml:space="preserve"> 5-2-1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19A6D3D2" w14:textId="77777777" w:rsidR="00C2291B" w:rsidRDefault="00000000">
      <w:pPr>
        <w:pStyle w:val="a0"/>
      </w:pPr>
      <w:r>
        <w:rPr>
          <w:rFonts w:hint="eastAsia"/>
        </w:rPr>
        <w:t>图</w:t>
      </w:r>
      <w:r>
        <w:t xml:space="preserve"> 5-2-1 </w:t>
      </w:r>
      <w:r>
        <w:rPr>
          <w:rFonts w:hint="eastAsia"/>
        </w:rPr>
        <w:t>显示，在</w:t>
      </w:r>
      <w:r>
        <w:t xml:space="preserve"> 0-50h </w:t>
      </w:r>
      <w:r>
        <w:rPr>
          <w:rFonts w:hint="eastAsia"/>
        </w:rPr>
        <w:t>与</w:t>
      </w:r>
      <w:r>
        <w:t xml:space="preserve"> 200-250h </w:t>
      </w:r>
      <w:r>
        <w:rPr>
          <w:rFonts w:hint="eastAsia"/>
        </w:rPr>
        <w:t>等典型低负荷时段，</w:t>
      </w:r>
      <w:r>
        <w:rPr>
          <w:rFonts w:hint="eastAsia"/>
        </w:rPr>
        <w:t>ET-PRL</w:t>
      </w:r>
      <w:r>
        <w:t xml:space="preserve"> </w:t>
      </w:r>
      <w:r>
        <w:rPr>
          <w:rFonts w:hint="eastAsia"/>
        </w:rPr>
        <w:t>在离散动作空间高温端（</w:t>
      </w:r>
      <w:r>
        <w:rPr>
          <w:rFonts w:hint="eastAsia"/>
        </w:rPr>
        <w:t>15</w:t>
      </w:r>
      <w:r>
        <w:rPr>
          <w:rFonts w:hint="eastAsia"/>
        </w:rPr>
        <w:t>°</w:t>
      </w:r>
      <w:r>
        <w:rPr>
          <w:rFonts w:hint="eastAsia"/>
        </w:rPr>
        <w:t>C</w:t>
      </w:r>
      <w:r>
        <w:rPr>
          <w:rFonts w:hint="eastAsia"/>
        </w:rPr>
        <w:t>）对应区间的动作占比显著提升。该行为与冷水机组变工况热力学特性一致：当建筑冷量需求较弱时，上调</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等效于提高蒸发温度，可降低压缩机压比并提升性能系数（</w:t>
      </w:r>
      <w:r>
        <w:rPr>
          <w:rFonts w:hint="eastAsia"/>
        </w:rPr>
        <w:t>COP</w:t>
      </w:r>
      <w:r>
        <w:rPr>
          <w:rFonts w:hint="eastAsia"/>
        </w:rPr>
        <w:t>），从而在不突破室内热舒适边界的前提下降低单位冷量耗电。需要指出的是，</w:t>
      </w:r>
      <w:r>
        <w:rPr>
          <w:rFonts w:hint="eastAsia"/>
        </w:rPr>
        <w:t>ST-ETC</w:t>
      </w:r>
      <w:r>
        <w:t xml:space="preserve"> </w:t>
      </w:r>
      <w:r>
        <w:rPr>
          <w:rFonts w:hint="eastAsia"/>
        </w:rPr>
        <w:t>与</w:t>
      </w:r>
      <w:r>
        <w:t xml:space="preserve"> ET-PRL </w:t>
      </w:r>
      <w:r>
        <w:rPr>
          <w:rFonts w:hint="eastAsia"/>
        </w:rPr>
        <w:t>复用同一</w:t>
      </w:r>
      <w:r>
        <w:t xml:space="preserve"> TTC-RL-1 </w:t>
      </w:r>
      <w:r>
        <w:rPr>
          <w:rFonts w:hint="eastAsia"/>
        </w:rPr>
        <w:t>预训练</w:t>
      </w:r>
      <w:r>
        <w:t xml:space="preserve"> Q </w:t>
      </w:r>
      <w:r>
        <w:rPr>
          <w:rFonts w:hint="eastAsia"/>
        </w:rPr>
        <w:t>网络与同一状态输入，因此二者均具备基于预测特征的价值评估能力。两者差异主要来自门控层：</w:t>
      </w:r>
      <w:r>
        <w:rPr>
          <w:rFonts w:hint="eastAsia"/>
        </w:rPr>
        <w:t>ST-ETC</w:t>
      </w:r>
      <w:r>
        <w:t xml:space="preserve"> </w:t>
      </w:r>
      <w:r>
        <w:rPr>
          <w:rFonts w:hint="eastAsia"/>
        </w:rPr>
        <w:t>的静态阈值在跨时段分布漂移下更易出现边界失配，在非关键时刻产生误触发并缩短高效设定值的连续保持时长；</w:t>
      </w:r>
      <w:r>
        <w:rPr>
          <w:rFonts w:hint="eastAsia"/>
        </w:rPr>
        <w:t>ET-PRL</w:t>
      </w:r>
      <w:r>
        <w:t xml:space="preserve"> </w:t>
      </w:r>
      <w:r>
        <w:rPr>
          <w:rFonts w:hint="eastAsia"/>
        </w:rPr>
        <w:t>的流式双层动态阈值可在线校正触发边界，过滤高频噪声触发，为高设定温度动作提供更连续的执行窗口，从而实现更显著的动作空间再分配。</w:t>
      </w:r>
    </w:p>
    <w:p w14:paraId="3018E366" w14:textId="77777777" w:rsidR="00C2291B" w:rsidRDefault="00000000">
      <w:pPr>
        <w:pStyle w:val="CaptionedFigure"/>
      </w:pPr>
      <w:r>
        <w:rPr>
          <w:noProof/>
        </w:rPr>
        <w:lastRenderedPageBreak/>
        <w:drawing>
          <wp:inline distT="0" distB="0" distL="0" distR="0" wp14:anchorId="5735C6CA" wp14:editId="4518220D">
            <wp:extent cx="5334000" cy="2026919"/>
            <wp:effectExtent l="0" t="0" r="0" b="0"/>
            <wp:docPr id="37" name="Picture" descr="图 5-2-2 事件触发局部响应与全局差值频次统计：面板(a)为 65h-85h 窗口内冷负荷与绝对设定值轨迹，面板(b)为 ST-ETC 与 ET-PRL 相对 TTC-RL-1 的 \Delta T_{\mathrm{chws}} 对数频次分布"/>
            <wp:cNvGraphicFramePr/>
            <a:graphic xmlns:a="http://schemas.openxmlformats.org/drawingml/2006/main">
              <a:graphicData uri="http://schemas.openxmlformats.org/drawingml/2006/picture">
                <pic:pic xmlns:pic="http://schemas.openxmlformats.org/drawingml/2006/picture">
                  <pic:nvPicPr>
                    <pic:cNvPr id="38" name="Picture" descr="../pics/fig_5_2_2_t_chws_delta_analysis.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026919"/>
                    </a:xfrm>
                    <a:prstGeom prst="rect">
                      <a:avLst/>
                    </a:prstGeom>
                    <a:noFill/>
                    <a:ln w="9525">
                      <a:noFill/>
                      <a:headEnd/>
                      <a:tailEnd/>
                    </a:ln>
                  </pic:spPr>
                </pic:pic>
              </a:graphicData>
            </a:graphic>
          </wp:inline>
        </w:drawing>
      </w:r>
    </w:p>
    <w:p w14:paraId="45D89E2A" w14:textId="77777777" w:rsidR="00C2291B" w:rsidRDefault="00000000">
      <w:pPr>
        <w:pStyle w:val="ImageCaption"/>
      </w:pPr>
      <w:r>
        <w:rPr>
          <w:rFonts w:hint="eastAsia"/>
        </w:rPr>
        <w:t>图</w:t>
      </w:r>
      <w:r>
        <w:t xml:space="preserve"> 5-2-2 </w:t>
      </w:r>
      <w:r>
        <w:rPr>
          <w:rFonts w:hint="eastAsia"/>
        </w:rPr>
        <w:t>事件触发局部响应与全局差值频次统计：面板</w:t>
      </w:r>
      <w:r>
        <w:rPr>
          <w:rFonts w:hint="eastAsia"/>
        </w:rPr>
        <w:t>(a)</w:t>
      </w:r>
      <w:r>
        <w:rPr>
          <w:rFonts w:hint="eastAsia"/>
        </w:rPr>
        <w:t>为</w:t>
      </w:r>
      <w:r>
        <w:t xml:space="preserve"> 65h-85h </w:t>
      </w:r>
      <w:r>
        <w:rPr>
          <w:rFonts w:hint="eastAsia"/>
        </w:rPr>
        <w:t>窗口内冷负荷与绝对设定值轨迹，面板</w:t>
      </w:r>
      <w:r>
        <w:rPr>
          <w:rFonts w:hint="eastAsia"/>
        </w:rPr>
        <w:t>(b)</w:t>
      </w:r>
      <w:r>
        <w:rPr>
          <w:rFonts w:hint="eastAsia"/>
        </w:rPr>
        <w:t>为</w:t>
      </w:r>
      <w:r>
        <w:t xml:space="preserve"> ST-ETC </w:t>
      </w:r>
      <w:r>
        <w:rPr>
          <w:rFonts w:hint="eastAsia"/>
        </w:rPr>
        <w:t>与</w:t>
      </w:r>
      <w:r>
        <w:t xml:space="preserve"> ET-PRL </w:t>
      </w:r>
      <w:r>
        <w:rPr>
          <w:rFonts w:hint="eastAsia"/>
        </w:rPr>
        <w:t>相对</w:t>
      </w:r>
      <w:r>
        <w:t xml:space="preserve"> TTC-RL-1 </w:t>
      </w:r>
      <w:r>
        <w:rPr>
          <w:rFonts w:hint="eastAsia"/>
        </w:rPr>
        <w:t>的</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对数频次分布</w:t>
      </w:r>
    </w:p>
    <w:p w14:paraId="2238907E" w14:textId="77777777" w:rsidR="00C2291B" w:rsidRDefault="00000000">
      <w:pPr>
        <w:pStyle w:val="a0"/>
      </w:pPr>
      <w:r>
        <w:rPr>
          <w:rFonts w:hint="eastAsia"/>
        </w:rPr>
        <w:t>图</w:t>
      </w:r>
      <w:r>
        <w:t xml:space="preserve"> 5-2-2 </w:t>
      </w:r>
      <w:r>
        <w:rPr>
          <w:rFonts w:hint="eastAsia"/>
        </w:rPr>
        <w:t>事件触发局部响应与全局差值频次统计</w:t>
      </w:r>
    </w:p>
    <w:p w14:paraId="6F0C0671" w14:textId="77777777" w:rsidR="00C2291B" w:rsidRDefault="00000000">
      <w:pPr>
        <w:pStyle w:val="a0"/>
      </w:pPr>
      <w:r>
        <w:rPr>
          <w:rFonts w:hint="eastAsia"/>
        </w:rPr>
        <w:t>在微观轨迹层面，图</w:t>
      </w:r>
      <w:r>
        <w:t xml:space="preserve"> 5-2-2(a) </w:t>
      </w:r>
      <w:r>
        <w:rPr>
          <w:rFonts w:hint="eastAsia"/>
        </w:rPr>
        <w:t>选取</w:t>
      </w:r>
      <w:r>
        <w:t xml:space="preserve"> 65h-85h </w:t>
      </w:r>
      <w:r>
        <w:rPr>
          <w:rFonts w:hint="eastAsia"/>
        </w:rPr>
        <w:t>典型窗口，显示</w:t>
      </w:r>
      <w:r>
        <w:t xml:space="preserve"> ET-PRL </w:t>
      </w:r>
      <w:r>
        <w:rPr>
          <w:rFonts w:hint="eastAsia"/>
        </w:rPr>
        <w:t>呈现更长周期的阶梯保持，仅在关键扰动出现时更新设定值；</w:t>
      </w:r>
      <w:r>
        <w:rPr>
          <w:rFonts w:hint="eastAsia"/>
        </w:rPr>
        <w:t>TTC-RL-1</w:t>
      </w:r>
      <w:r>
        <w:t xml:space="preserve"> </w:t>
      </w:r>
      <w:r>
        <w:rPr>
          <w:rFonts w:hint="eastAsia"/>
        </w:rPr>
        <w:t>则维持高频时间触发更新。结合同一预训练</w:t>
      </w:r>
      <w:r>
        <w:t xml:space="preserve"> Q </w:t>
      </w:r>
      <w:r>
        <w:rPr>
          <w:rFonts w:hint="eastAsia"/>
        </w:rPr>
        <w:t>网络这一前提可知，该差异并非源于策略网络能力差异，而是源于触发时机质量差异：</w:t>
      </w:r>
      <w:r>
        <w:rPr>
          <w:rFonts w:hint="eastAsia"/>
        </w:rPr>
        <w:t>ST-ETC</w:t>
      </w:r>
      <w:r>
        <w:t xml:space="preserve"> </w:t>
      </w:r>
      <w:r>
        <w:rPr>
          <w:rFonts w:hint="eastAsia"/>
        </w:rPr>
        <w:t>受静态边界约束，更易在边界附近误触发，导致控制序列被频繁打断并回退至与基线近似的保守输出；</w:t>
      </w:r>
      <w:r>
        <w:rPr>
          <w:rFonts w:hint="eastAsia"/>
        </w:rPr>
        <w:t>ET-PRL</w:t>
      </w:r>
      <w:r>
        <w:t xml:space="preserve"> </w:t>
      </w:r>
      <w:r>
        <w:rPr>
          <w:rFonts w:hint="eastAsia"/>
        </w:rPr>
        <w:t>通过双层动态阈值与最小触发间隔抑制噪声驱动更新，使预测型</w:t>
      </w:r>
      <w:r>
        <w:t xml:space="preserve"> Q </w:t>
      </w:r>
      <w:r>
        <w:rPr>
          <w:rFonts w:hint="eastAsia"/>
        </w:rPr>
        <w:t>网络能够在低负荷窗口稳定维持长周期高效设定。</w:t>
      </w:r>
    </w:p>
    <w:p w14:paraId="3B6000A2" w14:textId="77777777" w:rsidR="00C2291B" w:rsidRDefault="00000000">
      <w:pPr>
        <w:pStyle w:val="a0"/>
      </w:pPr>
      <w:r>
        <w:rPr>
          <w:rFonts w:hint="eastAsia"/>
        </w:rPr>
        <w:t>在全局差值统计层面，图</w:t>
      </w:r>
      <w:r>
        <w:t xml:space="preserve"> 5-2-2(b) </w:t>
      </w:r>
      <w:r>
        <w:rPr>
          <w:rFonts w:hint="eastAsia"/>
        </w:rPr>
        <w:t>显示</w:t>
      </w:r>
      <w:r>
        <w:t xml:space="preserve"> ST-ETC </w:t>
      </w:r>
      <w:r>
        <w:rPr>
          <w:rFonts w:hint="eastAsia"/>
        </w:rPr>
        <w:t>相对</w:t>
      </w:r>
      <w:r>
        <w:t xml:space="preserve"> TTC-RL-1 </w:t>
      </w:r>
      <w:r>
        <w:rPr>
          <w:rFonts w:hint="eastAsia"/>
        </w:rPr>
        <w:t>的非零差值占比仅为</w:t>
      </w:r>
      <w:r>
        <w:t xml:space="preserve"> </w:t>
      </w:r>
      <w:r>
        <w:rPr>
          <w:rFonts w:hint="eastAsia"/>
        </w:rPr>
        <w:t>0.82%</w:t>
      </w:r>
      <w:r>
        <w:rPr>
          <w:rFonts w:hint="eastAsia"/>
        </w:rPr>
        <w:t>，而</w:t>
      </w:r>
      <w:r>
        <w:t xml:space="preserve"> ET-PRL </w:t>
      </w:r>
      <w:r>
        <w:rPr>
          <w:rFonts w:hint="eastAsia"/>
        </w:rPr>
        <w:t>的非零差值占比为</w:t>
      </w:r>
      <w:r>
        <w:t xml:space="preserve"> </w:t>
      </w:r>
      <w:r>
        <w:rPr>
          <w:rFonts w:hint="eastAsia"/>
        </w:rPr>
        <w:t>14.12%</w:t>
      </w:r>
      <w:r>
        <w:rPr>
          <w:rFonts w:hint="eastAsia"/>
        </w:rPr>
        <w:t>；对应全样本差值方差分别为</w:t>
      </w:r>
      <w:r>
        <w:t xml:space="preserve"> </w:t>
      </w:r>
      <m:oMath>
        <m:r>
          <w:rPr>
            <w:rFonts w:ascii="Cambria Math" w:hAnsi="Cambria Math"/>
          </w:rPr>
          <m:t>0.446</m:t>
        </m:r>
      </m:oMath>
      <w:r>
        <w:t xml:space="preserve"> </w:t>
      </w:r>
      <w:r>
        <w:rPr>
          <w:rFonts w:hint="eastAsia"/>
        </w:rPr>
        <w:t>与</w:t>
      </w:r>
      <w:r>
        <w:t xml:space="preserve"> </w:t>
      </w:r>
      <m:oMath>
        <m:r>
          <w:rPr>
            <w:rFonts w:ascii="Cambria Math" w:hAnsi="Cambria Math"/>
          </w:rPr>
          <m:t>5.879</m:t>
        </m:r>
      </m:oMath>
      <w:r>
        <w:rPr>
          <w:rFonts w:hint="eastAsia"/>
        </w:rPr>
        <w:t>。这表明</w:t>
      </w:r>
      <w:r>
        <w:t xml:space="preserve"> ST-ETC </w:t>
      </w:r>
      <w:r>
        <w:rPr>
          <w:rFonts w:hint="eastAsia"/>
        </w:rPr>
        <w:t>的动作输出仍高度黏附于基线策略，难以形成实质性的温度设定优化；</w:t>
      </w:r>
      <w:r>
        <w:rPr>
          <w:rFonts w:hint="eastAsia"/>
        </w:rPr>
        <w:t>ET-PRL</w:t>
      </w:r>
      <w:r>
        <w:t xml:space="preserve"> </w:t>
      </w:r>
      <w:r>
        <w:rPr>
          <w:rFonts w:hint="eastAsia"/>
        </w:rPr>
        <w:t>则在保持稀疏执行的同时实现了更充分的动作空间重构。</w:t>
      </w:r>
    </w:p>
    <w:p w14:paraId="6D0509C3" w14:textId="77777777" w:rsidR="00C2291B" w:rsidRDefault="00000000">
      <w:pPr>
        <w:pStyle w:val="Compact"/>
        <w:numPr>
          <w:ilvl w:val="0"/>
          <w:numId w:val="21"/>
        </w:numPr>
      </w:pPr>
      <w:r>
        <w:rPr>
          <w:rFonts w:hint="eastAsia"/>
        </w:rPr>
        <w:t>事件触发的控制稀疏性与时序动态分析</w:t>
      </w:r>
    </w:p>
    <w:p w14:paraId="75545F8B" w14:textId="77777777" w:rsidR="00C2291B" w:rsidRDefault="00000000">
      <w:pPr>
        <w:pStyle w:val="FirstParagraph"/>
      </w:pPr>
      <w:r>
        <w:rPr>
          <w:rFonts w:hint="eastAsia"/>
        </w:rPr>
        <w:t>为克服单一绝对数值评估的局限性并全面展现控制行为的时域演化过程，本节在统一标准下对</w:t>
      </w:r>
      <w:r>
        <w:t xml:space="preserve"> ET-PRL</w:t>
      </w:r>
      <w:r>
        <w:t>、</w:t>
      </w:r>
      <w:r>
        <w:t xml:space="preserve">ST-ETC </w:t>
      </w:r>
      <w:r>
        <w:rPr>
          <w:rFonts w:hint="eastAsia"/>
        </w:rPr>
        <w:t>与</w:t>
      </w:r>
      <w:r>
        <w:t xml:space="preserve"> TTC-RL-1 </w:t>
      </w:r>
      <w:r>
        <w:rPr>
          <w:rFonts w:hint="eastAsia"/>
        </w:rPr>
        <w:t>展开横向比较。为准确描述系统时序动态行为，首先明确两个关键指标：触发间隔（</w:t>
      </w:r>
      <w:r>
        <w:rPr>
          <w:rFonts w:hint="eastAsia"/>
        </w:rPr>
        <w:t>Trigger</w:t>
      </w:r>
      <w:r>
        <w:t xml:space="preserve"> </w:t>
      </w:r>
      <w:r>
        <w:rPr>
          <w:rFonts w:hint="eastAsia"/>
        </w:rPr>
        <w:t>Interval</w:t>
      </w:r>
      <w:r>
        <w:rPr>
          <w:rFonts w:hint="eastAsia"/>
        </w:rPr>
        <w:t>）定义为相邻两次事件触发机制被激活，即事件触发指示器</w:t>
      </w:r>
      <w:r>
        <w:t xml:space="preserve"> </w:t>
      </w:r>
      <m:oMath>
        <m:sSub>
          <m:sSubPr>
            <m:ctrlPr>
              <w:rPr>
                <w:rFonts w:ascii="Cambria Math" w:hAnsi="Cambria Math"/>
              </w:rPr>
            </m:ctrlPr>
          </m:sSubPr>
          <m:e>
            <m:r>
              <w:rPr>
                <w:rFonts w:ascii="Cambria Math" w:hAnsi="Cambria Math"/>
              </w:rPr>
              <m:t>I</m:t>
            </m:r>
          </m:e>
          <m:sub>
            <m:r>
              <m:rPr>
                <m:nor/>
              </m:rPr>
              <m:t>trigger</m:t>
            </m:r>
          </m:sub>
        </m:sSub>
        <m:r>
          <m:rPr>
            <m:sty m:val="p"/>
          </m:rPr>
          <w:rPr>
            <w:rFonts w:ascii="Cambria Math" w:hAnsi="Cambria Math"/>
          </w:rPr>
          <m:t>=</m:t>
        </m:r>
        <m:r>
          <w:rPr>
            <w:rFonts w:ascii="Cambria Math" w:hAnsi="Cambria Math"/>
          </w:rPr>
          <m:t>1</m:t>
        </m:r>
      </m:oMath>
      <w:r>
        <w:t xml:space="preserve"> </w:t>
      </w:r>
      <w:r>
        <w:rPr>
          <w:rFonts w:hint="eastAsia"/>
        </w:rPr>
        <w:t>之间的时间步长；动作保持长度（</w:t>
      </w:r>
      <w:r>
        <w:rPr>
          <w:rFonts w:hint="eastAsia"/>
        </w:rPr>
        <w:t>Hold</w:t>
      </w:r>
      <w:r>
        <w:t xml:space="preserve"> </w:t>
      </w:r>
      <w:r>
        <w:rPr>
          <w:rFonts w:hint="eastAsia"/>
        </w:rPr>
        <w:t>Length</w:t>
      </w:r>
      <w:r>
        <w:rPr>
          <w:rFonts w:hint="eastAsia"/>
        </w:rPr>
        <w:t>）定义为控制设定值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连续维持在同一水平的时间步长。</w:t>
      </w:r>
    </w:p>
    <w:p w14:paraId="40E2524E" w14:textId="77777777" w:rsidR="00C2291B" w:rsidRDefault="00000000">
      <w:pPr>
        <w:pStyle w:val="a0"/>
      </w:pPr>
      <w:r>
        <w:rPr>
          <w:rFonts w:hint="eastAsia"/>
        </w:rPr>
        <w:t>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14:paraId="457C4916" w14:textId="77777777" w:rsidR="00C2291B" w:rsidRDefault="00000000">
      <w:pPr>
        <w:pStyle w:val="a0"/>
      </w:pPr>
      <w:r>
        <w:rPr>
          <w:rFonts w:hint="eastAsia"/>
        </w:rPr>
        <w:lastRenderedPageBreak/>
        <w:t>基于上述定义统计可得，</w:t>
      </w:r>
      <w:r>
        <w:rPr>
          <w:rFonts w:hint="eastAsia"/>
        </w:rPr>
        <w:t>ET-PRL</w:t>
      </w:r>
      <w:r>
        <w:t xml:space="preserve"> </w:t>
      </w:r>
      <w:r>
        <w:rPr>
          <w:rFonts w:hint="eastAsia"/>
        </w:rPr>
        <w:t>的触发间隔均值为</w:t>
      </w:r>
      <w:r>
        <w:t xml:space="preserve"> 2.117 </w:t>
      </w:r>
      <w:r>
        <w:rPr>
          <w:rFonts w:hint="eastAsia"/>
        </w:rPr>
        <w:t>步，显著高于</w:t>
      </w:r>
      <w:r>
        <w:t xml:space="preserve"> ST-ETC </w:t>
      </w:r>
      <w:r>
        <w:rPr>
          <w:rFonts w:hint="eastAsia"/>
        </w:rPr>
        <w:t>的</w:t>
      </w:r>
      <w:r>
        <w:t xml:space="preserve"> 1.249 </w:t>
      </w:r>
      <w:r>
        <w:rPr>
          <w:rFonts w:hint="eastAsia"/>
        </w:rPr>
        <w:t>步与</w:t>
      </w:r>
      <w:r>
        <w:t xml:space="preserve"> TTC-RL-1 </w:t>
      </w:r>
      <w:r>
        <w:rPr>
          <w:rFonts w:hint="eastAsia"/>
        </w:rPr>
        <w:t>的</w:t>
      </w:r>
      <w:r>
        <w:t xml:space="preserve"> 1.000 </w:t>
      </w:r>
      <w:r>
        <w:rPr>
          <w:rFonts w:hint="eastAsia"/>
        </w:rPr>
        <w:t>步；按自然日聚合统计的日均触发次数分别为</w:t>
      </w:r>
      <w:r>
        <w:t xml:space="preserve"> 127.88 </w:t>
      </w:r>
      <w:r>
        <w:rPr>
          <w:rFonts w:hint="eastAsia"/>
        </w:rPr>
        <w:t>次、</w:t>
      </w:r>
      <w:r>
        <w:rPr>
          <w:rFonts w:hint="eastAsia"/>
        </w:rPr>
        <w:t>220.31</w:t>
      </w:r>
      <w:r>
        <w:t xml:space="preserve"> </w:t>
      </w:r>
      <w:r>
        <w:rPr>
          <w:rFonts w:hint="eastAsia"/>
        </w:rPr>
        <w:t>次与</w:t>
      </w:r>
      <w:r>
        <w:t xml:space="preserve"> 275.25 </w:t>
      </w:r>
      <w:r>
        <w:rPr>
          <w:rFonts w:hint="eastAsia"/>
        </w:rPr>
        <w:t>次。在动作保持长度方面，</w:t>
      </w:r>
      <w:r>
        <w:rPr>
          <w:rFonts w:hint="eastAsia"/>
        </w:rPr>
        <w:t>ET-PRL</w:t>
      </w:r>
      <w:r>
        <w:t xml:space="preserve"> </w:t>
      </w:r>
      <w:r>
        <w:rPr>
          <w:rFonts w:hint="eastAsia"/>
        </w:rPr>
        <w:t>的均值为</w:t>
      </w:r>
      <w:r>
        <w:t xml:space="preserve"> 11.56 </w:t>
      </w:r>
      <w:r>
        <w:rPr>
          <w:rFonts w:hint="eastAsia"/>
        </w:rPr>
        <w:t>步，同样高于</w:t>
      </w:r>
      <w:r>
        <w:t xml:space="preserve"> ST-ETC </w:t>
      </w:r>
      <w:r>
        <w:rPr>
          <w:rFonts w:hint="eastAsia"/>
        </w:rPr>
        <w:t>的</w:t>
      </w:r>
      <w:r>
        <w:t xml:space="preserve"> 7.89 </w:t>
      </w:r>
      <w:r>
        <w:rPr>
          <w:rFonts w:hint="eastAsia"/>
        </w:rPr>
        <w:t>步与</w:t>
      </w:r>
      <w:r>
        <w:t xml:space="preserve"> TTC-RL-1 </w:t>
      </w:r>
      <w:r>
        <w:rPr>
          <w:rFonts w:hint="eastAsia"/>
        </w:rPr>
        <w:t>的</w:t>
      </w:r>
      <w:r>
        <w:t xml:space="preserve"> 7.57 </w:t>
      </w:r>
      <w:r>
        <w:rPr>
          <w:rFonts w:hint="eastAsia"/>
        </w:rPr>
        <w:t>步；其统计分布呈现显著长尾特征，第</w:t>
      </w:r>
      <w:r>
        <w:t xml:space="preserve"> 95 </w:t>
      </w:r>
      <w:r>
        <w:rPr>
          <w:rFonts w:hint="eastAsia"/>
        </w:rPr>
        <w:t>百分位数</w:t>
      </w:r>
      <w:r>
        <w:t xml:space="preserv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w:t>
      </w:r>
      <w:r>
        <w:rPr>
          <w:rFonts w:hint="eastAsia"/>
        </w:rPr>
        <w:t>达到</w:t>
      </w:r>
      <w:r>
        <w:t xml:space="preserve"> 57.0 </w:t>
      </w:r>
      <w:r>
        <w:rPr>
          <w:rFonts w:hint="eastAsia"/>
        </w:rPr>
        <w:t>步，即约</w:t>
      </w:r>
      <w:r>
        <w:t xml:space="preserve"> 4.75 </w:t>
      </w:r>
      <w:r>
        <w:rPr>
          <w:rFonts w:hint="eastAsia"/>
        </w:rPr>
        <w:t>小时，而</w:t>
      </w:r>
      <w:r>
        <w:t xml:space="preserve"> ST-ETC </w:t>
      </w:r>
      <w:r>
        <w:rPr>
          <w:rFonts w:hint="eastAsia"/>
        </w:rPr>
        <w:t>与</w:t>
      </w:r>
      <w:r>
        <w:t xml:space="preserve"> TTC-RL-1 </w:t>
      </w:r>
      <w:r>
        <w:rPr>
          <w:rFonts w:hint="eastAsia"/>
        </w:rPr>
        <w:t>的对应值仅为</w:t>
      </w:r>
      <w:r>
        <w:t xml:space="preserve"> 43.3 </w:t>
      </w:r>
      <w:r>
        <w:rPr>
          <w:rFonts w:hint="eastAsia"/>
        </w:rPr>
        <w:t>步与</w:t>
      </w:r>
      <w:r>
        <w:t xml:space="preserve"> 42.9 </w:t>
      </w:r>
      <w:r>
        <w:rPr>
          <w:rFonts w:hint="eastAsia"/>
        </w:rPr>
        <w:t>步。上述结果表明，动态阈值门控机制在抑制控制系统冗余更新方面具备更优的持续静息能力。</w:t>
      </w:r>
    </w:p>
    <w:p w14:paraId="4C0CA729" w14:textId="77777777" w:rsidR="00C2291B" w:rsidRDefault="00000000">
      <w:pPr>
        <w:pStyle w:val="CaptionedFigure"/>
      </w:pPr>
      <w:r>
        <w:rPr>
          <w:noProof/>
        </w:rPr>
        <w:drawing>
          <wp:inline distT="0" distB="0" distL="0" distR="0" wp14:anchorId="49DF316D" wp14:editId="1278013C">
            <wp:extent cx="5334000" cy="3579627"/>
            <wp:effectExtent l="0" t="0" r="0" b="0"/>
            <wp:docPr id="40" name="Picture" descr="图 5-2-3 不同控制策略下动作更新间隔分布（主图为离散类别分箱占比，插图为长尾区间放大）"/>
            <wp:cNvGraphicFramePr/>
            <a:graphic xmlns:a="http://schemas.openxmlformats.org/drawingml/2006/main">
              <a:graphicData uri="http://schemas.openxmlformats.org/drawingml/2006/picture">
                <pic:pic xmlns:pic="http://schemas.openxmlformats.org/drawingml/2006/picture">
                  <pic:nvPicPr>
                    <pic:cNvPr id="41" name="Picture" descr="../pics/fig_5_2_3_action_update_interval_distribution.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579627"/>
                    </a:xfrm>
                    <a:prstGeom prst="rect">
                      <a:avLst/>
                    </a:prstGeom>
                    <a:noFill/>
                    <a:ln w="9525">
                      <a:noFill/>
                      <a:headEnd/>
                      <a:tailEnd/>
                    </a:ln>
                  </pic:spPr>
                </pic:pic>
              </a:graphicData>
            </a:graphic>
          </wp:inline>
        </w:drawing>
      </w:r>
    </w:p>
    <w:p w14:paraId="1C75A564" w14:textId="77777777" w:rsidR="00C2291B" w:rsidRDefault="00000000">
      <w:pPr>
        <w:pStyle w:val="ImageCaption"/>
      </w:pPr>
      <w:r>
        <w:rPr>
          <w:rFonts w:hint="eastAsia"/>
        </w:rPr>
        <w:t>图</w:t>
      </w:r>
      <w:r>
        <w:t xml:space="preserve"> 5-2-3 </w:t>
      </w:r>
      <w:r>
        <w:rPr>
          <w:rFonts w:hint="eastAsia"/>
        </w:rPr>
        <w:t>不同控制策略下动作更新间隔分布（主图为离散类别分箱占比，插图为长尾区间放大）</w:t>
      </w:r>
    </w:p>
    <w:p w14:paraId="6856AA78" w14:textId="77777777" w:rsidR="00C2291B" w:rsidRDefault="00000000">
      <w:pPr>
        <w:pStyle w:val="a0"/>
      </w:pPr>
      <w:r>
        <w:rPr>
          <w:rFonts w:hint="eastAsia"/>
        </w:rPr>
        <w:t>图</w:t>
      </w:r>
      <w:r>
        <w:t xml:space="preserve"> 5-2-3 </w:t>
      </w:r>
      <w:r>
        <w:rPr>
          <w:rFonts w:hint="eastAsia"/>
        </w:rPr>
        <w:t>不同控制策略下动作更新间隔分布。主图展示了时间触发基线（</w:t>
      </w:r>
      <w:r>
        <w:rPr>
          <w:rFonts w:hint="eastAsia"/>
        </w:rPr>
        <w:t>TTC-RL-1</w:t>
      </w:r>
      <w:r>
        <w:rPr>
          <w:rFonts w:hint="eastAsia"/>
        </w:rPr>
        <w:t>）、静态事件触发控制（</w:t>
      </w:r>
      <w:r>
        <w:rPr>
          <w:rFonts w:hint="eastAsia"/>
        </w:rPr>
        <w:t>ST-ETC</w:t>
      </w:r>
      <w:r>
        <w:rPr>
          <w:rFonts w:hint="eastAsia"/>
        </w:rPr>
        <w:t>）以及本文提出的动态事件触发框架（</w:t>
      </w:r>
      <w:r>
        <w:rPr>
          <w:rFonts w:hint="eastAsia"/>
        </w:rPr>
        <w:t>ET-PRL</w:t>
      </w:r>
      <w:r>
        <w:rPr>
          <w:rFonts w:hint="eastAsia"/>
        </w:rPr>
        <w:t>）在各离散类别区间中的更新间隔占比。插图给出了间隔</w:t>
      </w:r>
      <w:r>
        <w:t xml:space="preserve"> </w:t>
      </w:r>
      <m:oMath>
        <m:r>
          <m:rPr>
            <m:sty m:val="p"/>
          </m:rPr>
          <w:rPr>
            <w:rFonts w:ascii="Cambria Math" w:hAnsi="Cambria Math"/>
          </w:rPr>
          <m:t>≥</m:t>
        </m:r>
        <m:r>
          <w:rPr>
            <w:rFonts w:ascii="Cambria Math" w:hAnsi="Cambria Math"/>
          </w:rPr>
          <m:t>4</m:t>
        </m:r>
      </m:oMath>
      <w:r>
        <w:t xml:space="preserve"> </w:t>
      </w:r>
      <w:r>
        <w:rPr>
          <w:rFonts w:hint="eastAsia"/>
        </w:rPr>
        <w:t>步的长尾分布放大视图。值得注意的是，</w:t>
      </w:r>
      <w:r>
        <w:rPr>
          <w:rFonts w:hint="eastAsia"/>
        </w:rPr>
        <w:t>ET-PRL</w:t>
      </w:r>
      <w:r>
        <w:t xml:space="preserve"> </w:t>
      </w:r>
      <w:r>
        <w:rPr>
          <w:rFonts w:hint="eastAsia"/>
        </w:rPr>
        <w:t>表现出显著长尾特征，在低扰动时段最大触发间隔达到</w:t>
      </w:r>
      <w:r>
        <w:t xml:space="preserve"> 74 </w:t>
      </w:r>
      <w:r>
        <w:rPr>
          <w:rFonts w:hint="eastAsia"/>
        </w:rPr>
        <w:t>步。相比之下，</w:t>
      </w:r>
      <w:r>
        <w:rPr>
          <w:rFonts w:hint="eastAsia"/>
        </w:rPr>
        <w:t>TTC-RL-1</w:t>
      </w:r>
      <w:r>
        <w:t xml:space="preserve"> </w:t>
      </w:r>
      <w:r>
        <w:rPr>
          <w:rFonts w:hint="eastAsia"/>
        </w:rPr>
        <w:t>严格按每步更新（因此在尾部分箱中不出现），</w:t>
      </w:r>
      <w:r>
        <w:rPr>
          <w:rFonts w:hint="eastAsia"/>
        </w:rPr>
        <w:t>ST-ETC</w:t>
      </w:r>
      <w:r>
        <w:t xml:space="preserve"> </w:t>
      </w:r>
      <w:r>
        <w:rPr>
          <w:rFonts w:hint="eastAsia"/>
        </w:rPr>
        <w:t>的动作主要集中于短间隔区间，进一步凸显了所提动态门控机制在执行稀疏性方面的优势。</w:t>
      </w:r>
    </w:p>
    <w:p w14:paraId="5FD69FD3" w14:textId="77777777" w:rsidR="00C2291B" w:rsidRDefault="00000000">
      <w:pPr>
        <w:pStyle w:val="a0"/>
      </w:pPr>
      <w:r>
        <w:rPr>
          <w:rFonts w:hint="eastAsia"/>
        </w:rPr>
        <w:t>如图</w:t>
      </w:r>
      <w:r>
        <w:t xml:space="preserve"> 5-2-3 </w:t>
      </w:r>
      <w:r>
        <w:rPr>
          <w:rFonts w:hint="eastAsia"/>
        </w:rPr>
        <w:t>所示，</w:t>
      </w:r>
      <w:r>
        <w:rPr>
          <w:rFonts w:hint="eastAsia"/>
        </w:rPr>
        <w:t>ET-PRL</w:t>
      </w:r>
      <w:r>
        <w:t xml:space="preserve"> </w:t>
      </w:r>
      <w:r>
        <w:rPr>
          <w:rFonts w:hint="eastAsia"/>
        </w:rPr>
        <w:t>的触发间隔分布呈现短间隔高频与长间隔长尾并存的结构特征，最大触发间隔达到</w:t>
      </w:r>
      <w:r>
        <w:t xml:space="preserve"> 74 </w:t>
      </w:r>
      <w:r>
        <w:rPr>
          <w:rFonts w:hint="eastAsia"/>
        </w:rPr>
        <w:t>步。若以动作保持长度作为系统底层执行机构静息状态的衡量标准，其最大值可达</w:t>
      </w:r>
      <w:r>
        <w:t xml:space="preserve"> 193 </w:t>
      </w:r>
      <w:r>
        <w:rPr>
          <w:rFonts w:hint="eastAsia"/>
        </w:rPr>
        <w:t>步，即约</w:t>
      </w:r>
      <w:r>
        <w:t xml:space="preserve"> 16.08 </w:t>
      </w:r>
      <w:r>
        <w:rPr>
          <w:rFonts w:hint="eastAsia"/>
        </w:rPr>
        <w:t>小时。需要强调的是，此类超长保持现象并非源于控制器响应失效，而是智能体在低环境扰动窗口期内的主动静息</w:t>
      </w:r>
      <w:r>
        <w:rPr>
          <w:rFonts w:hint="eastAsia"/>
        </w:rPr>
        <w:lastRenderedPageBreak/>
        <w:t>行为。深入分析最长保持时间段内的系统状态可见，仅有</w:t>
      </w:r>
      <w:r>
        <w:t xml:space="preserve"> 8.81% </w:t>
      </w:r>
      <w:r>
        <w:rPr>
          <w:rFonts w:hint="eastAsia"/>
        </w:rPr>
        <w:t>的样本落入冷负荷变化量绝对值的极高变化区域，即变化量大于整体样本的第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rPr>
          <w:rFonts w:hint="eastAsia"/>
        </w:rPr>
        <w:t>；且该时间段内热舒适度评价指标（</w:t>
      </w:r>
      <w:r>
        <w:rPr>
          <w:rFonts w:hint="eastAsia"/>
        </w:rPr>
        <w:t>Thermal</w:t>
      </w:r>
      <w:r>
        <w:t xml:space="preserve"> Comfort Score, </w:t>
      </w:r>
      <m:oMath>
        <m:sSub>
          <m:sSubPr>
            <m:ctrlPr>
              <w:rPr>
                <w:rFonts w:ascii="Cambria Math" w:hAnsi="Cambria Math"/>
              </w:rPr>
            </m:ctrlPr>
          </m:sSubPr>
          <m:e>
            <m:r>
              <w:rPr>
                <w:rFonts w:ascii="Cambria Math" w:hAnsi="Cambria Math"/>
              </w:rPr>
              <m:t>S</m:t>
            </m:r>
          </m:e>
          <m:sub>
            <m:r>
              <m:rPr>
                <m:nor/>
              </m:rPr>
              <m:t>comfort</m:t>
            </m:r>
          </m:sub>
        </m:sSub>
      </m:oMath>
      <w:r>
        <w:rPr>
          <w:rFonts w:hint="eastAsia"/>
        </w:rPr>
        <w:t>）的</w:t>
      </w:r>
      <w:r>
        <w:t xml:space="preserve"> 10 </w:t>
      </w:r>
      <w:r>
        <w:rPr>
          <w:rFonts w:hint="eastAsia"/>
        </w:rPr>
        <w:t>分位数仍维持在</w:t>
      </w:r>
      <w:r>
        <w:t xml:space="preserve"> </w:t>
      </w:r>
      <w:r>
        <w:rPr>
          <w:rFonts w:hint="eastAsia"/>
        </w:rPr>
        <w:t>0.215</w:t>
      </w:r>
      <w:r>
        <w:rPr>
          <w:rFonts w:hint="eastAsia"/>
        </w:rPr>
        <w:t>，系统未出现热舒适度失稳塌陷。追溯系统运行日志可知，该最长保持段横跨测试集第</w:t>
      </w:r>
      <w:r>
        <w:t xml:space="preserve"> 3 </w:t>
      </w:r>
      <w:r>
        <w:rPr>
          <w:rFonts w:hint="eastAsia"/>
        </w:rPr>
        <w:t>天</w:t>
      </w:r>
      <w:r>
        <w:t xml:space="preserve"> 13:45 </w:t>
      </w:r>
      <w:r>
        <w:rPr>
          <w:rFonts w:hint="eastAsia"/>
        </w:rPr>
        <w:t>至第</w:t>
      </w:r>
      <w:r>
        <w:t xml:space="preserve"> 4 </w:t>
      </w:r>
      <w:r>
        <w:rPr>
          <w:rFonts w:hint="eastAsia"/>
        </w:rPr>
        <w:t>天</w:t>
      </w:r>
      <w:r>
        <w:t xml:space="preserve"> </w:t>
      </w:r>
      <w:r>
        <w:rPr>
          <w:rFonts w:hint="eastAsia"/>
        </w:rPr>
        <w:t>05:45</w:t>
      </w:r>
      <w:r>
        <w:rPr>
          <w:rFonts w:hint="eastAsia"/>
        </w:rPr>
        <w:t>，其中约</w:t>
      </w:r>
      <w:r>
        <w:t xml:space="preserve"> 61.1% </w:t>
      </w:r>
      <w:r>
        <w:rPr>
          <w:rFonts w:hint="eastAsia"/>
        </w:rPr>
        <w:t>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14:paraId="47BE4083" w14:textId="77777777" w:rsidR="00C2291B" w:rsidRDefault="00000000">
      <w:pPr>
        <w:pStyle w:val="a0"/>
      </w:pPr>
      <w:r>
        <w:rPr>
          <w:rFonts w:hint="eastAsia"/>
        </w:rPr>
        <w:t>为揭示系统负荷动态变化与触发动作之间的时序映射关系，图</w:t>
      </w:r>
      <w:r>
        <w:t xml:space="preserve"> 5-2-4 </w:t>
      </w:r>
      <w:r>
        <w:rPr>
          <w:rFonts w:hint="eastAsia"/>
        </w:rPr>
        <w:t>进一步展示了典型单日工况（第</w:t>
      </w:r>
      <w:r>
        <w:t xml:space="preserve"> 5 </w:t>
      </w:r>
      <w:r>
        <w:rPr>
          <w:rFonts w:hint="eastAsia"/>
        </w:rPr>
        <w:t>天）下的时序对齐结果。</w:t>
      </w:r>
    </w:p>
    <w:p w14:paraId="68BDB9C7" w14:textId="77777777" w:rsidR="00C2291B" w:rsidRDefault="00000000">
      <w:pPr>
        <w:pStyle w:val="CaptionedFigure"/>
      </w:pPr>
      <w:r>
        <w:rPr>
          <w:noProof/>
        </w:rPr>
        <w:drawing>
          <wp:inline distT="0" distB="0" distL="0" distR="0" wp14:anchorId="20D41E16" wp14:editId="0492E9D1">
            <wp:extent cx="5334000" cy="3230339"/>
            <wp:effectExtent l="0" t="0" r="0" b="0"/>
            <wp:docPr id="43" name="Picture" descr="图 5-2-4 典型日负荷变化与触发时刻对齐关系（第5天，5 min采样）：面板(a)为冷负荷曲线，面板(b)为 ET-PRL、ST-ETC 与 TTC-RL-1 触发脉冲栅格，跨面板阴影带表示典型高负荷变化时段"/>
            <wp:cNvGraphicFramePr/>
            <a:graphic xmlns:a="http://schemas.openxmlformats.org/drawingml/2006/main">
              <a:graphicData uri="http://schemas.openxmlformats.org/drawingml/2006/picture">
                <pic:pic xmlns:pic="http://schemas.openxmlformats.org/drawingml/2006/picture">
                  <pic:nvPicPr>
                    <pic:cNvPr id="44" name="Picture" descr="../pics/fig_5_2_4_trigger_load_alignment.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518CFF7A" w14:textId="77777777" w:rsidR="00C2291B" w:rsidRDefault="00000000">
      <w:pPr>
        <w:pStyle w:val="ImageCaption"/>
      </w:pPr>
      <w:r>
        <w:rPr>
          <w:rFonts w:hint="eastAsia"/>
        </w:rPr>
        <w:t>图</w:t>
      </w:r>
      <w:r>
        <w:t xml:space="preserve"> 5-2-4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采样）：面板</w:t>
      </w:r>
      <w:r>
        <w:rPr>
          <w:rFonts w:hint="eastAsia"/>
        </w:rPr>
        <w:t>(a)</w:t>
      </w:r>
      <w:r>
        <w:rPr>
          <w:rFonts w:hint="eastAsia"/>
        </w:rPr>
        <w:t>为冷负荷曲线，面板</w:t>
      </w:r>
      <w:r>
        <w:rPr>
          <w:rFonts w:hint="eastAsia"/>
        </w:rPr>
        <w:t>(b)</w:t>
      </w:r>
      <w:r>
        <w:rPr>
          <w:rFonts w:hint="eastAsia"/>
        </w:rPr>
        <w:t>为</w:t>
      </w:r>
      <w:r>
        <w:t xml:space="preserve"> ET-PRL</w:t>
      </w:r>
      <w:r>
        <w:t>、</w:t>
      </w:r>
      <w:r>
        <w:t xml:space="preserve">ST-ETC </w:t>
      </w:r>
      <w:r>
        <w:rPr>
          <w:rFonts w:hint="eastAsia"/>
        </w:rPr>
        <w:t>与</w:t>
      </w:r>
      <w:r>
        <w:t xml:space="preserve"> TTC-RL-1 </w:t>
      </w:r>
      <w:r>
        <w:rPr>
          <w:rFonts w:hint="eastAsia"/>
        </w:rPr>
        <w:t>触发脉冲栅格，跨面板阴影带表示典型高负荷变化时段</w:t>
      </w:r>
    </w:p>
    <w:p w14:paraId="2931D2A6" w14:textId="77777777" w:rsidR="00C2291B" w:rsidRDefault="00000000">
      <w:pPr>
        <w:pStyle w:val="a0"/>
      </w:pPr>
      <w:r>
        <w:rPr>
          <w:rFonts w:hint="eastAsia"/>
        </w:rPr>
        <w:t>图</w:t>
      </w:r>
      <w:r>
        <w:t xml:space="preserve"> 5-2-4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w:t>
      </w:r>
    </w:p>
    <w:p w14:paraId="776AF049" w14:textId="77777777" w:rsidR="00C2291B" w:rsidRDefault="00000000">
      <w:pPr>
        <w:pStyle w:val="a0"/>
      </w:pPr>
      <w:r>
        <w:rPr>
          <w:rFonts w:hint="eastAsia"/>
        </w:rPr>
        <w:t>对比可见，</w:t>
      </w:r>
      <w:r>
        <w:rPr>
          <w:rFonts w:hint="eastAsia"/>
        </w:rPr>
        <w:t>ET-PRL</w:t>
      </w:r>
      <w:r>
        <w:t xml:space="preserve"> </w:t>
      </w:r>
      <w:r>
        <w:rPr>
          <w:rFonts w:hint="eastAsia"/>
        </w:rPr>
        <w:t>的触发控制脉冲在负荷爬坡与突变阶段分布密集，而在夜间等平稳时段显著稀疏；相比之下，</w:t>
      </w:r>
      <w:r>
        <w:rPr>
          <w:rFonts w:hint="eastAsia"/>
        </w:rPr>
        <w:t>ST-ETC</w:t>
      </w:r>
      <w:r>
        <w:t xml:space="preserve"> </w:t>
      </w:r>
      <w:r>
        <w:rPr>
          <w:rFonts w:hint="eastAsia"/>
        </w:rPr>
        <w:t>由于采用固定判定边界，触发动作更趋密集，而</w:t>
      </w:r>
      <w:r>
        <w:t xml:space="preserve"> TTC-RL-1 </w:t>
      </w:r>
      <w:r>
        <w:rPr>
          <w:rFonts w:hint="eastAsia"/>
        </w:rPr>
        <w:t>呈现全时段无差别触发。</w:t>
      </w:r>
    </w:p>
    <w:p w14:paraId="5C911362" w14:textId="77777777" w:rsidR="00C2291B" w:rsidRDefault="00000000">
      <w:pPr>
        <w:pStyle w:val="a0"/>
      </w:pPr>
      <w:r>
        <w:rPr>
          <w:rFonts w:hint="eastAsia"/>
        </w:rPr>
        <w:t>在全测试集评估尺度上，将冷负荷变化量绝对值大于系统整体第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w:t>
      </w:r>
      <w:r>
        <w:rPr>
          <w:rFonts w:hint="eastAsia"/>
        </w:rPr>
        <w:t>的区间定义为高变化区，小于第</w:t>
      </w:r>
      <w:r>
        <w:t xml:space="preserve"> 30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w:t>
      </w:r>
      <w:r>
        <w:rPr>
          <w:rFonts w:hint="eastAsia"/>
        </w:rPr>
        <w:t>的区间定义为低变化区，即热平衡基载段。统计表明，</w:t>
      </w:r>
      <w:r>
        <w:rPr>
          <w:rFonts w:hint="eastAsia"/>
        </w:rPr>
        <w:t>ET-PRL</w:t>
      </w:r>
      <w:r>
        <w:t xml:space="preserve"> </w:t>
      </w:r>
      <w:r>
        <w:rPr>
          <w:rFonts w:hint="eastAsia"/>
        </w:rPr>
        <w:t>在高变化区的触发率达</w:t>
      </w:r>
      <w:r>
        <w:t xml:space="preserve"> </w:t>
      </w:r>
      <w:r>
        <w:rPr>
          <w:rFonts w:hint="eastAsia"/>
        </w:rPr>
        <w:t>0.707</w:t>
      </w:r>
      <w:r>
        <w:rPr>
          <w:rFonts w:hint="eastAsia"/>
        </w:rPr>
        <w:t>，在低变化区降至</w:t>
      </w:r>
      <w:r>
        <w:t xml:space="preserve"> </w:t>
      </w:r>
      <w:r>
        <w:rPr>
          <w:rFonts w:hint="eastAsia"/>
        </w:rPr>
        <w:lastRenderedPageBreak/>
        <w:t>0.350</w:t>
      </w:r>
      <w:r>
        <w:rPr>
          <w:rFonts w:hint="eastAsia"/>
        </w:rPr>
        <w:t>，两者比值为</w:t>
      </w:r>
      <w:r>
        <w:t xml:space="preserve"> </w:t>
      </w:r>
      <w:r>
        <w:rPr>
          <w:rFonts w:hint="eastAsia"/>
        </w:rPr>
        <w:t>2.02</w:t>
      </w:r>
      <w:r>
        <w:rPr>
          <w:rFonts w:hint="eastAsia"/>
        </w:rPr>
        <w:t>；同期</w:t>
      </w:r>
      <w:r>
        <w:t xml:space="preserve"> ST-ETC </w:t>
      </w:r>
      <w:r>
        <w:rPr>
          <w:rFonts w:hint="eastAsia"/>
        </w:rPr>
        <w:t>的对应比值为</w:t>
      </w:r>
      <w:r>
        <w:t xml:space="preserve"> </w:t>
      </w:r>
      <w:r>
        <w:rPr>
          <w:rFonts w:hint="eastAsia"/>
        </w:rPr>
        <w:t>1.73</w:t>
      </w:r>
      <w:r>
        <w:rPr>
          <w:rFonts w:hint="eastAsia"/>
        </w:rPr>
        <w:t>，</w:t>
      </w:r>
      <w:r>
        <w:rPr>
          <w:rFonts w:hint="eastAsia"/>
        </w:rPr>
        <w:t>TTC-RL-1</w:t>
      </w:r>
      <w:r>
        <w:t xml:space="preserve"> </w:t>
      </w:r>
      <w:r>
        <w:rPr>
          <w:rFonts w:hint="eastAsia"/>
        </w:rPr>
        <w:t>则恒定为</w:t>
      </w:r>
      <w:r>
        <w:t xml:space="preserve"> </w:t>
      </w:r>
      <w:r>
        <w:rPr>
          <w:rFonts w:hint="eastAsia"/>
        </w:rPr>
        <w:t>1.00</w:t>
      </w:r>
      <w:r>
        <w:rPr>
          <w:rFonts w:hint="eastAsia"/>
        </w:rPr>
        <w:t>。为验证上述结论的鲁棒性，本文进一步放宽分位点阈值约束。当评价区间分别替换为第</w:t>
      </w:r>
      <w:r>
        <w:t xml:space="preserve"> 80 </w:t>
      </w:r>
      <w:r>
        <w:rPr>
          <w:rFonts w:hint="eastAsia"/>
        </w:rPr>
        <w:t>与</w:t>
      </w:r>
      <w:r>
        <w:t xml:space="preserve"> 20 </w:t>
      </w:r>
      <w:r>
        <w:rPr>
          <w:rFonts w:hint="eastAsia"/>
        </w:rPr>
        <w:t>百分位数组合、第</w:t>
      </w:r>
      <w:r>
        <w:t xml:space="preserve"> 90 </w:t>
      </w:r>
      <w:r>
        <w:rPr>
          <w:rFonts w:hint="eastAsia"/>
        </w:rPr>
        <w:t>与</w:t>
      </w:r>
      <w:r>
        <w:t xml:space="preserve"> 40 </w:t>
      </w:r>
      <w:r>
        <w:rPr>
          <w:rFonts w:hint="eastAsia"/>
        </w:rPr>
        <w:t>百分位数组合时，</w:t>
      </w:r>
      <w:r>
        <w:rPr>
          <w:rFonts w:hint="eastAsia"/>
        </w:rPr>
        <w:t>ET-PRL</w:t>
      </w:r>
      <w:r>
        <w:t xml:space="preserve"> </w:t>
      </w:r>
      <w:r>
        <w:rPr>
          <w:rFonts w:hint="eastAsia"/>
        </w:rPr>
        <w:t>的高低变化区触发率比值依然稳定在</w:t>
      </w:r>
      <w:r>
        <w:t xml:space="preserve"> 1.91 </w:t>
      </w:r>
      <w:r>
        <w:rPr>
          <w:rFonts w:hint="eastAsia"/>
        </w:rPr>
        <w:t>与</w:t>
      </w:r>
      <w:r>
        <w:t xml:space="preserve"> 2.02</w:t>
      </w:r>
      <w:r>
        <w:t>。</w:t>
      </w:r>
    </w:p>
    <w:p w14:paraId="44A181F9" w14:textId="77777777" w:rsidR="00C2291B" w:rsidRDefault="00000000">
      <w:pPr>
        <w:pStyle w:val="a0"/>
      </w:pPr>
      <w:r>
        <w:rPr>
          <w:rFonts w:hint="eastAsia"/>
        </w:rPr>
        <w:t>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展现出的长时保持特性，为机组提供了更宽裕的连续稳态运行时间窗口。该工作模式能够规避由工况高频切换导致的额外能耗损失，实现设备损耗抑制与运行能效提升的协同优化。</w:t>
      </w:r>
    </w:p>
    <w:p w14:paraId="03041277" w14:textId="77777777" w:rsidR="00C2291B" w:rsidRDefault="00000000">
      <w:pPr>
        <w:pStyle w:val="a0"/>
      </w:pPr>
      <w:r>
        <w:rPr>
          <w:rFonts w:hint="eastAsia"/>
        </w:rPr>
        <w:t>综上所述，所提</w:t>
      </w:r>
      <w:r>
        <w:t xml:space="preserve"> ET-PRL </w:t>
      </w:r>
      <w:r>
        <w:rPr>
          <w:rFonts w:hint="eastAsia"/>
        </w:rPr>
        <w:t>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14:paraId="4E450D03" w14:textId="77777777" w:rsidR="00C2291B" w:rsidRDefault="00000000">
      <w:pPr>
        <w:pStyle w:val="Compact"/>
        <w:numPr>
          <w:ilvl w:val="0"/>
          <w:numId w:val="22"/>
        </w:numPr>
      </w:pPr>
      <w:r>
        <w:rPr>
          <w:rFonts w:hint="eastAsia"/>
        </w:rPr>
        <w:t>消融实验分析</w:t>
      </w:r>
    </w:p>
    <w:p w14:paraId="4A110542" w14:textId="77777777" w:rsidR="00C2291B" w:rsidRDefault="00000000">
      <w:pPr>
        <w:pStyle w:val="FirstParagraph"/>
      </w:pPr>
      <w:r>
        <w:rPr>
          <w:rFonts w:hint="eastAsia"/>
        </w:rPr>
        <w:t>为验证所提框架各组成模块的实际贡献，本节采用控制变量法开展消融实验。除特别说明外，各组实验保持一致的训练配置、测试数据集与评价协议。消融组共</w:t>
      </w:r>
      <w:r>
        <w:t xml:space="preserve"> 6 </w:t>
      </w:r>
      <w:r>
        <w:rPr>
          <w:rFonts w:hint="eastAsia"/>
        </w:rPr>
        <w:t>种策略，用于分别考察双阈值退化、单尺度退化及完整模型在统一比较基线下的表现。表</w:t>
      </w:r>
      <w:r>
        <w:t xml:space="preserve"> 5-4 </w:t>
      </w:r>
      <w:r>
        <w:rPr>
          <w:rFonts w:hint="eastAsia"/>
        </w:rPr>
        <w:t>汇总了不同策略在测试集上的结果。相关指标的计算基线均为固定步长策略</w:t>
      </w:r>
      <w:r>
        <w:t xml:space="preserve"> TTC-RL-1</w:t>
      </w:r>
      <w:r>
        <w:t>。</w:t>
      </w:r>
    </w:p>
    <w:p w14:paraId="0A03854E" w14:textId="77777777" w:rsidR="00C2291B" w:rsidRDefault="00000000">
      <w:pPr>
        <w:pStyle w:val="a0"/>
      </w:pPr>
      <w:r>
        <w:rPr>
          <w:rFonts w:hint="eastAsia"/>
        </w:rPr>
        <w:t>表</w:t>
      </w:r>
      <w:r>
        <w:t xml:space="preserve"> 5-4 </w:t>
      </w:r>
      <w:r>
        <w:rPr>
          <w:rFonts w:hint="eastAsia"/>
        </w:rPr>
        <w:t>关键模块消融实验结果</w:t>
      </w:r>
    </w:p>
    <w:tbl>
      <w:tblPr>
        <w:tblStyle w:val="Table"/>
        <w:tblW w:w="5000" w:type="pct"/>
        <w:tblLayout w:type="fixed"/>
        <w:tblLook w:val="0020" w:firstRow="1" w:lastRow="0" w:firstColumn="0" w:lastColumn="0" w:noHBand="0" w:noVBand="0"/>
      </w:tblPr>
      <w:tblGrid>
        <w:gridCol w:w="1266"/>
        <w:gridCol w:w="1265"/>
        <w:gridCol w:w="1265"/>
        <w:gridCol w:w="1265"/>
        <w:gridCol w:w="1265"/>
        <w:gridCol w:w="1265"/>
        <w:gridCol w:w="1265"/>
      </w:tblGrid>
      <w:tr w:rsidR="00C2291B" w14:paraId="1A60AD49" w14:textId="77777777" w:rsidTr="00C2291B">
        <w:trPr>
          <w:cnfStyle w:val="100000000000" w:firstRow="1" w:lastRow="0" w:firstColumn="0" w:lastColumn="0" w:oddVBand="0" w:evenVBand="0" w:oddHBand="0" w:evenHBand="0" w:firstRowFirstColumn="0" w:firstRowLastColumn="0" w:lastRowFirstColumn="0" w:lastRowLastColumn="0"/>
          <w:tblHeader/>
        </w:trPr>
        <w:tc>
          <w:tcPr>
            <w:tcW w:w="1131" w:type="dxa"/>
          </w:tcPr>
          <w:p w14:paraId="441DAA06" w14:textId="77777777" w:rsidR="00C2291B" w:rsidRDefault="00000000">
            <w:pPr>
              <w:pStyle w:val="Compact"/>
            </w:pPr>
            <w:r>
              <w:rPr>
                <w:rFonts w:hint="eastAsia"/>
                <w:b/>
                <w:bCs/>
              </w:rPr>
              <w:t>方法</w:t>
            </w:r>
          </w:p>
        </w:tc>
        <w:tc>
          <w:tcPr>
            <w:tcW w:w="1131" w:type="dxa"/>
          </w:tcPr>
          <w:p w14:paraId="411073DC" w14:textId="77777777" w:rsidR="00C2291B"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Pr>
          <w:p w14:paraId="2F3983EF" w14:textId="77777777" w:rsidR="00C2291B"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Pr>
          <w:p w14:paraId="4C872677" w14:textId="77777777" w:rsidR="00C2291B"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Pr>
          <w:p w14:paraId="77DB775F" w14:textId="77777777" w:rsidR="00C2291B"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 xml:space="preserve"> (kWh/day)</w:t>
            </w:r>
          </w:p>
        </w:tc>
        <w:tc>
          <w:tcPr>
            <w:tcW w:w="1131" w:type="dxa"/>
          </w:tcPr>
          <w:p w14:paraId="397F770A" w14:textId="77777777" w:rsidR="00C2291B" w:rsidRDefault="00000000">
            <w:pPr>
              <w:pStyle w:val="Compact"/>
            </w:pPr>
            <w:r>
              <w:t>ACR</w:t>
            </w:r>
          </w:p>
        </w:tc>
        <w:tc>
          <w:tcPr>
            <w:tcW w:w="1131" w:type="dxa"/>
          </w:tcPr>
          <w:p w14:paraId="6A069A77" w14:textId="77777777" w:rsidR="00C2291B" w:rsidRDefault="00000000">
            <w:pPr>
              <w:pStyle w:val="Compact"/>
            </w:pPr>
            <w:r>
              <w:t>PPR</w:t>
            </w:r>
          </w:p>
        </w:tc>
      </w:tr>
      <w:tr w:rsidR="00C2291B" w14:paraId="3D1F91CB" w14:textId="77777777">
        <w:tc>
          <w:tcPr>
            <w:tcW w:w="1131" w:type="dxa"/>
          </w:tcPr>
          <w:p w14:paraId="09E48C22" w14:textId="77777777" w:rsidR="00C2291B" w:rsidRDefault="00000000">
            <w:pPr>
              <w:pStyle w:val="Compact"/>
            </w:pPr>
            <w:r>
              <w:t>TTC-RL-1 (Reference)</w:t>
            </w:r>
          </w:p>
        </w:tc>
        <w:tc>
          <w:tcPr>
            <w:tcW w:w="1131" w:type="dxa"/>
          </w:tcPr>
          <w:p w14:paraId="1FE0BA30" w14:textId="77777777" w:rsidR="00C2291B" w:rsidRDefault="00000000">
            <w:pPr>
              <w:pStyle w:val="Compact"/>
            </w:pPr>
            <w:r>
              <w:t>2054.63</w:t>
            </w:r>
          </w:p>
        </w:tc>
        <w:tc>
          <w:tcPr>
            <w:tcW w:w="1131" w:type="dxa"/>
          </w:tcPr>
          <w:p w14:paraId="0B538202" w14:textId="77777777" w:rsidR="00C2291B" w:rsidRDefault="00000000">
            <w:pPr>
              <w:pStyle w:val="Compact"/>
            </w:pPr>
            <w:r>
              <w:t>4404</w:t>
            </w:r>
          </w:p>
        </w:tc>
        <w:tc>
          <w:tcPr>
            <w:tcW w:w="1131" w:type="dxa"/>
          </w:tcPr>
          <w:p w14:paraId="1DAF2D8B" w14:textId="77777777" w:rsidR="00C2291B" w:rsidRDefault="00000000">
            <w:pPr>
              <w:pStyle w:val="Compact"/>
            </w:pPr>
            <w:r>
              <w:t>288.00</w:t>
            </w:r>
          </w:p>
        </w:tc>
        <w:tc>
          <w:tcPr>
            <w:tcW w:w="1131" w:type="dxa"/>
          </w:tcPr>
          <w:p w14:paraId="6472E46B" w14:textId="77777777" w:rsidR="00C2291B" w:rsidRDefault="00000000">
            <w:pPr>
              <w:pStyle w:val="Compact"/>
            </w:pPr>
            <w:r>
              <w:t>7491.14</w:t>
            </w:r>
          </w:p>
        </w:tc>
        <w:tc>
          <w:tcPr>
            <w:tcW w:w="1131" w:type="dxa"/>
          </w:tcPr>
          <w:p w14:paraId="26B1BC2F" w14:textId="77777777" w:rsidR="00C2291B" w:rsidRDefault="00000000">
            <w:pPr>
              <w:pStyle w:val="Compact"/>
            </w:pPr>
            <w:r>
              <w:t>1.0000</w:t>
            </w:r>
          </w:p>
        </w:tc>
        <w:tc>
          <w:tcPr>
            <w:tcW w:w="1131" w:type="dxa"/>
          </w:tcPr>
          <w:p w14:paraId="0B8D0C5A" w14:textId="77777777" w:rsidR="00C2291B" w:rsidRDefault="00000000">
            <w:pPr>
              <w:pStyle w:val="Compact"/>
            </w:pPr>
            <w:r>
              <w:t>100.00%</w:t>
            </w:r>
          </w:p>
        </w:tc>
      </w:tr>
      <w:tr w:rsidR="00C2291B" w14:paraId="2FAA5EEF" w14:textId="77777777">
        <w:tc>
          <w:tcPr>
            <w:tcW w:w="1131" w:type="dxa"/>
          </w:tcPr>
          <w:p w14:paraId="7F28DBF4" w14:textId="77777777" w:rsidR="00C2291B" w:rsidRDefault="00000000">
            <w:pPr>
              <w:pStyle w:val="Compact"/>
            </w:pPr>
            <w:r>
              <w:t>Local Threshold Only</w:t>
            </w:r>
          </w:p>
        </w:tc>
        <w:tc>
          <w:tcPr>
            <w:tcW w:w="1131" w:type="dxa"/>
          </w:tcPr>
          <w:p w14:paraId="5D8B1D38" w14:textId="77777777" w:rsidR="00C2291B" w:rsidRDefault="00000000">
            <w:pPr>
              <w:pStyle w:val="Compact"/>
            </w:pPr>
            <w:r>
              <w:t>1958.05</w:t>
            </w:r>
          </w:p>
        </w:tc>
        <w:tc>
          <w:tcPr>
            <w:tcW w:w="1131" w:type="dxa"/>
          </w:tcPr>
          <w:p w14:paraId="3CECD7AB" w14:textId="77777777" w:rsidR="00C2291B" w:rsidRDefault="00000000">
            <w:pPr>
              <w:pStyle w:val="Compact"/>
            </w:pPr>
            <w:r>
              <w:t>2257</w:t>
            </w:r>
          </w:p>
        </w:tc>
        <w:tc>
          <w:tcPr>
            <w:tcW w:w="1131" w:type="dxa"/>
          </w:tcPr>
          <w:p w14:paraId="651A8B4B" w14:textId="77777777" w:rsidR="00C2291B" w:rsidRDefault="00000000">
            <w:pPr>
              <w:pStyle w:val="Compact"/>
            </w:pPr>
            <w:r>
              <w:t>147.60</w:t>
            </w:r>
          </w:p>
        </w:tc>
        <w:tc>
          <w:tcPr>
            <w:tcW w:w="1131" w:type="dxa"/>
          </w:tcPr>
          <w:p w14:paraId="465EA3B9" w14:textId="77777777" w:rsidR="00C2291B" w:rsidRDefault="00000000">
            <w:pPr>
              <w:pStyle w:val="Compact"/>
            </w:pPr>
            <w:r>
              <w:t>7367.57</w:t>
            </w:r>
          </w:p>
        </w:tc>
        <w:tc>
          <w:tcPr>
            <w:tcW w:w="1131" w:type="dxa"/>
          </w:tcPr>
          <w:p w14:paraId="37BBC421" w14:textId="77777777" w:rsidR="00C2291B" w:rsidRDefault="00000000">
            <w:pPr>
              <w:pStyle w:val="Compact"/>
            </w:pPr>
            <w:r>
              <w:t>1.9513</w:t>
            </w:r>
          </w:p>
        </w:tc>
        <w:tc>
          <w:tcPr>
            <w:tcW w:w="1131" w:type="dxa"/>
          </w:tcPr>
          <w:p w14:paraId="395FEA40" w14:textId="77777777" w:rsidR="00C2291B" w:rsidRDefault="00000000">
            <w:pPr>
              <w:pStyle w:val="Compact"/>
            </w:pPr>
            <w:r>
              <w:t>95.30%</w:t>
            </w:r>
          </w:p>
        </w:tc>
      </w:tr>
      <w:tr w:rsidR="00C2291B" w14:paraId="6BBA1645" w14:textId="77777777">
        <w:tc>
          <w:tcPr>
            <w:tcW w:w="1131" w:type="dxa"/>
          </w:tcPr>
          <w:p w14:paraId="3608CDD1" w14:textId="77777777" w:rsidR="00C2291B" w:rsidRDefault="00000000">
            <w:pPr>
              <w:pStyle w:val="Compact"/>
            </w:pPr>
            <w:r>
              <w:t>Global Threshold Only</w:t>
            </w:r>
          </w:p>
        </w:tc>
        <w:tc>
          <w:tcPr>
            <w:tcW w:w="1131" w:type="dxa"/>
          </w:tcPr>
          <w:p w14:paraId="0ACCA059" w14:textId="77777777" w:rsidR="00C2291B" w:rsidRDefault="00000000">
            <w:pPr>
              <w:pStyle w:val="Compact"/>
            </w:pPr>
            <w:r>
              <w:t>1977.54</w:t>
            </w:r>
          </w:p>
        </w:tc>
        <w:tc>
          <w:tcPr>
            <w:tcW w:w="1131" w:type="dxa"/>
          </w:tcPr>
          <w:p w14:paraId="67302C81" w14:textId="77777777" w:rsidR="00C2291B" w:rsidRDefault="00000000">
            <w:pPr>
              <w:pStyle w:val="Compact"/>
            </w:pPr>
            <w:r>
              <w:t>2251</w:t>
            </w:r>
          </w:p>
        </w:tc>
        <w:tc>
          <w:tcPr>
            <w:tcW w:w="1131" w:type="dxa"/>
          </w:tcPr>
          <w:p w14:paraId="3E283737" w14:textId="77777777" w:rsidR="00C2291B" w:rsidRDefault="00000000">
            <w:pPr>
              <w:pStyle w:val="Compact"/>
            </w:pPr>
            <w:r>
              <w:t>147.20</w:t>
            </w:r>
          </w:p>
        </w:tc>
        <w:tc>
          <w:tcPr>
            <w:tcW w:w="1131" w:type="dxa"/>
          </w:tcPr>
          <w:p w14:paraId="27DB1778" w14:textId="77777777" w:rsidR="00C2291B" w:rsidRDefault="00000000">
            <w:pPr>
              <w:pStyle w:val="Compact"/>
            </w:pPr>
            <w:r>
              <w:t>7409.42</w:t>
            </w:r>
          </w:p>
        </w:tc>
        <w:tc>
          <w:tcPr>
            <w:tcW w:w="1131" w:type="dxa"/>
          </w:tcPr>
          <w:p w14:paraId="1B200BF2" w14:textId="77777777" w:rsidR="00C2291B" w:rsidRDefault="00000000">
            <w:pPr>
              <w:pStyle w:val="Compact"/>
            </w:pPr>
            <w:r>
              <w:t>1.9565</w:t>
            </w:r>
          </w:p>
        </w:tc>
        <w:tc>
          <w:tcPr>
            <w:tcW w:w="1131" w:type="dxa"/>
          </w:tcPr>
          <w:p w14:paraId="377702FB" w14:textId="77777777" w:rsidR="00C2291B" w:rsidRDefault="00000000">
            <w:pPr>
              <w:pStyle w:val="Compact"/>
            </w:pPr>
            <w:r>
              <w:t>96.25%</w:t>
            </w:r>
          </w:p>
        </w:tc>
      </w:tr>
      <w:tr w:rsidR="00C2291B" w14:paraId="116B43BC" w14:textId="77777777">
        <w:tc>
          <w:tcPr>
            <w:tcW w:w="1131" w:type="dxa"/>
          </w:tcPr>
          <w:p w14:paraId="5CF55305" w14:textId="77777777" w:rsidR="00C2291B" w:rsidRDefault="00000000">
            <w:pPr>
              <w:pStyle w:val="Compact"/>
            </w:pPr>
            <w:r>
              <w:t>Short-scale Only</w:t>
            </w:r>
          </w:p>
        </w:tc>
        <w:tc>
          <w:tcPr>
            <w:tcW w:w="1131" w:type="dxa"/>
          </w:tcPr>
          <w:p w14:paraId="4A7ECDB1" w14:textId="77777777" w:rsidR="00C2291B" w:rsidRDefault="00000000">
            <w:pPr>
              <w:pStyle w:val="Compact"/>
            </w:pPr>
            <w:r>
              <w:t>1951.74</w:t>
            </w:r>
          </w:p>
        </w:tc>
        <w:tc>
          <w:tcPr>
            <w:tcW w:w="1131" w:type="dxa"/>
          </w:tcPr>
          <w:p w14:paraId="7DA5E832" w14:textId="77777777" w:rsidR="00C2291B" w:rsidRDefault="00000000">
            <w:pPr>
              <w:pStyle w:val="Compact"/>
            </w:pPr>
            <w:r>
              <w:t>2122</w:t>
            </w:r>
          </w:p>
        </w:tc>
        <w:tc>
          <w:tcPr>
            <w:tcW w:w="1131" w:type="dxa"/>
          </w:tcPr>
          <w:p w14:paraId="60C9D1C1" w14:textId="77777777" w:rsidR="00C2291B" w:rsidRDefault="00000000">
            <w:pPr>
              <w:pStyle w:val="Compact"/>
            </w:pPr>
            <w:r>
              <w:t>138.77</w:t>
            </w:r>
          </w:p>
        </w:tc>
        <w:tc>
          <w:tcPr>
            <w:tcW w:w="1131" w:type="dxa"/>
          </w:tcPr>
          <w:p w14:paraId="3980C23D" w14:textId="77777777" w:rsidR="00C2291B" w:rsidRDefault="00000000">
            <w:pPr>
              <w:pStyle w:val="Compact"/>
            </w:pPr>
            <w:r>
              <w:t>7407.03</w:t>
            </w:r>
          </w:p>
        </w:tc>
        <w:tc>
          <w:tcPr>
            <w:tcW w:w="1131" w:type="dxa"/>
          </w:tcPr>
          <w:p w14:paraId="1BA871EF" w14:textId="77777777" w:rsidR="00C2291B" w:rsidRDefault="00000000">
            <w:pPr>
              <w:pStyle w:val="Compact"/>
            </w:pPr>
            <w:r>
              <w:t>2.0754</w:t>
            </w:r>
          </w:p>
        </w:tc>
        <w:tc>
          <w:tcPr>
            <w:tcW w:w="1131" w:type="dxa"/>
          </w:tcPr>
          <w:p w14:paraId="28279426" w14:textId="77777777" w:rsidR="00C2291B" w:rsidRDefault="00000000">
            <w:pPr>
              <w:pStyle w:val="Compact"/>
            </w:pPr>
            <w:r>
              <w:t>94.99%</w:t>
            </w:r>
          </w:p>
        </w:tc>
      </w:tr>
      <w:tr w:rsidR="00C2291B" w14:paraId="77655969" w14:textId="77777777">
        <w:tc>
          <w:tcPr>
            <w:tcW w:w="1131" w:type="dxa"/>
          </w:tcPr>
          <w:p w14:paraId="5B12332D" w14:textId="77777777" w:rsidR="00C2291B" w:rsidRDefault="00000000">
            <w:pPr>
              <w:pStyle w:val="Compact"/>
            </w:pPr>
            <w:r>
              <w:lastRenderedPageBreak/>
              <w:t>Medium-scale Only</w:t>
            </w:r>
          </w:p>
        </w:tc>
        <w:tc>
          <w:tcPr>
            <w:tcW w:w="1131" w:type="dxa"/>
          </w:tcPr>
          <w:p w14:paraId="644221CF" w14:textId="77777777" w:rsidR="00C2291B" w:rsidRDefault="00000000">
            <w:pPr>
              <w:pStyle w:val="Compact"/>
            </w:pPr>
            <w:r>
              <w:t>2041.96</w:t>
            </w:r>
          </w:p>
        </w:tc>
        <w:tc>
          <w:tcPr>
            <w:tcW w:w="1131" w:type="dxa"/>
          </w:tcPr>
          <w:p w14:paraId="5817E195" w14:textId="77777777" w:rsidR="00C2291B" w:rsidRDefault="00000000">
            <w:pPr>
              <w:pStyle w:val="Compact"/>
            </w:pPr>
            <w:r>
              <w:t>3891</w:t>
            </w:r>
          </w:p>
        </w:tc>
        <w:tc>
          <w:tcPr>
            <w:tcW w:w="1131" w:type="dxa"/>
          </w:tcPr>
          <w:p w14:paraId="2735F3BD" w14:textId="77777777" w:rsidR="00C2291B" w:rsidRDefault="00000000">
            <w:pPr>
              <w:pStyle w:val="Compact"/>
            </w:pPr>
            <w:r>
              <w:t>254.45</w:t>
            </w:r>
          </w:p>
        </w:tc>
        <w:tc>
          <w:tcPr>
            <w:tcW w:w="1131" w:type="dxa"/>
          </w:tcPr>
          <w:p w14:paraId="5BD44EA2" w14:textId="77777777" w:rsidR="00C2291B" w:rsidRDefault="00000000">
            <w:pPr>
              <w:pStyle w:val="Compact"/>
            </w:pPr>
            <w:r>
              <w:t>7484.70</w:t>
            </w:r>
          </w:p>
        </w:tc>
        <w:tc>
          <w:tcPr>
            <w:tcW w:w="1131" w:type="dxa"/>
          </w:tcPr>
          <w:p w14:paraId="7AD986CC" w14:textId="77777777" w:rsidR="00C2291B" w:rsidRDefault="00000000">
            <w:pPr>
              <w:pStyle w:val="Compact"/>
            </w:pPr>
            <w:r>
              <w:t>1.1318</w:t>
            </w:r>
          </w:p>
        </w:tc>
        <w:tc>
          <w:tcPr>
            <w:tcW w:w="1131" w:type="dxa"/>
          </w:tcPr>
          <w:p w14:paraId="06153A2C" w14:textId="77777777" w:rsidR="00C2291B" w:rsidRDefault="00000000">
            <w:pPr>
              <w:pStyle w:val="Compact"/>
            </w:pPr>
            <w:r>
              <w:t>99.38%</w:t>
            </w:r>
          </w:p>
        </w:tc>
      </w:tr>
      <w:tr w:rsidR="00C2291B" w14:paraId="3013A28E" w14:textId="77777777">
        <w:tc>
          <w:tcPr>
            <w:tcW w:w="1131" w:type="dxa"/>
          </w:tcPr>
          <w:p w14:paraId="06241087" w14:textId="77777777" w:rsidR="00C2291B" w:rsidRDefault="00000000">
            <w:pPr>
              <w:pStyle w:val="Compact"/>
            </w:pPr>
            <w:r>
              <w:t>Long-scale Only</w:t>
            </w:r>
          </w:p>
        </w:tc>
        <w:tc>
          <w:tcPr>
            <w:tcW w:w="1131" w:type="dxa"/>
          </w:tcPr>
          <w:p w14:paraId="309AB66D" w14:textId="77777777" w:rsidR="00C2291B" w:rsidRDefault="00000000">
            <w:pPr>
              <w:pStyle w:val="Compact"/>
            </w:pPr>
            <w:r>
              <w:t>2032.01</w:t>
            </w:r>
          </w:p>
        </w:tc>
        <w:tc>
          <w:tcPr>
            <w:tcW w:w="1131" w:type="dxa"/>
          </w:tcPr>
          <w:p w14:paraId="3A5553F5" w14:textId="77777777" w:rsidR="00C2291B" w:rsidRDefault="00000000">
            <w:pPr>
              <w:pStyle w:val="Compact"/>
            </w:pPr>
            <w:r>
              <w:t>4334</w:t>
            </w:r>
          </w:p>
        </w:tc>
        <w:tc>
          <w:tcPr>
            <w:tcW w:w="1131" w:type="dxa"/>
          </w:tcPr>
          <w:p w14:paraId="7682A81B" w14:textId="77777777" w:rsidR="00C2291B" w:rsidRDefault="00000000">
            <w:pPr>
              <w:pStyle w:val="Compact"/>
            </w:pPr>
            <w:r>
              <w:t>283.42</w:t>
            </w:r>
          </w:p>
        </w:tc>
        <w:tc>
          <w:tcPr>
            <w:tcW w:w="1131" w:type="dxa"/>
          </w:tcPr>
          <w:p w14:paraId="0D78064D" w14:textId="77777777" w:rsidR="00C2291B" w:rsidRDefault="00000000">
            <w:pPr>
              <w:pStyle w:val="Compact"/>
            </w:pPr>
            <w:r>
              <w:t>7431.26</w:t>
            </w:r>
          </w:p>
        </w:tc>
        <w:tc>
          <w:tcPr>
            <w:tcW w:w="1131" w:type="dxa"/>
          </w:tcPr>
          <w:p w14:paraId="5096806D" w14:textId="77777777" w:rsidR="00C2291B" w:rsidRDefault="00000000">
            <w:pPr>
              <w:pStyle w:val="Compact"/>
            </w:pPr>
            <w:r>
              <w:t>1.0162</w:t>
            </w:r>
          </w:p>
        </w:tc>
        <w:tc>
          <w:tcPr>
            <w:tcW w:w="1131" w:type="dxa"/>
          </w:tcPr>
          <w:p w14:paraId="38C9C83D" w14:textId="77777777" w:rsidR="00C2291B" w:rsidRDefault="00000000">
            <w:pPr>
              <w:pStyle w:val="Compact"/>
            </w:pPr>
            <w:r>
              <w:t>98.90%</w:t>
            </w:r>
          </w:p>
        </w:tc>
      </w:tr>
      <w:tr w:rsidR="00C2291B" w14:paraId="5C2B22B4" w14:textId="77777777">
        <w:tc>
          <w:tcPr>
            <w:tcW w:w="1131" w:type="dxa"/>
          </w:tcPr>
          <w:p w14:paraId="7C4FE59E" w14:textId="77777777" w:rsidR="00C2291B" w:rsidRDefault="00000000">
            <w:pPr>
              <w:pStyle w:val="Compact"/>
            </w:pPr>
            <w:r>
              <w:rPr>
                <w:b/>
                <w:bCs/>
              </w:rPr>
              <w:t>Full ET-PRL (Ours)</w:t>
            </w:r>
          </w:p>
        </w:tc>
        <w:tc>
          <w:tcPr>
            <w:tcW w:w="1131" w:type="dxa"/>
          </w:tcPr>
          <w:p w14:paraId="2028DBE8" w14:textId="77777777" w:rsidR="00C2291B" w:rsidRDefault="00000000">
            <w:pPr>
              <w:pStyle w:val="Compact"/>
            </w:pPr>
            <w:r>
              <w:rPr>
                <w:b/>
                <w:bCs/>
              </w:rPr>
              <w:t>1939.74</w:t>
            </w:r>
          </w:p>
        </w:tc>
        <w:tc>
          <w:tcPr>
            <w:tcW w:w="1131" w:type="dxa"/>
          </w:tcPr>
          <w:p w14:paraId="5A891059" w14:textId="77777777" w:rsidR="00C2291B" w:rsidRDefault="00000000">
            <w:pPr>
              <w:pStyle w:val="Compact"/>
            </w:pPr>
            <w:r>
              <w:rPr>
                <w:b/>
                <w:bCs/>
              </w:rPr>
              <w:t>2046</w:t>
            </w:r>
          </w:p>
        </w:tc>
        <w:tc>
          <w:tcPr>
            <w:tcW w:w="1131" w:type="dxa"/>
          </w:tcPr>
          <w:p w14:paraId="57450198" w14:textId="77777777" w:rsidR="00C2291B" w:rsidRDefault="00000000">
            <w:pPr>
              <w:pStyle w:val="Compact"/>
            </w:pPr>
            <w:r>
              <w:rPr>
                <w:b/>
                <w:bCs/>
              </w:rPr>
              <w:t>133.80</w:t>
            </w:r>
          </w:p>
        </w:tc>
        <w:tc>
          <w:tcPr>
            <w:tcW w:w="1131" w:type="dxa"/>
          </w:tcPr>
          <w:p w14:paraId="0D5B0734" w14:textId="77777777" w:rsidR="00C2291B" w:rsidRDefault="00000000">
            <w:pPr>
              <w:pStyle w:val="Compact"/>
            </w:pPr>
            <w:r>
              <w:rPr>
                <w:b/>
                <w:bCs/>
              </w:rPr>
              <w:t>7331.85</w:t>
            </w:r>
          </w:p>
        </w:tc>
        <w:tc>
          <w:tcPr>
            <w:tcW w:w="1131" w:type="dxa"/>
          </w:tcPr>
          <w:p w14:paraId="78300757" w14:textId="77777777" w:rsidR="00C2291B" w:rsidRDefault="00000000">
            <w:pPr>
              <w:pStyle w:val="Compact"/>
            </w:pPr>
            <w:r>
              <w:rPr>
                <w:b/>
                <w:bCs/>
              </w:rPr>
              <w:t>2.1525</w:t>
            </w:r>
          </w:p>
        </w:tc>
        <w:tc>
          <w:tcPr>
            <w:tcW w:w="1131" w:type="dxa"/>
          </w:tcPr>
          <w:p w14:paraId="6596904F" w14:textId="77777777" w:rsidR="00C2291B" w:rsidRDefault="00000000">
            <w:pPr>
              <w:pStyle w:val="Compact"/>
            </w:pPr>
            <w:r>
              <w:rPr>
                <w:b/>
                <w:bCs/>
              </w:rPr>
              <w:t>94.41%</w:t>
            </w:r>
          </w:p>
        </w:tc>
      </w:tr>
    </w:tbl>
    <w:p w14:paraId="7DDF44D4" w14:textId="77777777" w:rsidR="00C2291B" w:rsidRDefault="00000000">
      <w:pPr>
        <w:pStyle w:val="CaptionedFigure"/>
      </w:pPr>
      <w:r>
        <w:rPr>
          <w:noProof/>
        </w:rPr>
        <w:drawing>
          <wp:inline distT="0" distB="0" distL="0" distR="0" wp14:anchorId="1320B6C5" wp14:editId="69104DC0">
            <wp:extent cx="5334000" cy="3823771"/>
            <wp:effectExtent l="0" t="0" r="0" b="0"/>
            <wp:docPr id="46" name="Picture" descr="图 5-2-5 消融策略多目标权衡散点图"/>
            <wp:cNvGraphicFramePr/>
            <a:graphic xmlns:a="http://schemas.openxmlformats.org/drawingml/2006/main">
              <a:graphicData uri="http://schemas.openxmlformats.org/drawingml/2006/picture">
                <pic:pic xmlns:pic="http://schemas.openxmlformats.org/drawingml/2006/picture">
                  <pic:nvPicPr>
                    <pic:cNvPr id="47" name="Picture" descr="../pics/fig_5_2_5_ablation_pareto_scatter.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823771"/>
                    </a:xfrm>
                    <a:prstGeom prst="rect">
                      <a:avLst/>
                    </a:prstGeom>
                    <a:noFill/>
                    <a:ln w="9525">
                      <a:noFill/>
                      <a:headEnd/>
                      <a:tailEnd/>
                    </a:ln>
                  </pic:spPr>
                </pic:pic>
              </a:graphicData>
            </a:graphic>
          </wp:inline>
        </w:drawing>
      </w:r>
    </w:p>
    <w:p w14:paraId="7960795D" w14:textId="77777777" w:rsidR="00C2291B" w:rsidRDefault="00000000">
      <w:pPr>
        <w:pStyle w:val="ImageCaption"/>
      </w:pPr>
      <w:r>
        <w:rPr>
          <w:rFonts w:hint="eastAsia"/>
        </w:rPr>
        <w:t>图</w:t>
      </w:r>
      <w:r>
        <w:t xml:space="preserve"> 5-2-5 </w:t>
      </w:r>
      <w:r>
        <w:rPr>
          <w:rFonts w:hint="eastAsia"/>
        </w:rPr>
        <w:t>消融策略多目标权衡散点图</w:t>
      </w:r>
    </w:p>
    <w:p w14:paraId="051CEAD6" w14:textId="77777777" w:rsidR="00C2291B" w:rsidRDefault="00000000">
      <w:pPr>
        <w:pStyle w:val="a0"/>
      </w:pPr>
      <w:r>
        <w:rPr>
          <w:rFonts w:hint="eastAsia"/>
        </w:rPr>
        <w:t>图</w:t>
      </w:r>
      <w:r>
        <w:t xml:space="preserve"> 5-2-5 </w:t>
      </w:r>
      <w:r>
        <w:rPr>
          <w:rFonts w:hint="eastAsia"/>
        </w:rPr>
        <w:t>消融策略能耗</w:t>
      </w:r>
      <w:r>
        <w:rPr>
          <w:rFonts w:hint="eastAsia"/>
        </w:rPr>
        <w:t>-</w:t>
      </w:r>
      <w:r>
        <w:rPr>
          <w:rFonts w:hint="eastAsia"/>
        </w:rPr>
        <w:t>性能</w:t>
      </w:r>
      <w:r>
        <w:rPr>
          <w:rFonts w:hint="eastAsia"/>
        </w:rPr>
        <w:t>-</w:t>
      </w:r>
      <w:r>
        <w:rPr>
          <w:rFonts w:hint="eastAsia"/>
        </w:rPr>
        <w:t>稀疏性三目标权衡散点图（横轴为日均能耗，纵轴为</w:t>
      </w:r>
      <w:r>
        <w:t xml:space="preserve"> </w:t>
      </w:r>
      <w:r>
        <w:rPr>
          <w:rFonts w:hint="eastAsia"/>
        </w:rPr>
        <w:t>PPR</w:t>
      </w:r>
      <w:r>
        <w:rPr>
          <w:rFonts w:hint="eastAsia"/>
        </w:rPr>
        <w:t>；颜色表示</w:t>
      </w:r>
      <w:r>
        <w:t xml:space="preserve"> </w:t>
      </w:r>
      <w:r>
        <w:rPr>
          <w:rFonts w:hint="eastAsia"/>
        </w:rPr>
        <w:t>ACR</w:t>
      </w:r>
      <w:r>
        <w:rPr>
          <w:rFonts w:hint="eastAsia"/>
        </w:rPr>
        <w:t>；文本标签标注各消融策略）</w:t>
      </w:r>
    </w:p>
    <w:p w14:paraId="4169C592" w14:textId="77777777" w:rsidR="00C2291B" w:rsidRDefault="00000000">
      <w:pPr>
        <w:pStyle w:val="a0"/>
      </w:pPr>
      <w:r>
        <w:rPr>
          <w:rFonts w:hint="eastAsia"/>
        </w:rPr>
        <w:t>由图</w:t>
      </w:r>
      <w:r>
        <w:t xml:space="preserve"> 5-2-5 </w:t>
      </w:r>
      <w:r>
        <w:rPr>
          <w:rFonts w:hint="eastAsia"/>
        </w:rPr>
        <w:t>可见，在以</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最小化、</w:t>
      </w:r>
      <w:r>
        <w:rPr>
          <w:rFonts w:hint="eastAsia"/>
        </w:rPr>
        <w:t>PPR</w:t>
      </w:r>
      <w:r>
        <w:t xml:space="preserve"> </w:t>
      </w:r>
      <w:r>
        <w:rPr>
          <w:rFonts w:hint="eastAsia"/>
        </w:rPr>
        <w:t>与</w:t>
      </w:r>
      <w:r>
        <w:t xml:space="preserve"> ACR </w:t>
      </w:r>
      <w:r>
        <w:rPr>
          <w:rFonts w:hint="eastAsia"/>
        </w:rPr>
        <w:t>最大化为目标的三目标权衡中，</w:t>
      </w:r>
      <w:r>
        <w:rPr>
          <w:rFonts w:hint="eastAsia"/>
        </w:rPr>
        <w:t>Full</w:t>
      </w:r>
      <w:r>
        <w:t xml:space="preserve"> ET-PRL </w:t>
      </w:r>
      <w:r>
        <w:rPr>
          <w:rFonts w:hint="eastAsia"/>
        </w:rPr>
        <w:t>位于低能耗</w:t>
      </w:r>
      <w:r>
        <w:rPr>
          <w:rFonts w:hint="eastAsia"/>
        </w:rPr>
        <w:t>-</w:t>
      </w:r>
      <w:r>
        <w:rPr>
          <w:rFonts w:hint="eastAsia"/>
        </w:rPr>
        <w:t>高稀疏性区域，并在</w:t>
      </w:r>
      <w:r>
        <w:t xml:space="preserve"> PPR </w:t>
      </w:r>
      <w:r>
        <w:rPr>
          <w:rFonts w:hint="eastAsia"/>
        </w:rPr>
        <w:t>保持</w:t>
      </w:r>
      <w:r>
        <w:t xml:space="preserve"> 94.41% </w:t>
      </w:r>
      <w:r>
        <w:rPr>
          <w:rFonts w:hint="eastAsia"/>
        </w:rPr>
        <w:t>的前提下取得消融组最低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与最高</w:t>
      </w:r>
      <w:r>
        <w:t xml:space="preserve"> </w:t>
      </w:r>
      <w:r>
        <w:rPr>
          <w:rFonts w:hint="eastAsia"/>
        </w:rPr>
        <w:t>ACR</w:t>
      </w:r>
      <w:r>
        <w:rPr>
          <w:rFonts w:hint="eastAsia"/>
        </w:rPr>
        <w:t>，因此在当前样本集上表现为更接近理想综合折衷解的候选点。</w:t>
      </w:r>
    </w:p>
    <w:p w14:paraId="11CD43DD" w14:textId="77777777" w:rsidR="00C2291B" w:rsidRDefault="00000000">
      <w:pPr>
        <w:pStyle w:val="a0"/>
      </w:pPr>
      <w:r>
        <w:rPr>
          <w:rFonts w:hint="eastAsia"/>
        </w:rPr>
        <w:lastRenderedPageBreak/>
        <w:t>在时序尺度消融方面，</w:t>
      </w:r>
      <w:r>
        <w:rPr>
          <w:rFonts w:hint="eastAsia"/>
        </w:rPr>
        <w:t>Short-scale</w:t>
      </w:r>
      <w:r>
        <w:t xml:space="preserve"> Only </w:t>
      </w:r>
      <w:r>
        <w:rPr>
          <w:rFonts w:hint="eastAsia"/>
        </w:rPr>
        <w:t>相比</w:t>
      </w:r>
      <w:r>
        <w:t xml:space="preserve"> Full ET-PRL </w:t>
      </w:r>
      <w:r>
        <w:rPr>
          <w:rFonts w:hint="eastAsia"/>
        </w:rPr>
        <w:t>的</w:t>
      </w:r>
      <w:r>
        <w:t xml:space="preserve"> PPR </w:t>
      </w:r>
      <w:r>
        <w:rPr>
          <w:rFonts w:hint="eastAsia"/>
        </w:rPr>
        <w:t>略高（</w:t>
      </w:r>
      <w:r>
        <w:rPr>
          <w:rFonts w:hint="eastAsia"/>
        </w:rPr>
        <w:t>94.99%</w:t>
      </w:r>
      <w:r>
        <w:t xml:space="preserve"> vs </w:t>
      </w:r>
      <w:r>
        <w:rPr>
          <w:rFonts w:hint="eastAsia"/>
        </w:rPr>
        <w:t>94.41%</w:t>
      </w:r>
      <w:r>
        <w:rPr>
          <w:rFonts w:hint="eastAsia"/>
        </w:rPr>
        <w:t>），但其</w:t>
      </w:r>
      <w:r>
        <w:t xml:space="preserve"> ACR </w:t>
      </w:r>
      <w:r>
        <w:rPr>
          <w:rFonts w:hint="eastAsia"/>
        </w:rPr>
        <w:t>下降</w:t>
      </w:r>
      <w:r>
        <w:t xml:space="preserve"> </w:t>
      </w:r>
      <w:r>
        <w:rPr>
          <w:rFonts w:hint="eastAsia"/>
        </w:rPr>
        <w:t>3.58%</w:t>
      </w:r>
      <w:r>
        <w:rPr>
          <w:rFonts w:hint="eastAsia"/>
        </w:rPr>
        <w:t>（</w:t>
      </w:r>
      <w:r>
        <w:rPr>
          <w:rFonts w:hint="eastAsia"/>
        </w:rPr>
        <w:t>2.0754</w:t>
      </w:r>
      <w:r>
        <w:t xml:space="preserve"> vs </w:t>
      </w:r>
      <w:r>
        <w:rPr>
          <w:rFonts w:hint="eastAsia"/>
        </w:rPr>
        <w:t>2.1525</w:t>
      </w:r>
      <w:r>
        <w:rPr>
          <w:rFonts w:hint="eastAsia"/>
        </w:rPr>
        <w:t>），且日均能耗增加</w:t>
      </w:r>
      <w:r>
        <w:t xml:space="preserve"> 75.18 </w:t>
      </w:r>
      <w:r>
        <w:rPr>
          <w:rFonts w:hint="eastAsia"/>
        </w:rPr>
        <w:t>kWh/day</w:t>
      </w:r>
      <w:r>
        <w:rPr>
          <w:rFonts w:hint="eastAsia"/>
        </w:rPr>
        <w:t>（</w:t>
      </w:r>
      <w:r>
        <w:rPr>
          <w:rFonts w:hint="eastAsia"/>
        </w:rPr>
        <w:t>7407.03</w:t>
      </w:r>
      <w:r>
        <w:t xml:space="preserve"> vs </w:t>
      </w:r>
      <w:r>
        <w:rPr>
          <w:rFonts w:hint="eastAsia"/>
        </w:rPr>
        <w:t>7331.85</w:t>
      </w:r>
      <w:r>
        <w:rPr>
          <w:rFonts w:hint="eastAsia"/>
        </w:rPr>
        <w:t>）。在本研究设定的舒适约束下，两者</w:t>
      </w:r>
      <w:r>
        <w:t xml:space="preserve"> PPR </w:t>
      </w:r>
      <w:r>
        <w:rPr>
          <w:rFonts w:hint="eastAsia"/>
        </w:rPr>
        <w:t>均处于</w:t>
      </w:r>
      <w:r>
        <w:t xml:space="preserve"> 94% </w:t>
      </w:r>
      <w:r>
        <w:rPr>
          <w:rFonts w:hint="eastAsia"/>
        </w:rPr>
        <w:t>以上区间，</w:t>
      </w:r>
      <w:r>
        <w:rPr>
          <w:rFonts w:hint="eastAsia"/>
        </w:rPr>
        <w:t>0.58</w:t>
      </w:r>
      <w:r>
        <w:t xml:space="preserve"> </w:t>
      </w:r>
      <w:r>
        <w:rPr>
          <w:rFonts w:hint="eastAsia"/>
        </w:rPr>
        <w:t>个百分点的差异属于有限边际变化；与之对应，动作压缩能力下降与能耗增加会直接转化为执行层负担与运行成本上升。进一步地，</w:t>
      </w:r>
      <w:r>
        <w:rPr>
          <w:rFonts w:hint="eastAsia"/>
        </w:rPr>
        <w:t>Medium-scale</w:t>
      </w:r>
      <w:r>
        <w:t xml:space="preserve"> Only </w:t>
      </w:r>
      <w:r>
        <w:rPr>
          <w:rFonts w:hint="eastAsia"/>
        </w:rPr>
        <w:t>与</w:t>
      </w:r>
      <w:r>
        <w:t xml:space="preserve"> Long-scale Only </w:t>
      </w:r>
      <w:r>
        <w:rPr>
          <w:rFonts w:hint="eastAsia"/>
        </w:rPr>
        <w:t>虽保持较高</w:t>
      </w:r>
      <w:r>
        <w:t xml:space="preserve"> </w:t>
      </w:r>
      <w:r>
        <w:rPr>
          <w:rFonts w:hint="eastAsia"/>
        </w:rPr>
        <w:t>PPR</w:t>
      </w:r>
      <w:r>
        <w:rPr>
          <w:rFonts w:hint="eastAsia"/>
        </w:rPr>
        <w:t>（</w:t>
      </w:r>
      <w:r>
        <w:rPr>
          <w:rFonts w:hint="eastAsia"/>
        </w:rPr>
        <w:t>99.38%</w:t>
      </w:r>
      <w:r>
        <w:t xml:space="preserve"> </w:t>
      </w:r>
      <w:r>
        <w:rPr>
          <w:rFonts w:hint="eastAsia"/>
        </w:rPr>
        <w:t>和</w:t>
      </w:r>
      <w:r>
        <w:t xml:space="preserve"> </w:t>
      </w:r>
      <w:r>
        <w:rPr>
          <w:rFonts w:hint="eastAsia"/>
        </w:rPr>
        <w:t>98.90%</w:t>
      </w:r>
      <w:r>
        <w:rPr>
          <w:rFonts w:hint="eastAsia"/>
        </w:rPr>
        <w:t>），但触发稀疏性显著退化（</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254.45 </w:t>
      </w:r>
      <w:r>
        <w:rPr>
          <w:rFonts w:hint="eastAsia"/>
        </w:rPr>
        <w:t>和</w:t>
      </w:r>
      <w:r>
        <w:t xml:space="preserve"> </w:t>
      </w:r>
      <w:r>
        <w:rPr>
          <w:rFonts w:hint="eastAsia"/>
        </w:rPr>
        <w:t>283.42</w:t>
      </w:r>
      <w:r>
        <w:rPr>
          <w:rFonts w:hint="eastAsia"/>
        </w:rPr>
        <w:t>），且能耗改善不明显（</w:t>
      </w:r>
      <w:r>
        <w:rPr>
          <w:rFonts w:hint="eastAsia"/>
        </w:rPr>
        <w:t>7484.70</w:t>
      </w:r>
      <w:r>
        <w:t xml:space="preserve"> </w:t>
      </w:r>
      <w:r>
        <w:rPr>
          <w:rFonts w:hint="eastAsia"/>
        </w:rPr>
        <w:t>和</w:t>
      </w:r>
      <w:r>
        <w:t xml:space="preserve"> 7431.26 </w:t>
      </w:r>
      <w:r>
        <w:rPr>
          <w:rFonts w:hint="eastAsia"/>
        </w:rPr>
        <w:t>kWh/day</w:t>
      </w:r>
      <w:r>
        <w:rPr>
          <w:rFonts w:hint="eastAsia"/>
        </w:rPr>
        <w:t>）。该组结果表明，单一尺度统计难以同时兼顾短时扰动响应与长期漂移纠偏。</w:t>
      </w:r>
    </w:p>
    <w:p w14:paraId="0AB13640" w14:textId="77777777" w:rsidR="00C2291B" w:rsidRDefault="00000000">
      <w:pPr>
        <w:pStyle w:val="a0"/>
      </w:pPr>
      <w:r>
        <w:rPr>
          <w:rFonts w:hint="eastAsia"/>
        </w:rPr>
        <w:t>本研究采用紧凑的</w:t>
      </w:r>
      <w:r>
        <w:t xml:space="preserve"> 3 </w:t>
      </w:r>
      <w:r>
        <w:rPr>
          <w:rFonts w:hint="eastAsia"/>
        </w:rPr>
        <w:t>维状态空间</w:t>
      </w:r>
      <w:r>
        <w:t xml:space="preserve"> </w:t>
      </w:r>
      <m:oMath>
        <m:d>
          <m:dPr>
            <m:ctrlPr>
              <w:rPr>
                <w:rFonts w:ascii="Cambria Math" w:hAnsi="Cambria Math"/>
              </w:rPr>
            </m:ctrlPr>
          </m:dPr>
          <m:e>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e>
        </m:d>
      </m:oMath>
      <w:r>
        <w:rPr>
          <w:rFonts w:hint="eastAsia"/>
        </w:rPr>
        <w:t>，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附近），并使机组持续运行于偏离最优</w:t>
      </w:r>
      <w:r>
        <w:t xml:space="preserve"> COP </w:t>
      </w:r>
      <w:r>
        <w:rPr>
          <w:rFonts w:hint="eastAsia"/>
        </w:rPr>
        <w:t>的工况，最终表现为日均能耗上升。</w:t>
      </w:r>
      <w:r>
        <w:rPr>
          <w:rFonts w:hint="eastAsia"/>
        </w:rPr>
        <w:t>Full</w:t>
      </w:r>
      <w:r>
        <w:t xml:space="preserve"> ET-PRL </w:t>
      </w:r>
      <w:r>
        <w:rPr>
          <w:rFonts w:hint="eastAsia"/>
        </w:rPr>
        <w:t>通过引入中长尺度分数，为紧凑状态智能体提供隐式历史信息补偿，能够将慢性设备衰退与季节漂移重新识别为需干预事件，从而在季节尺度上维持全局能效下界。</w:t>
      </w:r>
    </w:p>
    <w:p w14:paraId="4B7AFB3C" w14:textId="77777777" w:rsidR="00C2291B" w:rsidRDefault="00000000">
      <w:pPr>
        <w:pStyle w:val="a0"/>
      </w:pPr>
      <w:r>
        <w:rPr>
          <w:rFonts w:hint="eastAsia"/>
        </w:rPr>
        <w:t>在双阈值机制消融方面，</w:t>
      </w:r>
      <w:r>
        <w:rPr>
          <w:rFonts w:hint="eastAsia"/>
        </w:rPr>
        <w:t>Local</w:t>
      </w:r>
      <w:r>
        <w:t xml:space="preserve"> Threshold Only </w:t>
      </w:r>
      <w:r>
        <w:rPr>
          <w:rFonts w:hint="eastAsia"/>
        </w:rPr>
        <w:t>与</w:t>
      </w:r>
      <w:r>
        <w:t xml:space="preserve"> Global Threshold Only </w:t>
      </w:r>
      <w:r>
        <w:rPr>
          <w:rFonts w:hint="eastAsia"/>
        </w:rPr>
        <w:t>的</w:t>
      </w:r>
      <w:r>
        <w:t xml:space="preserve"> ACR </w:t>
      </w:r>
      <w:r>
        <w:rPr>
          <w:rFonts w:hint="eastAsia"/>
        </w:rPr>
        <w:t>分别为</w:t>
      </w:r>
      <w:r>
        <w:t xml:space="preserve"> 1.9513 </w:t>
      </w:r>
      <w:r>
        <w:rPr>
          <w:rFonts w:hint="eastAsia"/>
        </w:rPr>
        <w:t>和</w:t>
      </w:r>
      <w:r>
        <w:t xml:space="preserve"> </w:t>
      </w:r>
      <w:r>
        <w:rPr>
          <w:rFonts w:hint="eastAsia"/>
        </w:rPr>
        <w:t>1.9565</w:t>
      </w:r>
      <w:r>
        <w:rPr>
          <w:rFonts w:hint="eastAsia"/>
        </w:rPr>
        <w:t>，均低于</w:t>
      </w:r>
      <w:r>
        <w:t xml:space="preserve"> Full ET-PRL </w:t>
      </w:r>
      <w:r>
        <w:rPr>
          <w:rFonts w:hint="eastAsia"/>
        </w:rPr>
        <w:t>的</w:t>
      </w:r>
      <w:r>
        <w:t xml:space="preserve"> </w:t>
      </w:r>
      <w:r>
        <w:rPr>
          <w:rFonts w:hint="eastAsia"/>
        </w:rPr>
        <w:t>2.1525</w:t>
      </w:r>
      <w:r>
        <w:rPr>
          <w:rFonts w:hint="eastAsia"/>
        </w:rPr>
        <w:t>；其日均能耗分别为</w:t>
      </w:r>
      <w:r>
        <w:t xml:space="preserve"> 7367.57 </w:t>
      </w:r>
      <w:r>
        <w:rPr>
          <w:rFonts w:hint="eastAsia"/>
        </w:rPr>
        <w:t>和</w:t>
      </w:r>
      <w:r>
        <w:t xml:space="preserve"> 7409.42 </w:t>
      </w:r>
      <w:r>
        <w:rPr>
          <w:rFonts w:hint="eastAsia"/>
        </w:rPr>
        <w:t>kWh/day</w:t>
      </w:r>
      <w:r>
        <w:rPr>
          <w:rFonts w:hint="eastAsia"/>
        </w:rPr>
        <w:t>，也均高于</w:t>
      </w:r>
      <w:r>
        <w:t xml:space="preserve"> Full </w:t>
      </w:r>
      <w:r>
        <w:rPr>
          <w:rFonts w:hint="eastAsia"/>
        </w:rPr>
        <w:t>ET-PRL</w:t>
      </w:r>
      <w:r>
        <w:rPr>
          <w:rFonts w:hint="eastAsia"/>
        </w:rPr>
        <w:t>。机理上，</w:t>
      </w:r>
      <w:r>
        <w:rPr>
          <w:rFonts w:hint="eastAsia"/>
        </w:rPr>
        <w:t>Local</w:t>
      </w:r>
      <w:r>
        <w:t xml:space="preserve"> Threshold Only </w:t>
      </w:r>
      <w:r>
        <w:rPr>
          <w:rFonts w:hint="eastAsia"/>
        </w:rPr>
        <w:t>易出现短视跟随，即对短时扰动过敏而缺乏慢变量基线约束；</w:t>
      </w:r>
      <w:r>
        <w:rPr>
          <w:rFonts w:hint="eastAsia"/>
        </w:rPr>
        <w:t>Global</w:t>
      </w:r>
      <w:r>
        <w:t xml:space="preserve"> Threshold Only </w:t>
      </w:r>
      <w:r>
        <w:rPr>
          <w:rFonts w:hint="eastAsia"/>
        </w:rPr>
        <w:t>易出现响应滞后，即对分钟级外扰吸收不足并在后续需要更大幅度补偿控制。两类退化分别对应快速响应能力与长期稳态约束的单侧缺失。两者协同后，</w:t>
      </w:r>
      <w:r>
        <w:rPr>
          <w:rFonts w:hint="eastAsia"/>
        </w:rPr>
        <w:t>ET-PRL</w:t>
      </w:r>
      <w:r>
        <w:t xml:space="preserve"> </w:t>
      </w:r>
      <w:r>
        <w:rPr>
          <w:rFonts w:hint="eastAsia"/>
        </w:rPr>
        <w:t>才能在能耗、性能保持率与动作稀疏性之间实现稳定且可复现的综合优势。</w:t>
      </w:r>
    </w:p>
    <w:p w14:paraId="4804F94C" w14:textId="77777777" w:rsidR="00C2291B" w:rsidRDefault="00000000">
      <w:pPr>
        <w:pStyle w:val="Compact"/>
        <w:numPr>
          <w:ilvl w:val="0"/>
          <w:numId w:val="23"/>
        </w:numPr>
      </w:pPr>
      <w:r>
        <w:rPr>
          <w:rFonts w:hint="eastAsia"/>
        </w:rPr>
        <w:t>参数敏感性分析</w:t>
      </w:r>
    </w:p>
    <w:p w14:paraId="01DCC3E9" w14:textId="77777777" w:rsidR="00C2291B" w:rsidRDefault="00000000">
      <w:pPr>
        <w:pStyle w:val="FirstParagraph"/>
      </w:pPr>
      <w:r>
        <w:rPr>
          <w:rFonts w:hint="eastAsia"/>
        </w:rPr>
        <w:t>为评估</w:t>
      </w:r>
      <w:r>
        <w:t xml:space="preserve"> ET-PRL </w:t>
      </w:r>
      <w:r>
        <w:rPr>
          <w:rFonts w:hint="eastAsia"/>
        </w:rPr>
        <w:t>门控机制对超参数扰动的稳健性，本文对在线异常门控关键参数开展敏感性分析。结合第</w:t>
      </w:r>
      <w:r>
        <w:t xml:space="preserve"> 3.2 </w:t>
      </w:r>
      <w:r>
        <w:rPr>
          <w:rFonts w:hint="eastAsia"/>
        </w:rPr>
        <w:t>节与第</w:t>
      </w:r>
      <w:r>
        <w:t xml:space="preserve"> 3.3 </w:t>
      </w:r>
      <w:r>
        <w:rPr>
          <w:rFonts w:hint="eastAsia"/>
        </w:rPr>
        <w:t>节的机制定义，相关参数可归纳为两类。其一为阈值判定参数，包括阈值偏置项、分位数阈值、</w:t>
      </w:r>
      <w:r>
        <w:rPr>
          <w:rFonts w:hint="eastAsia"/>
        </w:rPr>
        <w:t>MAD</w:t>
      </w:r>
      <w:r>
        <w:rPr>
          <w:rFonts w:hint="eastAsia"/>
        </w:rPr>
        <w:t>（</w:t>
      </w:r>
      <w:r>
        <w:rPr>
          <w:rFonts w:hint="eastAsia"/>
        </w:rPr>
        <w:t>Median</w:t>
      </w:r>
      <w:r>
        <w:t xml:space="preserve"> Absolute </w:t>
      </w:r>
      <w:r>
        <w:rPr>
          <w:rFonts w:hint="eastAsia"/>
        </w:rPr>
        <w:t>Deviation</w:t>
      </w:r>
      <w:r>
        <w:rPr>
          <w:rFonts w:hint="eastAsia"/>
        </w:rPr>
        <w:t>）尺度系数、阈值局部更新率与触发滞回边际，主要影响触发边界的位置与判定严格程度。其二为统计结构参数，包括局部窗口长度、全局指数滑动平均衰减率（</w:t>
      </w:r>
      <w:r>
        <w:rPr>
          <w:rFonts w:hint="eastAsia"/>
        </w:rPr>
        <w:t>EMA</w:t>
      </w:r>
      <w:r>
        <w:t xml:space="preserve"> </w:t>
      </w:r>
      <w:r>
        <w:rPr>
          <w:rFonts w:hint="eastAsia"/>
        </w:rPr>
        <w:t>decay</w:t>
      </w:r>
      <w:r>
        <w:rPr>
          <w:rFonts w:hint="eastAsia"/>
        </w:rPr>
        <w:t>）、参考样本规模与阈值优化最小样本数，主要影响门控对分布漂移的响应尺度与更新稳定性。</w:t>
      </w:r>
    </w:p>
    <w:p w14:paraId="0D547952" w14:textId="77777777" w:rsidR="00C2291B" w:rsidRDefault="00000000">
      <w:pPr>
        <w:pStyle w:val="a0"/>
      </w:pPr>
      <w:r>
        <w:rPr>
          <w:rFonts w:hint="eastAsia"/>
        </w:rPr>
        <w:t>优化结果显示，阈值判定参数对触发稀疏性与性能保持能力具有显著影响。较优参数组合对应阈值偏置项</w:t>
      </w:r>
      <w:r>
        <w:t xml:space="preserve"> </w:t>
      </w:r>
      <w:r>
        <w:rPr>
          <w:rFonts w:hint="eastAsia"/>
        </w:rPr>
        <w:t>-0.0431</w:t>
      </w:r>
      <w:r>
        <w:rPr>
          <w:rFonts w:hint="eastAsia"/>
        </w:rPr>
        <w:t>、分位数阈值</w:t>
      </w:r>
      <w:r>
        <w:t xml:space="preserve"> 0.6675</w:t>
      </w:r>
      <w:r>
        <w:t>、</w:t>
      </w:r>
      <w:r>
        <w:t xml:space="preserve">MAD </w:t>
      </w:r>
      <w:r>
        <w:rPr>
          <w:rFonts w:hint="eastAsia"/>
        </w:rPr>
        <w:t>尺度系数</w:t>
      </w:r>
      <w:r>
        <w:t xml:space="preserve"> </w:t>
      </w:r>
      <w:r>
        <w:rPr>
          <w:rFonts w:hint="eastAsia"/>
        </w:rPr>
        <w:t>1.1353</w:t>
      </w:r>
      <w:r>
        <w:rPr>
          <w:rFonts w:hint="eastAsia"/>
        </w:rPr>
        <w:t>、阈</w:t>
      </w:r>
      <w:r>
        <w:rPr>
          <w:rFonts w:hint="eastAsia"/>
        </w:rPr>
        <w:lastRenderedPageBreak/>
        <w:t>值局部更新率</w:t>
      </w:r>
      <w:r>
        <w:t xml:space="preserve"> </w:t>
      </w:r>
      <w:r>
        <w:rPr>
          <w:rFonts w:hint="eastAsia"/>
        </w:rPr>
        <w:t>0.5957</w:t>
      </w:r>
      <w:r>
        <w:rPr>
          <w:rFonts w:hint="eastAsia"/>
        </w:rPr>
        <w:t>、触发滞回边际</w:t>
      </w:r>
      <w:r>
        <w:t xml:space="preserve"> </w:t>
      </w:r>
      <w:r>
        <w:rPr>
          <w:rFonts w:hint="eastAsia"/>
        </w:rPr>
        <w:t>0.0218</w:t>
      </w:r>
      <w:r>
        <w:rPr>
          <w:rFonts w:hint="eastAsia"/>
        </w:rPr>
        <w:t>。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14:paraId="7CBEF0B1" w14:textId="77777777" w:rsidR="00C2291B" w:rsidRDefault="00000000">
      <w:pPr>
        <w:pStyle w:val="a0"/>
      </w:pPr>
      <w:r>
        <w:rPr>
          <w:rFonts w:hint="eastAsia"/>
        </w:rPr>
        <w:t>从近最优解分布看，在目标函数值较最优值放宽</w:t>
      </w:r>
      <w:r>
        <w:t xml:space="preserve"> 10% </w:t>
      </w:r>
      <w:r>
        <w:rPr>
          <w:rFonts w:hint="eastAsia"/>
        </w:rPr>
        <w:t>的可行区域内，阈值偏置项稳定落在</w:t>
      </w:r>
      <w:r>
        <w:t xml:space="preserve"> -0.0431 </w:t>
      </w:r>
      <w:r>
        <w:rPr>
          <w:rFonts w:hint="eastAsia"/>
        </w:rPr>
        <w:t>至</w:t>
      </w:r>
      <w:r>
        <w:t xml:space="preserve"> </w:t>
      </w:r>
      <w:r>
        <w:rPr>
          <w:rFonts w:hint="eastAsia"/>
        </w:rPr>
        <w:t>-0.0329</w:t>
      </w:r>
      <w:r>
        <w:rPr>
          <w:rFonts w:hint="eastAsia"/>
        </w:rPr>
        <w:t>，分位数阈值稳定落在</w:t>
      </w:r>
      <w:r>
        <w:t xml:space="preserve"> 0.6338 </w:t>
      </w:r>
      <w:r>
        <w:rPr>
          <w:rFonts w:hint="eastAsia"/>
        </w:rPr>
        <w:t>至</w:t>
      </w:r>
      <w:r>
        <w:t xml:space="preserve"> </w:t>
      </w:r>
      <w:r>
        <w:rPr>
          <w:rFonts w:hint="eastAsia"/>
        </w:rPr>
        <w:t>0.6675</w:t>
      </w:r>
      <w:r>
        <w:rPr>
          <w:rFonts w:hint="eastAsia"/>
        </w:rPr>
        <w:t>，污染率参数稳定落在</w:t>
      </w:r>
      <w:r>
        <w:t xml:space="preserve"> 0.2571 </w:t>
      </w:r>
      <w:r>
        <w:rPr>
          <w:rFonts w:hint="eastAsia"/>
        </w:rPr>
        <w:t>至</w:t>
      </w:r>
      <w:r>
        <w:t xml:space="preserve"> </w:t>
      </w:r>
      <w:r>
        <w:rPr>
          <w:rFonts w:hint="eastAsia"/>
        </w:rPr>
        <w:t>0.3104</w:t>
      </w:r>
      <w:r>
        <w:rPr>
          <w:rFonts w:hint="eastAsia"/>
        </w:rPr>
        <w:t>。该结果进一步说明，阈值判定参数并非单点可行，而是在有限区间内存在可复现的稳定解域。</w:t>
      </w:r>
    </w:p>
    <w:p w14:paraId="4424A616" w14:textId="77777777" w:rsidR="00C2291B" w:rsidRDefault="00000000">
      <w:pPr>
        <w:pStyle w:val="a0"/>
      </w:pPr>
      <w:r>
        <w:rPr>
          <w:rFonts w:hint="eastAsia"/>
        </w:rPr>
        <w:t>优化结果同时表明，统计结构参数主要决定门控对短期扰动与长期漂移的折衷方式。较优参数组合为局部权重</w:t>
      </w:r>
      <w:r>
        <w:t xml:space="preserve"> </w:t>
      </w:r>
      <w:r>
        <w:rPr>
          <w:rFonts w:hint="eastAsia"/>
        </w:rPr>
        <w:t>0.9486</w:t>
      </w:r>
      <w:r>
        <w:rPr>
          <w:rFonts w:hint="eastAsia"/>
        </w:rPr>
        <w:t>、全局</w:t>
      </w:r>
      <w:r>
        <w:t xml:space="preserve"> EMA </w:t>
      </w:r>
      <w:r>
        <w:rPr>
          <w:rFonts w:hint="eastAsia"/>
        </w:rPr>
        <w:t>衰减率</w:t>
      </w:r>
      <w:r>
        <w:t xml:space="preserve"> </w:t>
      </w:r>
      <w:r>
        <w:rPr>
          <w:rFonts w:hint="eastAsia"/>
        </w:rPr>
        <w:t>0.0819</w:t>
      </w:r>
      <w:r>
        <w:rPr>
          <w:rFonts w:hint="eastAsia"/>
        </w:rPr>
        <w:t>、局部窗口长度</w:t>
      </w:r>
      <w:r>
        <w:t xml:space="preserve"> </w:t>
      </w:r>
      <w:r>
        <w:rPr>
          <w:rFonts w:hint="eastAsia"/>
        </w:rPr>
        <w:t>227</w:t>
      </w:r>
      <w:r>
        <w:rPr>
          <w:rFonts w:hint="eastAsia"/>
        </w:rPr>
        <w:t>、参考样本规模</w:t>
      </w:r>
      <w:r>
        <w:t xml:space="preserve"> </w:t>
      </w:r>
      <w:r>
        <w:rPr>
          <w:rFonts w:hint="eastAsia"/>
        </w:rPr>
        <w:t>910</w:t>
      </w:r>
      <w:r>
        <w:rPr>
          <w:rFonts w:hint="eastAsia"/>
        </w:rPr>
        <w:t>、阈值优化最小样本数</w:t>
      </w:r>
      <w:r>
        <w:t xml:space="preserve"> </w:t>
      </w:r>
      <w:r>
        <w:rPr>
          <w:rFonts w:hint="eastAsia"/>
        </w:rPr>
        <w:t>104</w:t>
      </w:r>
      <w:r>
        <w:rPr>
          <w:rFonts w:hint="eastAsia"/>
        </w:rPr>
        <w:t>。相较默认配置，局部窗口长度由</w:t>
      </w:r>
      <w:r>
        <w:t xml:space="preserve"> 135 </w:t>
      </w:r>
      <w:r>
        <w:rPr>
          <w:rFonts w:hint="eastAsia"/>
        </w:rPr>
        <w:t>增加至</w:t>
      </w:r>
      <w:r>
        <w:t xml:space="preserve"> </w:t>
      </w:r>
      <w:r>
        <w:rPr>
          <w:rFonts w:hint="eastAsia"/>
        </w:rPr>
        <w:t>227</w:t>
      </w:r>
      <w:r>
        <w:rPr>
          <w:rFonts w:hint="eastAsia"/>
        </w:rPr>
        <w:t>，参考样本规模由</w:t>
      </w:r>
      <w:r>
        <w:t xml:space="preserve"> 700 </w:t>
      </w:r>
      <w:r>
        <w:rPr>
          <w:rFonts w:hint="eastAsia"/>
        </w:rPr>
        <w:t>增加至</w:t>
      </w:r>
      <w:r>
        <w:t xml:space="preserve"> </w:t>
      </w:r>
      <w:r>
        <w:rPr>
          <w:rFonts w:hint="eastAsia"/>
        </w:rPr>
        <w:t>910</w:t>
      </w:r>
      <w:r>
        <w:rPr>
          <w:rFonts w:hint="eastAsia"/>
        </w:rPr>
        <w:t>，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14:paraId="4D0464FF" w14:textId="77777777" w:rsidR="00C2291B" w:rsidRDefault="00000000">
      <w:pPr>
        <w:pStyle w:val="a0"/>
      </w:pPr>
      <w:r>
        <w:rPr>
          <w:rFonts w:hint="eastAsia"/>
        </w:rPr>
        <w:t>进一步地，在目标函数值放宽</w:t>
      </w:r>
      <w:r>
        <w:t xml:space="preserve"> 10% </w:t>
      </w:r>
      <w:r>
        <w:rPr>
          <w:rFonts w:hint="eastAsia"/>
        </w:rPr>
        <w:t>的近最优区域中，局部权重集中于</w:t>
      </w:r>
      <w:r>
        <w:t xml:space="preserve"> 0.8965 </w:t>
      </w:r>
      <w:r>
        <w:rPr>
          <w:rFonts w:hint="eastAsia"/>
        </w:rPr>
        <w:t>至</w:t>
      </w:r>
      <w:r>
        <w:t xml:space="preserve"> </w:t>
      </w:r>
      <w:r>
        <w:rPr>
          <w:rFonts w:hint="eastAsia"/>
        </w:rPr>
        <w:t>0.9486</w:t>
      </w:r>
      <w:r>
        <w:rPr>
          <w:rFonts w:hint="eastAsia"/>
        </w:rPr>
        <w:t>，全局</w:t>
      </w:r>
      <w:r>
        <w:t xml:space="preserve"> EMA </w:t>
      </w:r>
      <w:r>
        <w:rPr>
          <w:rFonts w:hint="eastAsia"/>
        </w:rPr>
        <w:t>衰减率集中于</w:t>
      </w:r>
      <w:r>
        <w:t xml:space="preserve"> 0.0745 </w:t>
      </w:r>
      <w:r>
        <w:rPr>
          <w:rFonts w:hint="eastAsia"/>
        </w:rPr>
        <w:t>至</w:t>
      </w:r>
      <w:r>
        <w:t xml:space="preserve"> </w:t>
      </w:r>
      <w:r>
        <w:rPr>
          <w:rFonts w:hint="eastAsia"/>
        </w:rPr>
        <w:t>0.0819</w:t>
      </w:r>
      <w:r>
        <w:rPr>
          <w:rFonts w:hint="eastAsia"/>
        </w:rPr>
        <w:t>，局部窗口长度集中于</w:t>
      </w:r>
      <w:r>
        <w:t xml:space="preserve"> 225 </w:t>
      </w:r>
      <w:r>
        <w:rPr>
          <w:rFonts w:hint="eastAsia"/>
        </w:rPr>
        <w:t>至</w:t>
      </w:r>
      <w:r>
        <w:t xml:space="preserve"> </w:t>
      </w:r>
      <w:r>
        <w:rPr>
          <w:rFonts w:hint="eastAsia"/>
        </w:rPr>
        <w:t>227</w:t>
      </w:r>
      <w:r>
        <w:rPr>
          <w:rFonts w:hint="eastAsia"/>
        </w:rPr>
        <w:t>。该分布表明，统计结构参数的有效区间相对收敛，门控机制在该区间内表现出较好的配置稳定性。</w:t>
      </w:r>
    </w:p>
    <w:p w14:paraId="3CA35DA8" w14:textId="77777777" w:rsidR="00C2291B" w:rsidRDefault="00000000">
      <w:pPr>
        <w:pStyle w:val="a0"/>
      </w:pPr>
      <w:r>
        <w:rPr>
          <w:rFonts w:hint="eastAsia"/>
        </w:rPr>
        <w:t>如图</w:t>
      </w:r>
      <w:r>
        <w:t xml:space="preserve"> 5-2-6 </w:t>
      </w:r>
      <w:r>
        <w:rPr>
          <w:rFonts w:hint="eastAsia"/>
        </w:rPr>
        <w:t>所示，各关键参数在近最优目标值邻域内均呈现出稳定区间，表明</w:t>
      </w:r>
      <w:r>
        <w:t xml:space="preserve"> ET-PRL </w:t>
      </w:r>
      <w:r>
        <w:rPr>
          <w:rFonts w:hint="eastAsia"/>
        </w:rPr>
        <w:t>门控参数并非单点可行，而是存在可复现的有效解域。</w:t>
      </w:r>
    </w:p>
    <w:p w14:paraId="624CD9C2" w14:textId="77777777" w:rsidR="00C2291B" w:rsidRDefault="00000000">
      <w:pPr>
        <w:pStyle w:val="CaptionedFigure"/>
      </w:pPr>
      <w:r>
        <w:rPr>
          <w:noProof/>
        </w:rPr>
        <w:lastRenderedPageBreak/>
        <w:drawing>
          <wp:inline distT="0" distB="0" distL="0" distR="0" wp14:anchorId="3183A2B5" wp14:editId="2205B912">
            <wp:extent cx="5334000" cy="2771472"/>
            <wp:effectExtent l="0" t="0" r="0" b="0"/>
            <wp:docPr id="49" name="Picture" descr="图 5-2-6 门控关键参数敏感性与近最优解域"/>
            <wp:cNvGraphicFramePr/>
            <a:graphic xmlns:a="http://schemas.openxmlformats.org/drawingml/2006/main">
              <a:graphicData uri="http://schemas.openxmlformats.org/drawingml/2006/picture">
                <pic:pic xmlns:pic="http://schemas.openxmlformats.org/drawingml/2006/picture">
                  <pic:nvPicPr>
                    <pic:cNvPr id="50" name="Picture" descr="../pics/fig_5_2_6_gate_key_parameter_sensitivity_and_near_optimal_region.svg"/>
                    <pic:cNvPicPr>
                      <a:picLocks noChangeAspect="1" noChangeArrowheads="1"/>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771472"/>
                    </a:xfrm>
                    <a:prstGeom prst="rect">
                      <a:avLst/>
                    </a:prstGeom>
                    <a:noFill/>
                    <a:ln w="9525">
                      <a:noFill/>
                      <a:headEnd/>
                      <a:tailEnd/>
                    </a:ln>
                  </pic:spPr>
                </pic:pic>
              </a:graphicData>
            </a:graphic>
          </wp:inline>
        </w:drawing>
      </w:r>
    </w:p>
    <w:p w14:paraId="394ADE9D" w14:textId="77777777" w:rsidR="00C2291B" w:rsidRDefault="00000000">
      <w:pPr>
        <w:pStyle w:val="ImageCaption"/>
      </w:pPr>
      <w:r>
        <w:rPr>
          <w:rFonts w:hint="eastAsia"/>
        </w:rPr>
        <w:t>图</w:t>
      </w:r>
      <w:r>
        <w:t xml:space="preserve"> 5-2-6 </w:t>
      </w:r>
      <w:r>
        <w:rPr>
          <w:rFonts w:hint="eastAsia"/>
        </w:rPr>
        <w:t>门控关键参数敏感性与近最优解域</w:t>
      </w:r>
    </w:p>
    <w:p w14:paraId="084AFF89" w14:textId="77777777" w:rsidR="00C2291B" w:rsidRDefault="00000000">
      <w:pPr>
        <w:pStyle w:val="a0"/>
      </w:pPr>
      <w:r>
        <w:rPr>
          <w:rFonts w:hint="eastAsia"/>
        </w:rPr>
        <w:t>图</w:t>
      </w:r>
      <w:r>
        <w:t xml:space="preserve"> 5-2-6 </w:t>
      </w:r>
      <w:r>
        <w:rPr>
          <w:rFonts w:hint="eastAsia"/>
        </w:rPr>
        <w:t>门控关键参数敏感性与近最优解域</w:t>
      </w:r>
    </w:p>
    <w:p w14:paraId="4039DDB9" w14:textId="77777777" w:rsidR="00C2291B" w:rsidRDefault="00000000">
      <w:pPr>
        <w:pStyle w:val="a0"/>
      </w:pPr>
      <w:r>
        <w:rPr>
          <w:rFonts w:hint="eastAsia"/>
        </w:rPr>
        <w:t>综上，</w:t>
      </w:r>
      <w:r>
        <w:rPr>
          <w:rFonts w:hint="eastAsia"/>
        </w:rPr>
        <w:t>ET-PRL</w:t>
      </w:r>
      <w:r>
        <w:t xml:space="preserve"> </w:t>
      </w:r>
      <w:r>
        <w:rPr>
          <w:rFonts w:hint="eastAsia"/>
        </w:rPr>
        <w:t>的参数敏感性本质上体现为触发稀疏性与控制保持能力之间的结构化权衡。过低阈值会导致更新过密，过高阈值会削弱对负荷变化的及时响应；局部窗口长度、参考样本规模与局部</w:t>
      </w:r>
      <w:r>
        <w:rPr>
          <w:rFonts w:hint="eastAsia"/>
        </w:rPr>
        <w:t>-</w:t>
      </w:r>
      <w:r>
        <w:rPr>
          <w:rFonts w:hint="eastAsia"/>
        </w:rPr>
        <w:t>全局融合权重共同决定该权衡在跨工况条件下的稳定性。由此可见，本框架的性能改进并非来源于单一参数取值，而是由阈值判定、统计平滑与多尺度分数融合的协同机制共同实现。</w:t>
      </w:r>
    </w:p>
    <w:p w14:paraId="06FBC978" w14:textId="77777777" w:rsidR="00C2291B" w:rsidRDefault="00000000">
      <w:pPr>
        <w:pStyle w:val="1"/>
      </w:pPr>
      <w:bookmarkStart w:id="19" w:name="总结"/>
      <w:bookmarkEnd w:id="16"/>
      <w:bookmarkEnd w:id="18"/>
      <w:r>
        <w:t xml:space="preserve">6. </w:t>
      </w:r>
      <w:r>
        <w:rPr>
          <w:rFonts w:hint="eastAsia"/>
        </w:rPr>
        <w:t>总结</w:t>
      </w:r>
    </w:p>
    <w:p w14:paraId="046CAA1C" w14:textId="77777777" w:rsidR="00C2291B" w:rsidRDefault="00000000">
      <w:pPr>
        <w:pStyle w:val="1"/>
      </w:pPr>
      <w:bookmarkStart w:id="20" w:name="附录-a-评价指标体系与优化方向"/>
      <w:bookmarkEnd w:id="19"/>
      <w:r>
        <w:rPr>
          <w:rFonts w:hint="eastAsia"/>
        </w:rPr>
        <w:t>附录</w:t>
      </w:r>
      <w:r>
        <w:t xml:space="preserve"> A </w:t>
      </w:r>
      <w:r>
        <w:rPr>
          <w:rFonts w:hint="eastAsia"/>
        </w:rPr>
        <w:t>评价指标体系与优化方向</w:t>
      </w:r>
    </w:p>
    <w:p w14:paraId="57C69969" w14:textId="77777777" w:rsidR="00C2291B" w:rsidRDefault="00000000">
      <w:pPr>
        <w:pStyle w:val="FirstParagraph"/>
      </w:pPr>
      <w:r>
        <w:rPr>
          <w:rFonts w:hint="eastAsia"/>
        </w:rPr>
        <w:t>表</w:t>
      </w:r>
      <w:r>
        <w:t xml:space="preserve"> A </w:t>
      </w:r>
      <w:r>
        <w:rPr>
          <w:rFonts w:hint="eastAsia"/>
        </w:rPr>
        <w:t>评价指标体系与优化方向</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C2291B" w14:paraId="3193FA50" w14:textId="77777777" w:rsidTr="00C2291B">
        <w:trPr>
          <w:cnfStyle w:val="100000000000" w:firstRow="1" w:lastRow="0" w:firstColumn="0" w:lastColumn="0" w:oddVBand="0" w:evenVBand="0" w:oddHBand="0" w:evenHBand="0" w:firstRowFirstColumn="0" w:firstRowLastColumn="0" w:lastRowFirstColumn="0" w:lastRowLastColumn="0"/>
          <w:tblHeader/>
        </w:trPr>
        <w:tc>
          <w:tcPr>
            <w:tcW w:w="1584" w:type="dxa"/>
          </w:tcPr>
          <w:p w14:paraId="78F8358C" w14:textId="77777777" w:rsidR="00C2291B" w:rsidRDefault="00000000">
            <w:pPr>
              <w:pStyle w:val="Compact"/>
            </w:pPr>
            <w:r>
              <w:rPr>
                <w:rFonts w:hint="eastAsia"/>
                <w:b/>
                <w:bCs/>
              </w:rPr>
              <w:t>类别</w:t>
            </w:r>
            <w:r>
              <w:rPr>
                <w:b/>
                <w:bCs/>
              </w:rPr>
              <w:t xml:space="preserve"> (Category)</w:t>
            </w:r>
          </w:p>
        </w:tc>
        <w:tc>
          <w:tcPr>
            <w:tcW w:w="1584" w:type="dxa"/>
          </w:tcPr>
          <w:p w14:paraId="652B24FB" w14:textId="77777777" w:rsidR="00C2291B" w:rsidRDefault="00000000">
            <w:pPr>
              <w:pStyle w:val="Compact"/>
            </w:pPr>
            <w:r>
              <w:rPr>
                <w:rFonts w:hint="eastAsia"/>
                <w:b/>
                <w:bCs/>
              </w:rPr>
              <w:t>指标名称</w:t>
            </w:r>
            <w:r>
              <w:rPr>
                <w:b/>
                <w:bCs/>
              </w:rPr>
              <w:t xml:space="preserve"> (Metric)</w:t>
            </w:r>
          </w:p>
        </w:tc>
        <w:tc>
          <w:tcPr>
            <w:tcW w:w="1584" w:type="dxa"/>
          </w:tcPr>
          <w:p w14:paraId="4336AB64" w14:textId="77777777" w:rsidR="00C2291B" w:rsidRDefault="00000000">
            <w:pPr>
              <w:pStyle w:val="Compact"/>
            </w:pPr>
            <w:r>
              <w:rPr>
                <w:rFonts w:hint="eastAsia"/>
                <w:b/>
                <w:bCs/>
              </w:rPr>
              <w:t>符号</w:t>
            </w:r>
            <w:r>
              <w:rPr>
                <w:b/>
                <w:bCs/>
              </w:rPr>
              <w:t xml:space="preserve"> (Symbol)</w:t>
            </w:r>
          </w:p>
        </w:tc>
        <w:tc>
          <w:tcPr>
            <w:tcW w:w="1584" w:type="dxa"/>
          </w:tcPr>
          <w:p w14:paraId="2359FEFC" w14:textId="77777777" w:rsidR="00C2291B" w:rsidRDefault="00000000">
            <w:pPr>
              <w:pStyle w:val="Compact"/>
            </w:pPr>
            <w:r>
              <w:rPr>
                <w:rFonts w:hint="eastAsia"/>
                <w:b/>
                <w:bCs/>
              </w:rPr>
              <w:t>单位</w:t>
            </w:r>
            <w:r>
              <w:rPr>
                <w:b/>
                <w:bCs/>
              </w:rPr>
              <w:t xml:space="preserve"> (Unit)</w:t>
            </w:r>
          </w:p>
        </w:tc>
        <w:tc>
          <w:tcPr>
            <w:tcW w:w="1584" w:type="dxa"/>
          </w:tcPr>
          <w:p w14:paraId="4E97D35A" w14:textId="77777777" w:rsidR="00C2291B" w:rsidRDefault="00000000">
            <w:pPr>
              <w:pStyle w:val="Compact"/>
            </w:pPr>
            <w:r>
              <w:rPr>
                <w:rFonts w:hint="eastAsia"/>
                <w:b/>
                <w:bCs/>
              </w:rPr>
              <w:t>优化目标</w:t>
            </w:r>
            <w:r>
              <w:rPr>
                <w:b/>
                <w:bCs/>
              </w:rPr>
              <w:t xml:space="preserve"> (Goal)</w:t>
            </w:r>
          </w:p>
        </w:tc>
      </w:tr>
      <w:tr w:rsidR="00C2291B" w14:paraId="78F6D3FB" w14:textId="77777777">
        <w:tc>
          <w:tcPr>
            <w:tcW w:w="1584" w:type="dxa"/>
          </w:tcPr>
          <w:p w14:paraId="14F6A801" w14:textId="77777777" w:rsidR="00C2291B" w:rsidRDefault="00000000">
            <w:pPr>
              <w:pStyle w:val="Compact"/>
            </w:pPr>
            <w:r>
              <w:rPr>
                <w:rFonts w:hint="eastAsia"/>
                <w:b/>
                <w:bCs/>
              </w:rPr>
              <w:t>能耗效率</w:t>
            </w:r>
          </w:p>
        </w:tc>
        <w:tc>
          <w:tcPr>
            <w:tcW w:w="1584" w:type="dxa"/>
          </w:tcPr>
          <w:p w14:paraId="5597F924" w14:textId="77777777" w:rsidR="00C2291B" w:rsidRDefault="00000000">
            <w:pPr>
              <w:pStyle w:val="Compact"/>
            </w:pPr>
            <w:r>
              <w:rPr>
                <w:rFonts w:hint="eastAsia"/>
              </w:rPr>
              <w:t>日均能耗</w:t>
            </w:r>
          </w:p>
        </w:tc>
        <w:tc>
          <w:tcPr>
            <w:tcW w:w="1584" w:type="dxa"/>
          </w:tcPr>
          <w:p w14:paraId="423DBE8F" w14:textId="77777777" w:rsidR="00C2291B"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Pr>
          <w:p w14:paraId="55C43DAD" w14:textId="77777777" w:rsidR="00C2291B" w:rsidRDefault="00000000">
            <w:pPr>
              <w:pStyle w:val="Compact"/>
            </w:pPr>
            <w:r>
              <w:t>kWh/day</w:t>
            </w:r>
          </w:p>
        </w:tc>
        <w:tc>
          <w:tcPr>
            <w:tcW w:w="1584" w:type="dxa"/>
          </w:tcPr>
          <w:p w14:paraId="647F0BDC" w14:textId="77777777" w:rsidR="00C2291B" w:rsidRDefault="00000000">
            <w:pPr>
              <w:pStyle w:val="Compact"/>
            </w:pPr>
            <w:r>
              <w:t>Minimize</w:t>
            </w:r>
          </w:p>
        </w:tc>
      </w:tr>
      <w:tr w:rsidR="00C2291B" w14:paraId="11F7F974" w14:textId="77777777">
        <w:tc>
          <w:tcPr>
            <w:tcW w:w="1584" w:type="dxa"/>
          </w:tcPr>
          <w:p w14:paraId="302F34F4" w14:textId="77777777" w:rsidR="00C2291B" w:rsidRDefault="00C2291B">
            <w:pPr>
              <w:pStyle w:val="Compact"/>
            </w:pPr>
          </w:p>
        </w:tc>
        <w:tc>
          <w:tcPr>
            <w:tcW w:w="1584" w:type="dxa"/>
          </w:tcPr>
          <w:p w14:paraId="1E0F365B" w14:textId="77777777" w:rsidR="00C2291B" w:rsidRDefault="00000000">
            <w:pPr>
              <w:pStyle w:val="Compact"/>
            </w:pPr>
            <w:r>
              <w:rPr>
                <w:rFonts w:hint="eastAsia"/>
              </w:rPr>
              <w:t>相对节能率</w:t>
            </w:r>
          </w:p>
        </w:tc>
        <w:tc>
          <w:tcPr>
            <w:tcW w:w="1584" w:type="dxa"/>
          </w:tcPr>
          <w:p w14:paraId="48A50000" w14:textId="77777777" w:rsidR="00C2291B"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Pr>
          <w:p w14:paraId="7CFDC9A7" w14:textId="77777777" w:rsidR="00C2291B" w:rsidRDefault="00000000">
            <w:pPr>
              <w:pStyle w:val="Compact"/>
            </w:pPr>
            <w:r>
              <w:t>%</w:t>
            </w:r>
          </w:p>
        </w:tc>
        <w:tc>
          <w:tcPr>
            <w:tcW w:w="1584" w:type="dxa"/>
          </w:tcPr>
          <w:p w14:paraId="2F2DFAB7" w14:textId="77777777" w:rsidR="00C2291B" w:rsidRDefault="00000000">
            <w:pPr>
              <w:pStyle w:val="Compact"/>
            </w:pPr>
            <w:r>
              <w:t>Maximize</w:t>
            </w:r>
          </w:p>
        </w:tc>
      </w:tr>
      <w:tr w:rsidR="00C2291B" w14:paraId="695118D1" w14:textId="77777777">
        <w:tc>
          <w:tcPr>
            <w:tcW w:w="1584" w:type="dxa"/>
          </w:tcPr>
          <w:p w14:paraId="712988BE" w14:textId="77777777" w:rsidR="00C2291B" w:rsidRDefault="00C2291B">
            <w:pPr>
              <w:pStyle w:val="Compact"/>
            </w:pPr>
          </w:p>
        </w:tc>
        <w:tc>
          <w:tcPr>
            <w:tcW w:w="1584" w:type="dxa"/>
          </w:tcPr>
          <w:p w14:paraId="616FC44D" w14:textId="77777777" w:rsidR="00C2291B" w:rsidRDefault="00000000">
            <w:pPr>
              <w:pStyle w:val="Compact"/>
            </w:pPr>
            <w:r>
              <w:rPr>
                <w:rFonts w:hint="eastAsia"/>
              </w:rPr>
              <w:t>平均冷机功率</w:t>
            </w:r>
          </w:p>
        </w:tc>
        <w:tc>
          <w:tcPr>
            <w:tcW w:w="1584" w:type="dxa"/>
          </w:tcPr>
          <w:p w14:paraId="17CAB1BD" w14:textId="77777777" w:rsidR="00C2291B"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Pr>
          <w:p w14:paraId="56116B7D" w14:textId="77777777" w:rsidR="00C2291B" w:rsidRDefault="00000000">
            <w:pPr>
              <w:pStyle w:val="Compact"/>
            </w:pPr>
            <w:r>
              <w:t>kW</w:t>
            </w:r>
          </w:p>
        </w:tc>
        <w:tc>
          <w:tcPr>
            <w:tcW w:w="1584" w:type="dxa"/>
          </w:tcPr>
          <w:p w14:paraId="75556D5A" w14:textId="77777777" w:rsidR="00C2291B" w:rsidRDefault="00000000">
            <w:pPr>
              <w:pStyle w:val="Compact"/>
            </w:pPr>
            <w:r>
              <w:t>Minimize</w:t>
            </w:r>
          </w:p>
        </w:tc>
      </w:tr>
      <w:tr w:rsidR="00C2291B" w14:paraId="4FFCD78B" w14:textId="77777777">
        <w:tc>
          <w:tcPr>
            <w:tcW w:w="1584" w:type="dxa"/>
          </w:tcPr>
          <w:p w14:paraId="67320555" w14:textId="77777777" w:rsidR="00C2291B" w:rsidRDefault="00000000">
            <w:pPr>
              <w:pStyle w:val="Compact"/>
            </w:pPr>
            <w:r>
              <w:rPr>
                <w:rFonts w:hint="eastAsia"/>
                <w:b/>
                <w:bCs/>
              </w:rPr>
              <w:t>温度控制</w:t>
            </w:r>
          </w:p>
        </w:tc>
        <w:tc>
          <w:tcPr>
            <w:tcW w:w="1584" w:type="dxa"/>
          </w:tcPr>
          <w:p w14:paraId="05036DF1" w14:textId="77777777" w:rsidR="00C2291B" w:rsidRDefault="00000000">
            <w:pPr>
              <w:pStyle w:val="Compact"/>
            </w:pPr>
            <w:r>
              <w:rPr>
                <w:rFonts w:hint="eastAsia"/>
              </w:rPr>
              <w:t>动作平滑度</w:t>
            </w:r>
          </w:p>
        </w:tc>
        <w:tc>
          <w:tcPr>
            <w:tcW w:w="1584" w:type="dxa"/>
          </w:tcPr>
          <w:p w14:paraId="6F9D64C7" w14:textId="77777777" w:rsidR="00C2291B"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1584" w:type="dxa"/>
          </w:tcPr>
          <w:p w14:paraId="04302946" w14:textId="77777777" w:rsidR="00C2291B" w:rsidRDefault="00000000">
            <w:pPr>
              <w:pStyle w:val="Compact"/>
            </w:pPr>
            <w:r>
              <w:t>-</w:t>
            </w:r>
          </w:p>
        </w:tc>
        <w:tc>
          <w:tcPr>
            <w:tcW w:w="1584" w:type="dxa"/>
          </w:tcPr>
          <w:p w14:paraId="46AC0306" w14:textId="77777777" w:rsidR="00C2291B" w:rsidRDefault="00000000">
            <w:pPr>
              <w:pStyle w:val="Compact"/>
            </w:pPr>
            <w:r>
              <w:t>Minimize</w:t>
            </w:r>
          </w:p>
        </w:tc>
      </w:tr>
      <w:tr w:rsidR="00C2291B" w14:paraId="7968188E" w14:textId="77777777">
        <w:tc>
          <w:tcPr>
            <w:tcW w:w="1584" w:type="dxa"/>
          </w:tcPr>
          <w:p w14:paraId="31E5CB96" w14:textId="77777777" w:rsidR="00C2291B" w:rsidRDefault="00C2291B">
            <w:pPr>
              <w:pStyle w:val="Compact"/>
            </w:pPr>
          </w:p>
        </w:tc>
        <w:tc>
          <w:tcPr>
            <w:tcW w:w="1584" w:type="dxa"/>
          </w:tcPr>
          <w:p w14:paraId="57BFF608" w14:textId="77777777" w:rsidR="00C2291B" w:rsidRDefault="00000000">
            <w:pPr>
              <w:pStyle w:val="Compact"/>
            </w:pPr>
            <w:r>
              <w:rPr>
                <w:rFonts w:hint="eastAsia"/>
              </w:rPr>
              <w:t>性能保持率</w:t>
            </w:r>
          </w:p>
        </w:tc>
        <w:tc>
          <w:tcPr>
            <w:tcW w:w="1584" w:type="dxa"/>
          </w:tcPr>
          <w:p w14:paraId="7A4E881D" w14:textId="77777777" w:rsidR="00C2291B" w:rsidRDefault="00000000">
            <w:pPr>
              <w:pStyle w:val="Compact"/>
            </w:pPr>
            <w:r>
              <w:t>PPR</w:t>
            </w:r>
          </w:p>
        </w:tc>
        <w:tc>
          <w:tcPr>
            <w:tcW w:w="1584" w:type="dxa"/>
          </w:tcPr>
          <w:p w14:paraId="31C8C05D" w14:textId="77777777" w:rsidR="00C2291B" w:rsidRDefault="00000000">
            <w:pPr>
              <w:pStyle w:val="Compact"/>
            </w:pPr>
            <w:r>
              <w:t>%</w:t>
            </w:r>
          </w:p>
        </w:tc>
        <w:tc>
          <w:tcPr>
            <w:tcW w:w="1584" w:type="dxa"/>
          </w:tcPr>
          <w:p w14:paraId="7D888520" w14:textId="77777777" w:rsidR="00C2291B" w:rsidRDefault="00000000">
            <w:pPr>
              <w:pStyle w:val="Compact"/>
            </w:pPr>
            <w:r>
              <w:t>Maximize</w:t>
            </w:r>
          </w:p>
        </w:tc>
      </w:tr>
      <w:tr w:rsidR="00C2291B" w14:paraId="385CAD54" w14:textId="77777777">
        <w:tc>
          <w:tcPr>
            <w:tcW w:w="1584" w:type="dxa"/>
          </w:tcPr>
          <w:p w14:paraId="2982EA36" w14:textId="77777777" w:rsidR="00C2291B" w:rsidRDefault="00000000">
            <w:pPr>
              <w:pStyle w:val="Compact"/>
            </w:pPr>
            <w:r>
              <w:rPr>
                <w:rFonts w:hint="eastAsia"/>
                <w:b/>
                <w:bCs/>
              </w:rPr>
              <w:t>控制稀疏性</w:t>
            </w:r>
          </w:p>
        </w:tc>
        <w:tc>
          <w:tcPr>
            <w:tcW w:w="1584" w:type="dxa"/>
          </w:tcPr>
          <w:p w14:paraId="1E5FDF61" w14:textId="77777777" w:rsidR="00C2291B" w:rsidRDefault="00000000">
            <w:pPr>
              <w:pStyle w:val="Compact"/>
            </w:pPr>
            <w:r>
              <w:rPr>
                <w:rFonts w:hint="eastAsia"/>
              </w:rPr>
              <w:t>日均触发次数</w:t>
            </w:r>
          </w:p>
        </w:tc>
        <w:tc>
          <w:tcPr>
            <w:tcW w:w="1584" w:type="dxa"/>
          </w:tcPr>
          <w:p w14:paraId="5F0943D5" w14:textId="77777777" w:rsidR="00C2291B"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Pr>
          <w:p w14:paraId="017C3A0B" w14:textId="77777777" w:rsidR="00C2291B" w:rsidRDefault="00000000">
            <w:pPr>
              <w:pStyle w:val="Compact"/>
            </w:pPr>
            <w:r>
              <w:t>count/day</w:t>
            </w:r>
          </w:p>
        </w:tc>
        <w:tc>
          <w:tcPr>
            <w:tcW w:w="1584" w:type="dxa"/>
          </w:tcPr>
          <w:p w14:paraId="15CB6E8C" w14:textId="77777777" w:rsidR="00C2291B" w:rsidRDefault="00000000">
            <w:pPr>
              <w:pStyle w:val="Compact"/>
            </w:pPr>
            <w:r>
              <w:t>Minimize</w:t>
            </w:r>
          </w:p>
        </w:tc>
      </w:tr>
      <w:tr w:rsidR="00C2291B" w14:paraId="61170365" w14:textId="77777777">
        <w:tc>
          <w:tcPr>
            <w:tcW w:w="1584" w:type="dxa"/>
          </w:tcPr>
          <w:p w14:paraId="567244E5" w14:textId="77777777" w:rsidR="00C2291B" w:rsidRDefault="00C2291B">
            <w:pPr>
              <w:pStyle w:val="Compact"/>
            </w:pPr>
          </w:p>
        </w:tc>
        <w:tc>
          <w:tcPr>
            <w:tcW w:w="1584" w:type="dxa"/>
          </w:tcPr>
          <w:p w14:paraId="78C9F162" w14:textId="77777777" w:rsidR="00C2291B" w:rsidRDefault="00000000">
            <w:pPr>
              <w:pStyle w:val="Compact"/>
            </w:pPr>
            <w:r>
              <w:rPr>
                <w:rFonts w:hint="eastAsia"/>
              </w:rPr>
              <w:t>动作更新总次数</w:t>
            </w:r>
          </w:p>
        </w:tc>
        <w:tc>
          <w:tcPr>
            <w:tcW w:w="1584" w:type="dxa"/>
          </w:tcPr>
          <w:p w14:paraId="763E47E4" w14:textId="77777777" w:rsidR="00C2291B"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Pr>
          <w:p w14:paraId="4E58E971" w14:textId="77777777" w:rsidR="00C2291B" w:rsidRDefault="00000000">
            <w:pPr>
              <w:pStyle w:val="Compact"/>
            </w:pPr>
            <w:r>
              <w:t>count</w:t>
            </w:r>
          </w:p>
        </w:tc>
        <w:tc>
          <w:tcPr>
            <w:tcW w:w="1584" w:type="dxa"/>
          </w:tcPr>
          <w:p w14:paraId="44007861" w14:textId="77777777" w:rsidR="00C2291B" w:rsidRDefault="00000000">
            <w:pPr>
              <w:pStyle w:val="Compact"/>
            </w:pPr>
            <w:r>
              <w:t>Minimize</w:t>
            </w:r>
          </w:p>
        </w:tc>
      </w:tr>
      <w:tr w:rsidR="00C2291B" w14:paraId="127ADE16" w14:textId="77777777">
        <w:tc>
          <w:tcPr>
            <w:tcW w:w="1584" w:type="dxa"/>
          </w:tcPr>
          <w:p w14:paraId="4AEA1195" w14:textId="77777777" w:rsidR="00C2291B" w:rsidRDefault="00C2291B">
            <w:pPr>
              <w:pStyle w:val="Compact"/>
            </w:pPr>
          </w:p>
        </w:tc>
        <w:tc>
          <w:tcPr>
            <w:tcW w:w="1584" w:type="dxa"/>
          </w:tcPr>
          <w:p w14:paraId="10B15D72" w14:textId="77777777" w:rsidR="00C2291B" w:rsidRDefault="00000000">
            <w:pPr>
              <w:pStyle w:val="Compact"/>
            </w:pPr>
            <w:r>
              <w:rPr>
                <w:rFonts w:hint="eastAsia"/>
              </w:rPr>
              <w:t>动作压缩比</w:t>
            </w:r>
          </w:p>
        </w:tc>
        <w:tc>
          <w:tcPr>
            <w:tcW w:w="1584" w:type="dxa"/>
          </w:tcPr>
          <w:p w14:paraId="7F5A897F" w14:textId="77777777" w:rsidR="00C2291B" w:rsidRDefault="00000000">
            <w:pPr>
              <w:pStyle w:val="Compact"/>
            </w:pPr>
            <w:r>
              <w:t>ACR</w:t>
            </w:r>
          </w:p>
        </w:tc>
        <w:tc>
          <w:tcPr>
            <w:tcW w:w="1584" w:type="dxa"/>
          </w:tcPr>
          <w:p w14:paraId="4F59B7FC" w14:textId="77777777" w:rsidR="00C2291B" w:rsidRDefault="00000000">
            <w:pPr>
              <w:pStyle w:val="Compact"/>
            </w:pPr>
            <w:r>
              <w:t>-</w:t>
            </w:r>
          </w:p>
        </w:tc>
        <w:tc>
          <w:tcPr>
            <w:tcW w:w="1584" w:type="dxa"/>
          </w:tcPr>
          <w:p w14:paraId="3FF41949" w14:textId="77777777" w:rsidR="00C2291B" w:rsidRDefault="00000000">
            <w:pPr>
              <w:pStyle w:val="Compact"/>
            </w:pPr>
            <w:r>
              <w:t>Maximize</w:t>
            </w:r>
          </w:p>
        </w:tc>
      </w:tr>
      <w:tr w:rsidR="00C2291B" w14:paraId="7DB8D5AD" w14:textId="77777777">
        <w:tc>
          <w:tcPr>
            <w:tcW w:w="1584" w:type="dxa"/>
          </w:tcPr>
          <w:p w14:paraId="0EA6C04C" w14:textId="77777777" w:rsidR="00C2291B" w:rsidRDefault="00C2291B">
            <w:pPr>
              <w:pStyle w:val="Compact"/>
            </w:pPr>
          </w:p>
        </w:tc>
        <w:tc>
          <w:tcPr>
            <w:tcW w:w="1584" w:type="dxa"/>
          </w:tcPr>
          <w:p w14:paraId="2E2BCFF8" w14:textId="77777777" w:rsidR="00C2291B" w:rsidRDefault="00000000">
            <w:pPr>
              <w:pStyle w:val="Compact"/>
            </w:pPr>
            <w:r>
              <w:rPr>
                <w:rFonts w:hint="eastAsia"/>
              </w:rPr>
              <w:t>动作减少率</w:t>
            </w:r>
          </w:p>
        </w:tc>
        <w:tc>
          <w:tcPr>
            <w:tcW w:w="1584" w:type="dxa"/>
          </w:tcPr>
          <w:p w14:paraId="61D624F3" w14:textId="77777777" w:rsidR="00C2291B" w:rsidRDefault="00000000">
            <w:pPr>
              <w:pStyle w:val="Compact"/>
            </w:pPr>
            <w:r>
              <w:t>ARR</w:t>
            </w:r>
          </w:p>
        </w:tc>
        <w:tc>
          <w:tcPr>
            <w:tcW w:w="1584" w:type="dxa"/>
          </w:tcPr>
          <w:p w14:paraId="6F545F88" w14:textId="77777777" w:rsidR="00C2291B" w:rsidRDefault="00000000">
            <w:pPr>
              <w:pStyle w:val="Compact"/>
            </w:pPr>
            <w:r>
              <w:t>%</w:t>
            </w:r>
          </w:p>
        </w:tc>
        <w:tc>
          <w:tcPr>
            <w:tcW w:w="1584" w:type="dxa"/>
          </w:tcPr>
          <w:p w14:paraId="12E1DBC5" w14:textId="77777777" w:rsidR="00C2291B" w:rsidRDefault="00000000">
            <w:pPr>
              <w:pStyle w:val="Compact"/>
            </w:pPr>
            <w:r>
              <w:t>Maximize</w:t>
            </w:r>
          </w:p>
        </w:tc>
      </w:tr>
      <w:tr w:rsidR="00C2291B" w14:paraId="47DF1D6E" w14:textId="77777777">
        <w:tc>
          <w:tcPr>
            <w:tcW w:w="1584" w:type="dxa"/>
          </w:tcPr>
          <w:p w14:paraId="36EA4822" w14:textId="77777777" w:rsidR="00C2291B" w:rsidRDefault="00000000">
            <w:pPr>
              <w:pStyle w:val="Compact"/>
            </w:pPr>
            <w:r>
              <w:rPr>
                <w:rFonts w:hint="eastAsia"/>
                <w:b/>
                <w:bCs/>
              </w:rPr>
              <w:t>机制与执行效率</w:t>
            </w:r>
          </w:p>
        </w:tc>
        <w:tc>
          <w:tcPr>
            <w:tcW w:w="1584" w:type="dxa"/>
          </w:tcPr>
          <w:p w14:paraId="54DE049C" w14:textId="77777777" w:rsidR="00C2291B" w:rsidRDefault="00000000">
            <w:pPr>
              <w:pStyle w:val="Compact"/>
            </w:pPr>
            <w:r>
              <w:rPr>
                <w:rFonts w:hint="eastAsia"/>
              </w:rPr>
              <w:t>总奖励</w:t>
            </w:r>
          </w:p>
        </w:tc>
        <w:tc>
          <w:tcPr>
            <w:tcW w:w="1584" w:type="dxa"/>
          </w:tcPr>
          <w:p w14:paraId="6463C0B7" w14:textId="77777777" w:rsidR="00C2291B"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Pr>
          <w:p w14:paraId="61E529D5" w14:textId="77777777" w:rsidR="00C2291B" w:rsidRDefault="00000000">
            <w:pPr>
              <w:pStyle w:val="Compact"/>
            </w:pPr>
            <w:r>
              <w:t>-</w:t>
            </w:r>
          </w:p>
        </w:tc>
        <w:tc>
          <w:tcPr>
            <w:tcW w:w="1584" w:type="dxa"/>
          </w:tcPr>
          <w:p w14:paraId="2F82CC29" w14:textId="77777777" w:rsidR="00C2291B" w:rsidRDefault="00000000">
            <w:pPr>
              <w:pStyle w:val="Compact"/>
            </w:pPr>
            <w:r>
              <w:t>Maximize</w:t>
            </w:r>
          </w:p>
        </w:tc>
      </w:tr>
      <w:tr w:rsidR="00C2291B" w14:paraId="78EC6A2A" w14:textId="77777777">
        <w:tc>
          <w:tcPr>
            <w:tcW w:w="1584" w:type="dxa"/>
          </w:tcPr>
          <w:p w14:paraId="5578EB50" w14:textId="77777777" w:rsidR="00C2291B" w:rsidRDefault="00000000">
            <w:pPr>
              <w:pStyle w:val="Compact"/>
            </w:pPr>
            <w:r>
              <w:rPr>
                <w:rFonts w:hint="eastAsia"/>
                <w:b/>
                <w:bCs/>
              </w:rPr>
              <w:t>机制与执行效率</w:t>
            </w:r>
          </w:p>
        </w:tc>
        <w:tc>
          <w:tcPr>
            <w:tcW w:w="1584" w:type="dxa"/>
          </w:tcPr>
          <w:p w14:paraId="1AE83A8D" w14:textId="77777777" w:rsidR="00C2291B" w:rsidRDefault="00000000">
            <w:pPr>
              <w:pStyle w:val="Compact"/>
            </w:pPr>
            <w:r>
              <w:rPr>
                <w:rFonts w:hint="eastAsia"/>
              </w:rPr>
              <w:t>平均步奖励</w:t>
            </w:r>
          </w:p>
        </w:tc>
        <w:tc>
          <w:tcPr>
            <w:tcW w:w="1584" w:type="dxa"/>
          </w:tcPr>
          <w:p w14:paraId="5A1AE892" w14:textId="77777777" w:rsidR="00C2291B"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1584" w:type="dxa"/>
          </w:tcPr>
          <w:p w14:paraId="55590F77" w14:textId="77777777" w:rsidR="00C2291B" w:rsidRDefault="00000000">
            <w:pPr>
              <w:pStyle w:val="Compact"/>
            </w:pPr>
            <w:r>
              <w:t>-</w:t>
            </w:r>
          </w:p>
        </w:tc>
        <w:tc>
          <w:tcPr>
            <w:tcW w:w="1584" w:type="dxa"/>
          </w:tcPr>
          <w:p w14:paraId="54B32DAF" w14:textId="77777777" w:rsidR="00C2291B" w:rsidRDefault="00000000">
            <w:pPr>
              <w:pStyle w:val="Compact"/>
            </w:pPr>
            <w:r>
              <w:t>Maximize</w:t>
            </w:r>
          </w:p>
        </w:tc>
      </w:tr>
    </w:tbl>
    <w:p w14:paraId="20B1B410" w14:textId="77777777" w:rsidR="00C2291B" w:rsidRDefault="00000000">
      <w:pPr>
        <w:pStyle w:val="1"/>
      </w:pPr>
      <w:bookmarkStart w:id="21" w:name="references"/>
      <w:bookmarkEnd w:id="20"/>
      <w:r>
        <w:t>References</w:t>
      </w:r>
    </w:p>
    <w:p w14:paraId="5C558561" w14:textId="77777777" w:rsidR="00C2291B" w:rsidRDefault="00000000">
      <w:pPr>
        <w:pStyle w:val="FirstParagraph"/>
      </w:pPr>
      <w:r>
        <w:t>[1] Arghand, Taha, et al. “Individually controlled localized chilled beam combined with chilled ceiling: Thermal environment.” Building and Environment 282 (2025): 113322.</w:t>
      </w:r>
    </w:p>
    <w:p w14:paraId="57EAC396" w14:textId="77777777" w:rsidR="00C2291B" w:rsidRDefault="00000000">
      <w:pPr>
        <w:pStyle w:val="a0"/>
      </w:pPr>
      <w:r>
        <w:t>[2] Deng, Qiao, et al. “A performance prediction method for on-site chillers based on dynamic graph convolutional network enhanced by association rules.” Building simulation. Vol. 17. No. 7. Beijing: Tsinghua University Press, 2024.</w:t>
      </w:r>
    </w:p>
    <w:p w14:paraId="645E3A2A" w14:textId="77777777" w:rsidR="00C2291B" w:rsidRDefault="00000000">
      <w:pPr>
        <w:pStyle w:val="a0"/>
      </w:pPr>
      <w:r>
        <w:t>[3] Wu, Zeqing, et al. “AE-TD3 with adaptive expert guidance: towards responsive deep reinforcement learning for building HVAC control systems.” Energy and Buildings (2025): 116744.</w:t>
      </w:r>
    </w:p>
    <w:p w14:paraId="0DEA53F3" w14:textId="77777777" w:rsidR="00C2291B" w:rsidRDefault="00000000">
      <w:pPr>
        <w:pStyle w:val="a0"/>
      </w:pPr>
      <w:r>
        <w:t>[4]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71A339F6" w14:textId="77777777" w:rsidR="00C2291B" w:rsidRDefault="00000000">
      <w:pPr>
        <w:pStyle w:val="a0"/>
      </w:pPr>
      <w:r>
        <w:t>[5] Ding, Xianzhong, et al. “A safe and data-efficient model-based reinforcement learning system for HVAC control.” IEEE Internet of Things Journal (2025).</w:t>
      </w:r>
    </w:p>
    <w:p w14:paraId="1DF38469" w14:textId="77777777" w:rsidR="00C2291B" w:rsidRDefault="00000000">
      <w:pPr>
        <w:pStyle w:val="a0"/>
      </w:pPr>
      <w:r>
        <w:t>[6] Liu, Xinghua, et al. “Event-triggered load frequency control of smart grids under deception attacks.” IET Control Theory &amp; Applications 15.10 (2021): 1335-1345.</w:t>
      </w:r>
    </w:p>
    <w:p w14:paraId="222B754E" w14:textId="77777777" w:rsidR="00C2291B" w:rsidRDefault="00000000">
      <w:pPr>
        <w:pStyle w:val="a0"/>
      </w:pPr>
      <w:r>
        <w:t>[7] Xia, Yihan, et al. “Federated accelerated deep reinforcement learning for multi-zone HVAC control in commercial buildings.” IEEE Transactions on Smart Grid 16.3 (2025): 2599-2610.</w:t>
      </w:r>
    </w:p>
    <w:p w14:paraId="783FFDE9" w14:textId="77777777" w:rsidR="00C2291B" w:rsidRDefault="00000000">
      <w:pPr>
        <w:pStyle w:val="a0"/>
      </w:pPr>
      <w:r>
        <w:t>[8] Wu, Zeqing, et al. “AE-TD3 with adaptive expert guidance: towards responsive deep reinforcement learning for building HVAC control systems.” Energy and Buildings (2025): 116744.</w:t>
      </w:r>
    </w:p>
    <w:p w14:paraId="49FCC5E9" w14:textId="77777777" w:rsidR="00C2291B" w:rsidRDefault="00000000">
      <w:pPr>
        <w:pStyle w:val="a0"/>
      </w:pPr>
      <w:r>
        <w:lastRenderedPageBreak/>
        <w:t>[9] Xue, Zhouzhou, Zhaoxu Yu, and Shugang Li. “Event-triggered adaptive neural control for uncertain nontriangular nonlinear systems with time-varying delays.” International Journal of Control, Automation and Systems 20.12 (2022): 4090-4099.</w:t>
      </w:r>
    </w:p>
    <w:p w14:paraId="014155A3" w14:textId="77777777" w:rsidR="00C2291B" w:rsidRDefault="00000000">
      <w:pPr>
        <w:pStyle w:val="a0"/>
      </w:pPr>
      <w:r>
        <w:t>[10]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427F0776" w14:textId="77777777" w:rsidR="00C2291B" w:rsidRDefault="00000000">
      <w:pPr>
        <w:pStyle w:val="a0"/>
      </w:pPr>
      <w:r>
        <w:t>[11] Gu, Zhou, Ruiyan Cao, and Engang Tian. “Reinforcement learning-based event-triggered optimal control of power systems with control input saturation.” IEEE Transactions on Industrial Informatics 21.2 (2024): 1528-1536.</w:t>
      </w:r>
    </w:p>
    <w:p w14:paraId="1E4E0B05" w14:textId="77777777" w:rsidR="00C2291B" w:rsidRDefault="00000000">
      <w:pPr>
        <w:pStyle w:val="a0"/>
      </w:pPr>
      <w:r>
        <w:t>[12] Wang, Ke, Zhuo Tang, and Chaoxu Mu. “Dynamic event-triggered model-free reinforcement learning for cooperative control of multiagent systems.” IEEE Transactions on Reliability 74.3 (2024): 3166-3179.</w:t>
      </w:r>
    </w:p>
    <w:p w14:paraId="330972E5" w14:textId="77777777" w:rsidR="00C2291B" w:rsidRDefault="00000000">
      <w:pPr>
        <w:pStyle w:val="a0"/>
      </w:pPr>
      <w:r>
        <w:t>[13] Cai, Xin, et al. “Distributed event-triggered aggregative optimization with applications to price-based energy management.” Automatica 161 (2024): 111508.</w:t>
      </w:r>
    </w:p>
    <w:p w14:paraId="0C8977E3" w14:textId="77777777" w:rsidR="00C2291B" w:rsidRDefault="00000000">
      <w:pPr>
        <w:pStyle w:val="a0"/>
      </w:pPr>
      <w:r>
        <w:t>[14] Fu, Qiming, et al. “ED-DQN: An event-driven deep reinforcement learning control method for multi-zone residential buildings.” Building and Environment 242 (2023): 110546.</w:t>
      </w:r>
    </w:p>
    <w:p w14:paraId="10C8F7E4" w14:textId="77777777" w:rsidR="00C2291B" w:rsidRDefault="00000000">
      <w:pPr>
        <w:pStyle w:val="a0"/>
      </w:pPr>
      <w:r>
        <w:t>[15] Li, Wenzhuo, Hangxin Li, and Shengwei Wang. “An event-driven multi-agent based distributed optimal control strategy for HVAC systems in IoT-enabled smart buildings.” Automation in Construction 132 (2021): 103919.</w:t>
      </w:r>
    </w:p>
    <w:p w14:paraId="08DA90B1" w14:textId="77777777" w:rsidR="00C2291B" w:rsidRDefault="00000000">
      <w:pPr>
        <w:pStyle w:val="a0"/>
      </w:pPr>
      <w:r>
        <w:t>[16] Wang, Xin, et al. “Observer-based event-triggered optimal control for nonlinear multiagent systems with input delay via reinforcement learning strategy.” IEEE Transactions on Emerging Topics in Computational Intelligence 9.3 (2024): 2398-2409.</w:t>
      </w:r>
    </w:p>
    <w:p w14:paraId="43ED85E1" w14:textId="77777777" w:rsidR="00C2291B" w:rsidRDefault="00000000">
      <w:pPr>
        <w:pStyle w:val="a0"/>
      </w:pPr>
      <w:r>
        <w:t>[17] Chaya, P., et al. “Human-Centric Smart Energy Optimization and Automation System.” 2025 3rd International Conference on Intelligent Cyber Physical Systems and Internet of Things (ICoICI). IEEE, 2025.</w:t>
      </w:r>
    </w:p>
    <w:p w14:paraId="0A35EFB2" w14:textId="77777777" w:rsidR="00C2291B" w:rsidRDefault="00000000">
      <w:pPr>
        <w:pStyle w:val="a0"/>
      </w:pPr>
      <w:r>
        <w:t>[18] Choi, Youngsik, et al. “Optimization-informed rule extraction for HVAC system: A case study of dedicated outdoor air system control in a mixed-humid climate zone.” Energy and Buildings 295 (2023): 113295.</w:t>
      </w:r>
    </w:p>
    <w:p w14:paraId="523922CE" w14:textId="77777777" w:rsidR="00C2291B" w:rsidRDefault="00000000">
      <w:pPr>
        <w:pStyle w:val="a0"/>
      </w:pPr>
      <w:r>
        <w:t>[19] Lee, Dongkyu, Jinhwa Jeong, and Young Tae Chae. “Application of deep reinforcement learning for proportional–integral–derivative controller tuning on air handling unit system in existing commercial building.” Buildings 14.1 (2023): 66.</w:t>
      </w:r>
    </w:p>
    <w:p w14:paraId="74F919F1" w14:textId="77777777" w:rsidR="00C2291B" w:rsidRDefault="00000000">
      <w:pPr>
        <w:pStyle w:val="a0"/>
      </w:pPr>
      <w:r>
        <w:t xml:space="preserve">[20] Chojecki, Adrian, Arkadiusz Ambroziak, and Piotr Borkowski. “Fuzzy controllers instead of classical PIDs in HVAC equipment: Dusting off a well-known technology </w:t>
      </w:r>
      <w:r>
        <w:lastRenderedPageBreak/>
        <w:t>and Today’s implementation for better energy efficiency and user comfort.” Energies 16.7 (2023): 2967.</w:t>
      </w:r>
    </w:p>
    <w:p w14:paraId="13651BFA" w14:textId="77777777" w:rsidR="00C2291B" w:rsidRDefault="00000000">
      <w:pPr>
        <w:pStyle w:val="a0"/>
      </w:pPr>
      <w:r>
        <w:t>[21] Tang, Lingfeng, et al. “Deeply flexible commercial building HVAC system control: A physics-aware deep learning-embedded MPC approach.” Applied Energy 388 (2025): 125631.</w:t>
      </w:r>
    </w:p>
    <w:p w14:paraId="28EF0F2D" w14:textId="77777777" w:rsidR="00C2291B" w:rsidRDefault="00000000">
      <w:pPr>
        <w:pStyle w:val="a0"/>
      </w:pPr>
      <w:r>
        <w:t>[22] Lu, Shengze, et al. “Exploring the comprehensive integration of artificial intelligence in optimizing HVAC system operations: A review and future outlook.” Results in Engineering 25 (2025): 103765.</w:t>
      </w:r>
    </w:p>
    <w:p w14:paraId="76260484" w14:textId="77777777" w:rsidR="00C2291B" w:rsidRDefault="00000000">
      <w:pPr>
        <w:pStyle w:val="a0"/>
      </w:pPr>
      <w:r>
        <w:t>[23] Fu, Qiming, et al. “Applications of reinforcement learning for building energy efficiency control: A review.” Journal of Building Engineering 50 (2022): 104165.</w:t>
      </w:r>
    </w:p>
    <w:p w14:paraId="2B882D9F" w14:textId="77777777" w:rsidR="00C2291B" w:rsidRDefault="00000000">
      <w:pPr>
        <w:pStyle w:val="a0"/>
      </w:pPr>
      <w:r>
        <w:t>[24] Savino, Sabrina, et al. “Deploying deep reinforcement learning for low-level HVAC control in multi-zone buildings: A comparative study with ASHRAE G36 sequences.” Energy and Buildings (2025): 116456.</w:t>
      </w:r>
    </w:p>
    <w:p w14:paraId="224AF55F" w14:textId="77777777" w:rsidR="00C2291B" w:rsidRDefault="00000000">
      <w:pPr>
        <w:pStyle w:val="a0"/>
      </w:pPr>
      <w:r>
        <w:t>[25] Wang, Man, and Borong Lin. “MF^2: Model-free reinforcement learning for modeling-free building HVAC control with data-driven environment construction in a residential building.” Building and Environment 244 (2023): 110816.</w:t>
      </w:r>
    </w:p>
    <w:p w14:paraId="30B3F15D" w14:textId="77777777" w:rsidR="00C2291B" w:rsidRDefault="00000000">
      <w:pPr>
        <w:pStyle w:val="a0"/>
      </w:pPr>
      <w:r>
        <w:t>[26] Zhuang, Dian, et al. “Data-driven predictive control for smart HVAC system in IoT-integrated buildings with time-series forecasting and reinforcement learning.” Applied Energy 338 (2023): 120936.</w:t>
      </w:r>
    </w:p>
    <w:p w14:paraId="023F4AF1" w14:textId="77777777" w:rsidR="00C2291B" w:rsidRDefault="00000000">
      <w:pPr>
        <w:pStyle w:val="a0"/>
      </w:pPr>
      <w:r>
        <w:t>[27] Manjavacas, Antonio, et al. “An experimental evaluation of deep reinforcement learning algorithms for HVAC control.” Artificial Intelligence Review 57.7 (2024): 173.</w:t>
      </w:r>
    </w:p>
    <w:p w14:paraId="512A9DF9" w14:textId="77777777" w:rsidR="00C2291B" w:rsidRDefault="00000000">
      <w:pPr>
        <w:pStyle w:val="a0"/>
      </w:pPr>
      <w:r>
        <w:t>[28] Li, Kai, Wei Ni, and Falko Dressler. “LSTM-characterized deep reinforcement learning for continuous flight control and resource allocation in UAV-assisted sensor network.” IEEE Internet of Things Journal 9.6 (2021): 4179-4189.</w:t>
      </w:r>
    </w:p>
    <w:p w14:paraId="6AFB298E" w14:textId="77777777" w:rsidR="00C2291B" w:rsidRDefault="00000000">
      <w:pPr>
        <w:pStyle w:val="a0"/>
      </w:pPr>
      <w:r>
        <w:t>[29] Al Sayed, Khalil, et al. “Reinforcement learning for HVAC control in intelligent buildings: A technical and conceptual review.” Journal of Building Engineering 95 (2024): 110085.</w:t>
      </w:r>
    </w:p>
    <w:p w14:paraId="40762419" w14:textId="77777777" w:rsidR="00C2291B" w:rsidRDefault="00000000">
      <w:pPr>
        <w:pStyle w:val="a0"/>
      </w:pPr>
      <w:r>
        <w:t>[30] He, Kun, et al. “Predictive control optimization of chiller plants based on deep reinforcement learning.” Journal of Building Engineering 76 (2023): 107158.</w:t>
      </w:r>
    </w:p>
    <w:p w14:paraId="0F53A222" w14:textId="77777777" w:rsidR="00C2291B" w:rsidRDefault="00000000">
      <w:pPr>
        <w:pStyle w:val="a0"/>
      </w:pPr>
      <w:r>
        <w:t>[31] Liu, Xinghua, et al. “Event-triggered load frequency control of smart grids under deception attacks.” IET Control Theory &amp; Applications 15.10 (2021): 1335-1345.</w:t>
      </w:r>
    </w:p>
    <w:p w14:paraId="167FBE08" w14:textId="77777777" w:rsidR="00C2291B" w:rsidRDefault="00000000">
      <w:pPr>
        <w:pStyle w:val="a0"/>
      </w:pPr>
      <w:r>
        <w:t>[32] Xue, Zhouzhou, Zhaoxu Yu, and Shugang Li. “Event-triggered adaptive neural control for uncertain nontriangular nonlinear systems with time-varying delays.” International Journal of Control, Automation and Systems 20.12 (2022): 4090-4099.</w:t>
      </w:r>
    </w:p>
    <w:p w14:paraId="3DA9FDEA" w14:textId="77777777" w:rsidR="00C2291B" w:rsidRDefault="00000000">
      <w:pPr>
        <w:pStyle w:val="a0"/>
      </w:pPr>
      <w:r>
        <w:lastRenderedPageBreak/>
        <w:t>[33] Liu, Derong, et al. “Adaptive dynamic programming for control: A survey and recent advances.” IEEE Transactions on Systems, Man, and Cybernetics: Systems 51.1 (2020): 142-160.</w:t>
      </w:r>
    </w:p>
    <w:p w14:paraId="3D7EDF03" w14:textId="77777777" w:rsidR="00C2291B" w:rsidRDefault="00000000">
      <w:pPr>
        <w:pStyle w:val="a0"/>
      </w:pPr>
      <w:r>
        <w:t>[34] Heer, Philipp, et al. “Comprehensive energy demand and usage data for building automation.” Scientific Data 11.1 (2024): 469.</w:t>
      </w:r>
    </w:p>
    <w:p w14:paraId="473E4A3C" w14:textId="77777777" w:rsidR="00C2291B" w:rsidRDefault="00000000">
      <w:pPr>
        <w:pStyle w:val="a0"/>
      </w:pPr>
      <w:r>
        <w:t>[35] Wang, Yuan, et al. “Dynamic event-triggered control for persistent dwell-time switched nonlinear multiagent systems with random packet loss.” IEEE Transactions on Systems, Man, and Cybernetics: Systems 54.4 (2023): 2045-2054.</w:t>
      </w:r>
      <w:bookmarkEnd w:id="21"/>
    </w:p>
    <w:sectPr w:rsidR="00C2291B">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5-09T13:20:00Z" w:initials="MT">
    <w:p w14:paraId="294431F6" w14:textId="77777777" w:rsidR="009371A5" w:rsidRDefault="009371A5" w:rsidP="009371A5">
      <w:pPr>
        <w:pStyle w:val="af1"/>
      </w:pPr>
      <w:r>
        <w:rPr>
          <w:rStyle w:val="af0"/>
        </w:rPr>
        <w:annotationRef/>
      </w:r>
      <w:r>
        <w:rPr>
          <w:rFonts w:hint="eastAsia"/>
        </w:rPr>
        <w:t>增加文献</w:t>
      </w:r>
    </w:p>
  </w:comment>
  <w:comment w:id="3" w:author="Microsoft Tang" w:date="2026-05-09T13:21:00Z" w:initials="MT">
    <w:p w14:paraId="2AEED990" w14:textId="77777777" w:rsidR="009371A5" w:rsidRDefault="009371A5" w:rsidP="009371A5">
      <w:pPr>
        <w:pStyle w:val="af1"/>
      </w:pPr>
      <w:r>
        <w:rPr>
          <w:rStyle w:val="af0"/>
        </w:rPr>
        <w:annotationRef/>
      </w:r>
      <w:r>
        <w:rPr>
          <w:rFonts w:hint="eastAsia"/>
        </w:rPr>
        <w:t>增加文献</w:t>
      </w:r>
    </w:p>
  </w:comment>
  <w:comment w:id="4" w:author="Microsoft Tang" w:date="2026-05-09T13:17:00Z" w:initials="MT">
    <w:p w14:paraId="2EA941C4" w14:textId="77777777" w:rsidR="00871AE6" w:rsidRDefault="00871AE6" w:rsidP="00871AE6">
      <w:pPr>
        <w:pStyle w:val="af1"/>
      </w:pPr>
      <w:r>
        <w:rPr>
          <w:rStyle w:val="af0"/>
        </w:rPr>
        <w:annotationRef/>
      </w:r>
      <w:r>
        <w:rPr>
          <w:rFonts w:hint="eastAsia"/>
        </w:rPr>
        <w:t>示意图</w:t>
      </w:r>
    </w:p>
  </w:comment>
  <w:comment w:id="5" w:author="Microsoft Tang" w:date="2026-05-09T13:17:00Z" w:initials="MT">
    <w:p w14:paraId="20CE2F71" w14:textId="77777777" w:rsidR="00871AE6" w:rsidRDefault="00871AE6" w:rsidP="00871AE6">
      <w:pPr>
        <w:pStyle w:val="af1"/>
      </w:pPr>
      <w:r>
        <w:rPr>
          <w:rStyle w:val="af0"/>
        </w:rPr>
        <w:annotationRef/>
      </w:r>
      <w:r>
        <w:rPr>
          <w:rFonts w:hint="eastAsia"/>
        </w:rPr>
        <w:t>修改</w:t>
      </w:r>
    </w:p>
  </w:comment>
  <w:comment w:id="6" w:author="Microsoft Tang" w:date="2026-05-09T13:17:00Z" w:initials="MT">
    <w:p w14:paraId="5F33237F" w14:textId="77777777" w:rsidR="00871AE6" w:rsidRDefault="00871AE6" w:rsidP="00871AE6">
      <w:pPr>
        <w:pStyle w:val="af1"/>
      </w:pPr>
      <w:r>
        <w:rPr>
          <w:rStyle w:val="af0"/>
        </w:rPr>
        <w:annotationRef/>
      </w:r>
      <w:r>
        <w:rPr>
          <w:rFonts w:hint="eastAsia"/>
        </w:rPr>
        <w:t>第三点重写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4431F6" w15:done="0"/>
  <w15:commentEx w15:paraId="2AEED990" w15:done="0"/>
  <w15:commentEx w15:paraId="2EA941C4" w15:done="0"/>
  <w15:commentEx w15:paraId="20CE2F71" w15:done="0"/>
  <w15:commentEx w15:paraId="5F3323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297DDE" w16cex:dateUtc="2026-05-09T05:20:00Z"/>
  <w16cex:commentExtensible w16cex:durableId="1A07FEFF" w16cex:dateUtc="2026-05-09T05:21:00Z"/>
  <w16cex:commentExtensible w16cex:durableId="55FD3AF7" w16cex:dateUtc="2026-05-09T05:17:00Z"/>
  <w16cex:commentExtensible w16cex:durableId="7D7A639C" w16cex:dateUtc="2026-05-09T05:17:00Z"/>
  <w16cex:commentExtensible w16cex:durableId="2C22DBDC" w16cex:dateUtc="2026-05-09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4431F6" w16cid:durableId="64297DDE"/>
  <w16cid:commentId w16cid:paraId="2AEED990" w16cid:durableId="1A07FEFF"/>
  <w16cid:commentId w16cid:paraId="2EA941C4" w16cid:durableId="55FD3AF7"/>
  <w16cid:commentId w16cid:paraId="20CE2F71" w16cid:durableId="7D7A639C"/>
  <w16cid:commentId w16cid:paraId="5F33237F" w16cid:durableId="2C22DBD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FD453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A828C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752E4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31"/>
    <w:multiLevelType w:val="multilevel"/>
    <w:tmpl w:val="10CCE1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32"/>
    <w:multiLevelType w:val="multilevel"/>
    <w:tmpl w:val="9BFA706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33"/>
    <w:multiLevelType w:val="multilevel"/>
    <w:tmpl w:val="EB42D26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34"/>
    <w:multiLevelType w:val="multilevel"/>
    <w:tmpl w:val="CF14A90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7" w15:restartNumberingAfterBreak="0">
    <w:nsid w:val="00A99435"/>
    <w:multiLevelType w:val="multilevel"/>
    <w:tmpl w:val="BFA2477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383866854">
    <w:abstractNumId w:val="0"/>
  </w:num>
  <w:num w:numId="2" w16cid:durableId="1616325785">
    <w:abstractNumId w:val="1"/>
  </w:num>
  <w:num w:numId="3" w16cid:durableId="19067173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702994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0621737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94499824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16cid:durableId="13483673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9835745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8985517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18576903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65024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2859777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21271200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9665867">
    <w:abstractNumId w:val="1"/>
  </w:num>
  <w:num w:numId="15" w16cid:durableId="1631938658">
    <w:abstractNumId w:val="1"/>
  </w:num>
  <w:num w:numId="16" w16cid:durableId="1134954813">
    <w:abstractNumId w:val="1"/>
  </w:num>
  <w:num w:numId="17" w16cid:durableId="1633094839">
    <w:abstractNumId w:val="1"/>
  </w:num>
  <w:num w:numId="18" w16cid:durableId="130268992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7078309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367107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16cid:durableId="132651616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16cid:durableId="472016950">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 w16cid:durableId="620959707">
    <w:abstractNumId w:val="7"/>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2291B"/>
    <w:rsid w:val="007E5098"/>
    <w:rsid w:val="00871AE6"/>
    <w:rsid w:val="009371A5"/>
    <w:rsid w:val="00AC3D90"/>
    <w:rsid w:val="00C229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E652C"/>
  <w15:docId w15:val="{7C338938-6956-4E41-9367-F829714B0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871AE6"/>
    <w:rPr>
      <w:sz w:val="21"/>
      <w:szCs w:val="21"/>
    </w:rPr>
  </w:style>
  <w:style w:type="paragraph" w:styleId="af1">
    <w:name w:val="annotation text"/>
    <w:basedOn w:val="a"/>
    <w:link w:val="af2"/>
    <w:rsid w:val="00871AE6"/>
  </w:style>
  <w:style w:type="character" w:customStyle="1" w:styleId="af2">
    <w:name w:val="批注文字 字符"/>
    <w:basedOn w:val="a1"/>
    <w:link w:val="af1"/>
    <w:rsid w:val="00871AE6"/>
  </w:style>
  <w:style w:type="paragraph" w:styleId="af3">
    <w:name w:val="annotation subject"/>
    <w:basedOn w:val="af1"/>
    <w:next w:val="af1"/>
    <w:link w:val="af4"/>
    <w:rsid w:val="00871AE6"/>
    <w:rPr>
      <w:b/>
      <w:bCs/>
    </w:rPr>
  </w:style>
  <w:style w:type="character" w:customStyle="1" w:styleId="af4">
    <w:name w:val="批注主题 字符"/>
    <w:basedOn w:val="af2"/>
    <w:link w:val="af3"/>
    <w:rsid w:val="00871A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10" Type="http://schemas.openxmlformats.org/officeDocument/2006/relationships/image" Target="media/image2.sv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9347</Words>
  <Characters>53284</Characters>
  <Application>Microsoft Office Word</Application>
  <DocSecurity>0</DocSecurity>
  <Lines>444</Lines>
  <Paragraphs>125</Paragraphs>
  <ScaleCrop>false</ScaleCrop>
  <Company/>
  <LinksUpToDate>false</LinksUpToDate>
  <CharactersWithSpaces>62506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4</cp:revision>
  <dcterms:created xsi:type="dcterms:W3CDTF">2026-05-09T05:13:00Z</dcterms:created>
  <dcterms:modified xsi:type="dcterms:W3CDTF">2026-05-09T05:21:00Z</dcterms:modified>
</cp:coreProperties>
</file>