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833E5" w14:textId="77777777" w:rsidR="001921D2" w:rsidRDefault="00000000">
      <w:pPr>
        <w:pStyle w:val="1"/>
      </w:pPr>
      <w:bookmarkStart w:id="0" w:name="X4b0bc7f40d0a06fea82d73f5c490066b2d76f6f"/>
      <w:r>
        <w:rPr>
          <w:rFonts w:hint="eastAsia"/>
        </w:rPr>
        <w:t>基于动态事件触发的</w:t>
      </w:r>
      <w:r>
        <w:t xml:space="preserve"> HVAC </w:t>
      </w:r>
      <w:r>
        <w:rPr>
          <w:rFonts w:hint="eastAsia"/>
        </w:rPr>
        <w:t>强化学习预测控制方法</w:t>
      </w:r>
      <w:r>
        <w:t xml:space="preserve"> / HVAC Predictive Control Method Based on Dynamic Event Triggering</w:t>
      </w:r>
    </w:p>
    <w:p w14:paraId="5C7BADD5" w14:textId="77777777" w:rsidR="001921D2" w:rsidRDefault="00000000">
      <w:pPr>
        <w:pStyle w:val="1"/>
      </w:pPr>
      <w:bookmarkStart w:id="1" w:name="引言-introduction"/>
      <w:bookmarkEnd w:id="0"/>
      <w:r>
        <w:t xml:space="preserve">1. </w:t>
      </w:r>
      <w:r>
        <w:rPr>
          <w:rFonts w:hint="eastAsia"/>
        </w:rPr>
        <w:t>引言</w:t>
      </w:r>
      <w:r>
        <w:t xml:space="preserve"> / Introduction</w:t>
      </w:r>
    </w:p>
    <w:p w14:paraId="0FC8B5D3" w14:textId="77777777" w:rsidR="001921D2" w:rsidRDefault="00000000">
      <w:pPr>
        <w:pStyle w:val="FirstParagraph"/>
      </w:pPr>
      <w:r>
        <w:rPr>
          <w:rFonts w:hint="eastAsia"/>
        </w:rPr>
        <w:t>随着全球气候变化的加剧，建筑行业的节能减排已成为亟待解决的关键问题。相关统计数据显示，建筑能耗占全球终端能耗的</w:t>
      </w:r>
      <w:r>
        <w:t xml:space="preserve"> 35% </w:t>
      </w:r>
      <w:r>
        <w:rPr>
          <w:rFonts w:hint="eastAsia"/>
        </w:rPr>
        <w:t>以上，其中供暖、通风与空调（</w:t>
      </w:r>
      <w:r>
        <w:rPr>
          <w:rFonts w:hint="eastAsia"/>
        </w:rPr>
        <w:t>HVAC</w:t>
      </w:r>
      <w:r>
        <w:rPr>
          <w:rFonts w:hint="eastAsia"/>
        </w:rPr>
        <w:t>）系统不仅占据了建筑整体能耗的约</w:t>
      </w:r>
      <w:r>
        <w:t xml:space="preserve"> </w:t>
      </w:r>
      <w:r>
        <w:rPr>
          <w:rFonts w:hint="eastAsia"/>
        </w:rPr>
        <w:t>50%</w:t>
      </w:r>
      <w:r>
        <w:rPr>
          <w:rFonts w:hint="eastAsia"/>
        </w:rPr>
        <w:t>，也是电力需求侧响应的关键调节资源</w:t>
      </w:r>
      <w:r>
        <w:t xml:space="preserve"> </w:t>
      </w:r>
      <w:r>
        <w:rPr>
          <w:rFonts w:hint="eastAsia"/>
        </w:rPr>
        <w:t>[1]</w:t>
      </w:r>
      <w:r>
        <w:rPr>
          <w:rFonts w:hint="eastAsia"/>
        </w:rPr>
        <w:t>。在中央空调系统中，冷水机组作为核心耗能部件，其运行效率直接决定了系统的整体性能。然而，实际工程中的</w:t>
      </w:r>
      <w:r>
        <w:t xml:space="preserve"> HVAC </w:t>
      </w:r>
      <w:r>
        <w:rPr>
          <w:rFonts w:hint="eastAsia"/>
        </w:rPr>
        <w:t>控制面临着严峻挑战：建筑热负荷受室外气象条件、室内人员流动及设备散热等多重动态因素的耦合影响，系统具有高度的非线性、时变性及大惯性滞后特征</w:t>
      </w:r>
      <w:r>
        <w:t xml:space="preserve"> [2]</w:t>
      </w:r>
      <w:r>
        <w:t>。</w:t>
      </w:r>
    </w:p>
    <w:p w14:paraId="21F41348" w14:textId="77777777" w:rsidR="001921D2" w:rsidRDefault="00000000">
      <w:pPr>
        <w:pStyle w:val="a0"/>
      </w:pPr>
      <w:r>
        <w:t>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14:paraId="2B946A67" w14:textId="77777777" w:rsidR="001921D2"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t xml:space="preserve"> HVAC </w:t>
      </w:r>
      <w:r>
        <w:rPr>
          <w:rFonts w:hint="eastAsia"/>
        </w:rPr>
        <w:t>控制领域展现出广阔的应用前景。</w:t>
      </w:r>
      <w:r>
        <w:rPr>
          <w:rFonts w:hint="eastAsia"/>
        </w:rPr>
        <w:t>DRL</w:t>
      </w:r>
      <w:r>
        <w:t xml:space="preserve"> </w:t>
      </w:r>
      <w:r>
        <w:rPr>
          <w:rFonts w:hint="eastAsia"/>
        </w:rPr>
        <w:t>能够通过与复杂时变环境的直接交互，自主学习并适应非线性工况</w:t>
      </w:r>
      <w:r>
        <w:t xml:space="preserve"> </w:t>
      </w:r>
      <w:r>
        <w:rPr>
          <w:rFonts w:hint="eastAsia"/>
        </w:rPr>
        <w:t>[3]</w:t>
      </w:r>
      <w:r>
        <w:rPr>
          <w:rFonts w:hint="eastAsia"/>
        </w:rPr>
        <w:t>；结合时序特征的预测型</w:t>
      </w:r>
      <w:r>
        <w:t xml:space="preserve"> DRL </w:t>
      </w:r>
      <w:r>
        <w:rPr>
          <w:rFonts w:hint="eastAsia"/>
        </w:rPr>
        <w:t>进一步提升了智能体的前瞻预测能力，有效缓解了建筑大热惯性带来的控制滞后</w:t>
      </w:r>
      <w:r>
        <w:t xml:space="preserve"> </w:t>
      </w:r>
      <w:r>
        <w:rPr>
          <w:rFonts w:hint="eastAsia"/>
        </w:rPr>
        <w:t>[4]</w:t>
      </w:r>
      <w:r>
        <w:rPr>
          <w:rFonts w:hint="eastAsia"/>
        </w:rPr>
        <w:t>。然而，现有</w:t>
      </w:r>
      <w:r>
        <w:t xml:space="preserve"> DRL </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w:t>
      </w:r>
      <w:r>
        <w:t xml:space="preserve"> </w:t>
      </w:r>
      <w:r>
        <w:rPr>
          <w:rFonts w:hint="eastAsia"/>
        </w:rPr>
        <w:t>[5]</w:t>
      </w:r>
      <w:r>
        <w:rPr>
          <w:rFonts w:hint="eastAsia"/>
        </w:rPr>
        <w:t>。这种固定频率驱动方式导致了响应速度与控制代价之间的固有矛盾：高频控制虽能迅速响应环境扰动，却会带来显著的计算开销与执行器机械磨损；低频控制虽能降低硬件损耗，却易造成控温精度下降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r>
        <w:t>。</w:t>
      </w:r>
    </w:p>
    <w:p w14:paraId="77C2C290" w14:textId="77777777" w:rsidR="001921D2" w:rsidRDefault="00000000">
      <w:pPr>
        <w:pStyle w:val="a0"/>
      </w:pPr>
      <w:r>
        <w:t xml:space="preserve">Nowadays, deep reinforcement learning (DRL) has shown strong potential in HVAC control because it can make adaptive decisions without relying on a predefined </w:t>
      </w:r>
      <w:r>
        <w:lastRenderedPageBreak/>
        <w:t>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05AF03A7" w14:textId="77777777" w:rsidR="001921D2" w:rsidRDefault="00000000">
      <w:pPr>
        <w:pStyle w:val="a0"/>
      </w:pPr>
      <w:r>
        <w:rPr>
          <w:rFonts w:hint="eastAsia"/>
        </w:rPr>
        <w:t>为缓解</w:t>
      </w:r>
      <w:r>
        <w:t xml:space="preserve"> TTC </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t xml:space="preserve"> [7]</w:t>
      </w:r>
      <w:r>
        <w:t>。</w:t>
      </w:r>
      <w:r>
        <w:t xml:space="preserve">ETC </w:t>
      </w:r>
      <w:r>
        <w:rPr>
          <w:rFonts w:hint="eastAsia"/>
        </w:rPr>
        <w:t>基于按需决策理念，仅在系统状态发生显著偏离时激活控制更新</w:t>
      </w:r>
      <w:r>
        <w:t xml:space="preserve"> </w:t>
      </w:r>
      <w:r>
        <w:rPr>
          <w:rFonts w:hint="eastAsia"/>
        </w:rPr>
        <w:t>[8]</w:t>
      </w:r>
      <w:r>
        <w:rPr>
          <w:rFonts w:hint="eastAsia"/>
        </w:rPr>
        <w:t>。这种稀疏控制机制有效突破了时间步长的硬性约束，为平衡响应速度与控制代价提供了可行途径。基于这一优势，已有研究在深度强化学习中引入</w:t>
      </w:r>
      <w:r>
        <w:t xml:space="preserve"> ETC </w:t>
      </w:r>
      <w:r>
        <w:rPr>
          <w:rFonts w:hint="eastAsia"/>
        </w:rPr>
        <w:t>范式以进一步优化系统运行。这类方法在触发特定的预设事件时调整控制策略，有助于在热舒适度与能源消耗之间实现更好的平衡</w:t>
      </w:r>
      <w:r>
        <w:t xml:space="preserve"> </w:t>
      </w:r>
      <w:r>
        <w:rPr>
          <w:rFonts w:hint="eastAsia"/>
        </w:rPr>
        <w:t>[9]</w:t>
      </w:r>
      <w:r>
        <w:rPr>
          <w:rFonts w:hint="eastAsia"/>
        </w:rPr>
        <w:t>。然而，现有</w:t>
      </w:r>
      <w:r>
        <w:t xml:space="preserve"> ETC </w:t>
      </w:r>
      <w:r>
        <w:rPr>
          <w:rFonts w:hint="eastAsia"/>
        </w:rPr>
        <w:t>方案主要依赖基于专家经验的静态规则，例如设定固定的温度死区或负荷波动阈值</w:t>
      </w:r>
      <w:r>
        <w:t xml:space="preserve"> </w:t>
      </w:r>
      <w:r>
        <w:rPr>
          <w:rFonts w:hint="eastAsia"/>
        </w:rPr>
        <w:t>[10]</w:t>
      </w:r>
      <w:r>
        <w:rPr>
          <w:rFonts w:hint="eastAsia"/>
        </w:rPr>
        <w:t>。静态触发机制在面对高度非线性且时变的真实建筑环境时缺乏动态适应能力，难以适应不同建筑的热惯性差异以及设备老化后的性能漂移，极易导致频繁误触发或控制响应迟滞现象</w:t>
      </w:r>
      <w:r>
        <w:t xml:space="preserve"> [11]</w:t>
      </w:r>
      <w:r>
        <w:t>。</w:t>
      </w:r>
    </w:p>
    <w:p w14:paraId="262BE287" w14:textId="77777777" w:rsidR="001921D2"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7C9E2C1B" w14:textId="77777777" w:rsidR="001921D2" w:rsidRDefault="00000000">
      <w:pPr>
        <w:pStyle w:val="a0"/>
      </w:pPr>
      <w:r>
        <w:rPr>
          <w:rFonts w:hint="eastAsia"/>
        </w:rPr>
        <w:t>考虑到上述问题，有必要引入可随系统运行状态动态调整的阈值机制，使触发边界由基于固定经验的预设规则转变为依据偏离信号演化过程的自适应判定。如图</w:t>
      </w:r>
      <w:r>
        <w:t xml:space="preserve"> 1 </w:t>
      </w:r>
      <w:r>
        <w:rPr>
          <w:rFonts w:hint="eastAsia"/>
        </w:rPr>
        <w:t>所示，图中比较了固定间隔、固定阈值与动态阈值三种策略对同一室温偏差信号轨迹的响应：固定间隔策略以恒定节奏更新，固定阈值策略仅在偏离越过预设边界时触发，而动态阈值策略则根据偏离趋势持续调整边界，在扰动增强时触发更密集，在</w:t>
      </w:r>
      <w:r>
        <w:rPr>
          <w:rFonts w:hint="eastAsia"/>
        </w:rPr>
        <w:lastRenderedPageBreak/>
        <w:t>相对平稳时段触发更稀疏。这种行为使得控制响应性与执行代价之间的平衡更加有效。</w:t>
      </w:r>
    </w:p>
    <w:p w14:paraId="5B0F0A8F" w14:textId="77777777" w:rsidR="001921D2" w:rsidRDefault="00000000">
      <w:pPr>
        <w:pStyle w:val="a0"/>
      </w:pPr>
      <w:r>
        <w:t xml:space="preserve">With respect to the above problems, a thresholding mechanism that can adapt to the current operating state of the system is considered, so that the triggering boundary is determined not by fixed empirical rules but by an adaptive criterion driven by the evolution of the deviation signal, as illustrated in Figure 1. </w:t>
      </w:r>
      <w:commentRangeStart w:id="2"/>
      <w:r>
        <w:t>The figure compares how fixed-interval, fixed-threshold, and dynamic-threshold strategies respond to the same room temperature deviation trajectory: the fixed-interval strategy updates at a constant cadence, the fixed-threshold strategy triggers only when the deviation crosses a preset boundary, and the dynamic-threshold strategy continuously adjusts its boundary according to the deviation trend, leading to denser updates during intensified disturbances and sparser updates during relatively steady periods. This behavior enables a more effective balance between control responsiveness and execution cost.</w:t>
      </w:r>
      <w:commentRangeEnd w:id="2"/>
      <w:r w:rsidR="00BA75FB">
        <w:rPr>
          <w:rStyle w:val="af4"/>
        </w:rPr>
        <w:commentReference w:id="2"/>
      </w:r>
    </w:p>
    <w:p w14:paraId="6B14E870" w14:textId="77777777" w:rsidR="001921D2" w:rsidRDefault="00000000">
      <w:pPr>
        <w:pStyle w:val="a0"/>
      </w:pPr>
      <w:r>
        <w:rPr>
          <w:noProof/>
        </w:rPr>
        <w:drawing>
          <wp:inline distT="0" distB="0" distL="0" distR="0" wp14:anchorId="21061287" wp14:editId="01017D9E">
            <wp:extent cx="5334000" cy="1738273"/>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ics/fig1_update_strategy_comparison.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图</w:t>
      </w:r>
      <w:r>
        <w:rPr>
          <w:rFonts w:hint="eastAsia"/>
          <w:b/>
          <w:bCs/>
        </w:rPr>
        <w:t>1</w:t>
      </w:r>
      <w:r>
        <w:t xml:space="preserve"> </w:t>
      </w:r>
      <w:r>
        <w:rPr>
          <w:rFonts w:hint="eastAsia"/>
        </w:rPr>
        <w:t>固定间隔、固定阈值与动态阈值三种更新策略对比。上排为室温偏差信号与不同触发阈值的关系；下排为触发时刻的分布。虚线标记表示触发时刻。</w:t>
      </w:r>
    </w:p>
    <w:p w14:paraId="1C25FE63" w14:textId="77777777" w:rsidR="001921D2" w:rsidRDefault="00000000">
      <w:pPr>
        <w:pStyle w:val="a0"/>
      </w:pPr>
      <w:r>
        <w:rPr>
          <w:rFonts w:hint="eastAsia"/>
        </w:rPr>
        <w:t>基于上述动机，本文提出了一种基于无监督动态事件门控的事件触发预测强化学习控制框架（</w:t>
      </w:r>
      <w:r>
        <w:rPr>
          <w:rFonts w:hint="eastAsia"/>
        </w:rPr>
        <w:t>Event-Triggered</w:t>
      </w:r>
      <w:r>
        <w:t xml:space="preserve"> Predictive Reinforcement Learning with Unsupervised Dynamic Event Gating, </w:t>
      </w:r>
      <w:r>
        <w:rPr>
          <w:rFonts w:hint="eastAsia"/>
        </w:rPr>
        <w:t>ET-PRL</w:t>
      </w:r>
      <w:r>
        <w:rPr>
          <w:rFonts w:hint="eastAsia"/>
        </w:rPr>
        <w:t>），将时间序列预测、无监督动态事件门控与强化学习决策过程相结合。</w:t>
      </w:r>
      <w:r>
        <w:rPr>
          <w:rFonts w:hint="eastAsia"/>
        </w:rPr>
        <w:t>ET-PRL</w:t>
      </w:r>
      <w:r>
        <w:t xml:space="preserve"> </w:t>
      </w:r>
      <w:r>
        <w:rPr>
          <w:rFonts w:hint="eastAsia"/>
        </w:rPr>
        <w:t>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14:paraId="789CCC71" w14:textId="77777777" w:rsidR="001921D2" w:rsidRDefault="00000000">
      <w:pPr>
        <w:pStyle w:val="a0"/>
      </w:pPr>
      <w:r>
        <w:t xml:space="preserve">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w:t>
      </w:r>
      <w:r>
        <w:lastRenderedPageBreak/>
        <w:t>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14:paraId="325BF8E6" w14:textId="77777777" w:rsidR="001921D2" w:rsidRDefault="00000000">
      <w:pPr>
        <w:numPr>
          <w:ilvl w:val="0"/>
          <w:numId w:val="2"/>
        </w:numPr>
      </w:pPr>
      <w:r>
        <w:rPr>
          <w:rFonts w:hint="eastAsia"/>
          <w:b/>
          <w:bCs/>
        </w:rPr>
        <w:t>提出基于流式特征的无监督动态事件门控机制</w:t>
      </w:r>
      <w:r>
        <w:rPr>
          <w:rFonts w:hint="eastAsia"/>
        </w:rPr>
        <w:t>：在</w:t>
      </w:r>
      <w:r>
        <w:t xml:space="preserve"> ET-PRL </w:t>
      </w:r>
      <w:r>
        <w:rPr>
          <w:rFonts w:hint="eastAsia"/>
        </w:rPr>
        <w:t>框架中构建了融合多尺度异常追踪与双层自适应阈值的门控模块，摆脱了对静态人工规则的依赖，实现了对时变工况下非平稳扰动的自适应感知。</w:t>
      </w:r>
    </w:p>
    <w:p w14:paraId="0D684E20" w14:textId="77777777" w:rsidR="001921D2" w:rsidRDefault="00000000">
      <w:pPr>
        <w:numPr>
          <w:ilvl w:val="0"/>
          <w:numId w:val="2"/>
        </w:numPr>
      </w:pPr>
      <w:r>
        <w:rPr>
          <w:b/>
          <w:bCs/>
        </w:rPr>
        <w:t>We propose an unsupervised dynamic event gating mechanism based on streaming features</w:t>
      </w:r>
      <w:r>
        <w:t>: We build a gating module that combines multi scale anomaly tracking with a two layer adaptive threshold. This removes the need for static manual rules and allows the system to automatically adapt to irregular disturbances under changing operating conditions.</w:t>
      </w:r>
    </w:p>
    <w:p w14:paraId="7589C86F" w14:textId="77777777" w:rsidR="001921D2" w:rsidRDefault="00000000">
      <w:pPr>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）维持控制输出。该架构通过与预测状态特征深度耦合，有效补偿稀疏按需执行导致的信息缺失，并进一步增强策略的前瞻性决策能力。</w:t>
      </w:r>
    </w:p>
    <w:p w14:paraId="41DB4DF9" w14:textId="77777777" w:rsidR="001921D2" w:rsidRDefault="00000000">
      <w:pPr>
        <w:numPr>
          <w:ilvl w:val="0"/>
          <w:numId w:val="2"/>
        </w:numPr>
      </w:pPr>
      <w:r>
        <w:rPr>
          <w:b/>
          <w:bCs/>
        </w:rPr>
        <w:t>We construct a time decoupled, event driven predictive control framework</w:t>
      </w:r>
      <w:r>
        <w:t>: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14:paraId="154B28D8" w14:textId="77777777" w:rsidR="001921D2" w:rsidRDefault="00000000">
      <w:pPr>
        <w:numPr>
          <w:ilvl w:val="0"/>
          <w:numId w:val="2"/>
        </w:numPr>
      </w:pPr>
      <w:r>
        <w:rPr>
          <w:rFonts w:hint="eastAsia"/>
          <w:b/>
          <w:bCs/>
        </w:rPr>
        <w:t>实现控制精度与执行代价的量化优化折衷</w:t>
      </w:r>
      <w:r>
        <w:rPr>
          <w:rFonts w:hint="eastAsia"/>
        </w:rPr>
        <w:t>：基于</w:t>
      </w:r>
      <w:r>
        <w:rPr>
          <w:rFonts w:hint="eastAsia"/>
        </w:rPr>
        <w:t>102</w:t>
      </w:r>
      <w:r>
        <w:rPr>
          <w:rFonts w:hint="eastAsia"/>
        </w:rPr>
        <w:t>天真实冷水机组运行数据，我们通过系统对比、消融与敏感性分析量化证明了所提方法在动作更新次数上降低</w:t>
      </w:r>
      <w:r>
        <w:rPr>
          <w:rFonts w:hint="eastAsia"/>
        </w:rPr>
        <w:t>53.54%</w:t>
      </w:r>
      <w:r>
        <w:rPr>
          <w:rFonts w:hint="eastAsia"/>
        </w:rPr>
        <w:t>、日均能耗由</w:t>
      </w:r>
      <w:r>
        <w:rPr>
          <w:rFonts w:hint="eastAsia"/>
        </w:rPr>
        <w:t>7491</w:t>
      </w:r>
      <w:r>
        <w:rPr>
          <w:rFonts w:hint="eastAsia"/>
        </w:rPr>
        <w:t>降至</w:t>
      </w:r>
      <w:r>
        <w:rPr>
          <w:rFonts w:hint="eastAsia"/>
        </w:rPr>
        <w:t>7332</w:t>
      </w:r>
      <w:r>
        <w:t xml:space="preserve"> </w:t>
      </w:r>
      <w:r>
        <w:rPr>
          <w:rFonts w:hint="eastAsia"/>
        </w:rPr>
        <w:t>kWh/day</w:t>
      </w:r>
      <w:r>
        <w:rPr>
          <w:rFonts w:hint="eastAsia"/>
        </w:rPr>
        <w:t>（节能</w:t>
      </w:r>
      <w:r>
        <w:rPr>
          <w:rFonts w:hint="eastAsia"/>
        </w:rPr>
        <w:t>2.13%</w:t>
      </w:r>
      <w:r>
        <w:rPr>
          <w:rFonts w:hint="eastAsia"/>
        </w:rPr>
        <w:t>），且在保持</w:t>
      </w:r>
      <w:r>
        <w:rPr>
          <w:rFonts w:hint="eastAsia"/>
        </w:rPr>
        <w:t>94.41%</w:t>
      </w:r>
      <w:r>
        <w:rPr>
          <w:rFonts w:hint="eastAsia"/>
        </w:rPr>
        <w:t>基线性能下表现稳定，说明该方法具备鲁棒性与工程可部署性。</w:t>
      </w:r>
    </w:p>
    <w:p w14:paraId="7F6AA2B5" w14:textId="77777777" w:rsidR="001921D2" w:rsidRDefault="00000000">
      <w:pPr>
        <w:numPr>
          <w:ilvl w:val="0"/>
          <w:numId w:val="2"/>
        </w:numPr>
      </w:pPr>
      <w:r>
        <w:rPr>
          <w:b/>
          <w:bCs/>
        </w:rPr>
        <w:t>Quantified optimization trade off between control accuracy and execution cost</w:t>
      </w:r>
      <w:r>
        <w:t>: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p w14:paraId="38F0FB75" w14:textId="77777777" w:rsidR="001921D2" w:rsidRDefault="00000000">
      <w:pPr>
        <w:pStyle w:val="1"/>
      </w:pPr>
      <w:bookmarkStart w:id="3" w:name="相关工作-related-work"/>
      <w:bookmarkEnd w:id="1"/>
      <w:r>
        <w:lastRenderedPageBreak/>
        <w:t xml:space="preserve">2. </w:t>
      </w:r>
      <w:r>
        <w:rPr>
          <w:rFonts w:hint="eastAsia"/>
        </w:rPr>
        <w:t>相关工作</w:t>
      </w:r>
      <w:r>
        <w:t xml:space="preserve"> / Related Work</w:t>
      </w:r>
    </w:p>
    <w:p w14:paraId="0FEB7B2B" w14:textId="77777777" w:rsidR="001921D2" w:rsidRDefault="00000000">
      <w:pPr>
        <w:pStyle w:val="FirstParagraph"/>
      </w:pPr>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t xml:space="preserve"> - </w:t>
      </w:r>
      <w:r>
        <w:rPr>
          <w:rFonts w:hint="eastAsia"/>
        </w:rPr>
        <w:t>积分</w:t>
      </w:r>
      <w:r>
        <w:t xml:space="preserve"> - </w:t>
      </w:r>
      <w:r>
        <w:rPr>
          <w:rFonts w:hint="eastAsia"/>
        </w:rPr>
        <w:t>微分（</w:t>
      </w:r>
      <w:r>
        <w:rPr>
          <w:rFonts w:hint="eastAsia"/>
        </w:rPr>
        <w:t>PID</w:t>
      </w:r>
      <w:r>
        <w:rPr>
          <w:rFonts w:hint="eastAsia"/>
        </w:rPr>
        <w:t>）等经典方法</w:t>
      </w:r>
      <w:r>
        <w:t xml:space="preserve"> </w:t>
      </w:r>
      <w:r>
        <w:rPr>
          <w:rFonts w:hint="eastAsia"/>
        </w:rPr>
        <w:t>[12]</w:t>
      </w:r>
      <w:r>
        <w:rPr>
          <w:rFonts w:hint="eastAsia"/>
        </w:rPr>
        <w:t>。其中，</w:t>
      </w:r>
      <w:r>
        <w:rPr>
          <w:rFonts w:hint="eastAsia"/>
        </w:rPr>
        <w:t>Choi</w:t>
      </w:r>
      <w:r>
        <w:t xml:space="preserve"> </w:t>
      </w:r>
      <w:r>
        <w:rPr>
          <w:rFonts w:hint="eastAsia"/>
        </w:rPr>
        <w:t>等</w:t>
      </w:r>
      <w:r>
        <w:t xml:space="preserve"> [13]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[14]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[15] </w:t>
      </w:r>
      <w:r>
        <w:rPr>
          <w:rFonts w:hint="eastAsia"/>
        </w:rPr>
        <w:t>进一步引入模糊控制思想，增强了传统控制器在特定工况下的适应能力。</w:t>
      </w:r>
      <w:r>
        <w:rPr>
          <w:rFonts w:hint="eastAsia"/>
        </w:rPr>
        <w:t>Tang</w:t>
      </w:r>
      <w:r>
        <w:t xml:space="preserve"> </w:t>
      </w:r>
      <w:r>
        <w:rPr>
          <w:rFonts w:hint="eastAsia"/>
        </w:rPr>
        <w:t>等</w:t>
      </w:r>
      <w:r>
        <w:t xml:space="preserve"> [16] </w:t>
      </w:r>
      <w:r>
        <w:rPr>
          <w:rFonts w:hint="eastAsia"/>
        </w:rPr>
        <w:t>提出了一种物理感知深度学习嵌入的模型预测控制（</w:t>
      </w:r>
      <w:r>
        <w:rPr>
          <w:rFonts w:hint="eastAsia"/>
        </w:rPr>
        <w:t>MPC</w:t>
      </w:r>
      <w:r>
        <w:rPr>
          <w:rFonts w:hint="eastAsia"/>
        </w:rPr>
        <w:t>）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r>
        <w:t>。</w:t>
      </w:r>
    </w:p>
    <w:p w14:paraId="57E0D4EB" w14:textId="77777777" w:rsidR="001921D2" w:rsidRDefault="00000000">
      <w:pPr>
        <w:pStyle w:val="a0"/>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67553354" w14:textId="77777777" w:rsidR="001921D2" w:rsidRDefault="00000000">
      <w:pPr>
        <w:pStyle w:val="a0"/>
      </w:pPr>
      <w:r>
        <w:rPr>
          <w:rFonts w:hint="eastAsia"/>
        </w:rPr>
        <w:t>为突破传统控制在建模与适应性方面的瓶颈，数据驱动方法逐步成为</w:t>
      </w:r>
      <w:r>
        <w:t xml:space="preserve"> HVAC </w:t>
      </w:r>
      <w:r>
        <w:rPr>
          <w:rFonts w:hint="eastAsia"/>
        </w:rPr>
        <w:t>智能控制的重要方向。其中，强化学习能够在不依赖精确物理模型的情况下，通过与建筑环境的试错交互学习运行状态与控制动作之间的优化映射，因而逐渐被用于建筑能耗管理、</w:t>
      </w:r>
      <w:r>
        <w:rPr>
          <w:rFonts w:hint="eastAsia"/>
        </w:rPr>
        <w:t>HVAC</w:t>
      </w:r>
      <w:r>
        <w:t xml:space="preserve"> </w:t>
      </w:r>
      <w:r>
        <w:rPr>
          <w:rFonts w:hint="eastAsia"/>
        </w:rPr>
        <w:t>控制与需求响应等任务</w:t>
      </w:r>
      <w:r>
        <w:t xml:space="preserve"> [18]</w:t>
      </w:r>
      <w:r>
        <w:t>。</w:t>
      </w:r>
      <w:r>
        <w:t xml:space="preserve">Savino </w:t>
      </w:r>
      <w:r>
        <w:rPr>
          <w:rFonts w:hint="eastAsia"/>
        </w:rPr>
        <w:t>等</w:t>
      </w:r>
      <w:r>
        <w:t xml:space="preserve"> [19] </w:t>
      </w:r>
      <w:r>
        <w:rPr>
          <w:rFonts w:hint="eastAsia"/>
        </w:rPr>
        <w:t>系统展示了深度强化学习在多区域底层控制中的应用潜力；</w:t>
      </w:r>
      <w:r>
        <w:rPr>
          <w:rFonts w:hint="eastAsia"/>
        </w:rPr>
        <w:t>Wang</w:t>
      </w:r>
      <w:r>
        <w:t xml:space="preserve"> </w:t>
      </w:r>
      <w:r>
        <w:rPr>
          <w:rFonts w:hint="eastAsia"/>
        </w:rPr>
        <w:t>与</w:t>
      </w:r>
      <w:r>
        <w:t xml:space="preserve"> Lin [20] </w:t>
      </w:r>
      <w:r>
        <w:rPr>
          <w:rFonts w:hint="eastAsia"/>
        </w:rPr>
        <w:t>以及</w:t>
      </w:r>
      <w:r>
        <w:t xml:space="preserve"> Zhuang </w:t>
      </w:r>
      <w:r>
        <w:rPr>
          <w:rFonts w:hint="eastAsia"/>
        </w:rPr>
        <w:t>等</w:t>
      </w:r>
      <w:r>
        <w:t xml:space="preserve"> [21] </w:t>
      </w:r>
      <w:r>
        <w:rPr>
          <w:rFonts w:hint="eastAsia"/>
        </w:rPr>
        <w:t>分别基于</w:t>
      </w:r>
      <w:r>
        <w:t xml:space="preserve"> DQN/DDPG </w:t>
      </w:r>
      <w:r>
        <w:rPr>
          <w:rFonts w:hint="eastAsia"/>
        </w:rPr>
        <w:t>等范式构建了从高维传感状态到控制动作的映射，验证了强化学习在复杂场景中的优化优势。然而，强化学习多采用基于当前观测的反应式决策，在具</w:t>
      </w:r>
      <w:r>
        <w:rPr>
          <w:rFonts w:hint="eastAsia"/>
        </w:rPr>
        <w:lastRenderedPageBreak/>
        <w:t>有显著热惯性与时滞的系统中容易出现控制滞后与振荡</w:t>
      </w:r>
      <w:r>
        <w:t xml:space="preserve"> </w:t>
      </w:r>
      <w:r>
        <w:rPr>
          <w:rFonts w:hint="eastAsia"/>
        </w:rPr>
        <w:t>[22]</w:t>
      </w:r>
      <w:r>
        <w:rPr>
          <w:rFonts w:hint="eastAsia"/>
        </w:rPr>
        <w:t>。为此，</w:t>
      </w:r>
      <w:r>
        <w:rPr>
          <w:rFonts w:hint="eastAsia"/>
        </w:rPr>
        <w:t>Li</w:t>
      </w:r>
      <w:r>
        <w:t xml:space="preserve"> </w:t>
      </w:r>
      <w:r>
        <w:rPr>
          <w:rFonts w:hint="eastAsia"/>
        </w:rPr>
        <w:t>等</w:t>
      </w:r>
      <w:r>
        <w:t xml:space="preserve"> [23] </w:t>
      </w:r>
      <w:r>
        <w:rPr>
          <w:rFonts w:hint="eastAsia"/>
        </w:rPr>
        <w:t>将</w:t>
      </w:r>
      <w:r>
        <w:t xml:space="preserve"> LSTM </w:t>
      </w:r>
      <w:r>
        <w:rPr>
          <w:rFonts w:hint="eastAsia"/>
        </w:rPr>
        <w:t>等时序模型融入决策过程，通过引入前瞻预测信息增强了策略对环境演化的感知能力，并在一定程度上改善了控制平稳性；</w:t>
      </w:r>
      <w:r>
        <w:rPr>
          <w:rFonts w:hint="eastAsia"/>
        </w:rPr>
        <w:t>He</w:t>
      </w:r>
      <w:r>
        <w:t xml:space="preserve"> </w:t>
      </w:r>
      <w:r>
        <w:rPr>
          <w:rFonts w:hint="eastAsia"/>
        </w:rPr>
        <w:t>等</w:t>
      </w:r>
      <w:r>
        <w:t xml:space="preserve"> [24] </w:t>
      </w:r>
      <w:r>
        <w:rPr>
          <w:rFonts w:hint="eastAsia"/>
        </w:rPr>
        <w:t>进一步面向冷机群优化，将</w:t>
      </w:r>
      <w:r>
        <w:t xml:space="preserve"> LSTM </w:t>
      </w:r>
      <w:r>
        <w:rPr>
          <w:rFonts w:hint="eastAsia"/>
        </w:rPr>
        <w:t>负荷预测与</w:t>
      </w:r>
      <w:r>
        <w:t xml:space="preserve"> DQN </w:t>
      </w:r>
      <w:r>
        <w:rPr>
          <w:rFonts w:hint="eastAsia"/>
        </w:rPr>
        <w:t>控制相结合，构建了无模型的预测型强化学习框架，表明引入预测信息能够在保持强化学习自适应性的同时提升控制前瞻性。需要指出的是，现有</w:t>
      </w:r>
      <w:r>
        <w:t xml:space="preserve"> RL </w:t>
      </w:r>
      <w:r>
        <w:rPr>
          <w:rFonts w:hint="eastAsia"/>
        </w:rPr>
        <w:t>及预测型</w:t>
      </w:r>
      <w:r>
        <w:t xml:space="preserve"> RL </w:t>
      </w:r>
      <w:r>
        <w:rPr>
          <w:rFonts w:hint="eastAsia"/>
        </w:rPr>
        <w:t>方法在执行层面仍普遍遵循固定时间步长控制（</w:t>
      </w:r>
      <w:r>
        <w:rPr>
          <w:rFonts w:hint="eastAsia"/>
        </w:rPr>
        <w:t>TTC</w:t>
      </w:r>
      <w:r>
        <w:rPr>
          <w:rFonts w:hint="eastAsia"/>
        </w:rPr>
        <w:t>）范式，即按预设周期进行状态采样与动作更新，难以根据负荷扰动强弱自适应调整决策频率，因而存在冗余计算、执行机构磨损之间的固有矛盾</w:t>
      </w:r>
      <w:r>
        <w:t xml:space="preserve"> [25]</w:t>
      </w:r>
      <w:r>
        <w:t>。</w:t>
      </w:r>
    </w:p>
    <w:p w14:paraId="4A9F164D" w14:textId="77777777" w:rsidR="001921D2" w:rsidRDefault="00000000">
      <w:pPr>
        <w:pStyle w:val="a0"/>
      </w:pPr>
      <w:r>
        <w:t>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54275A51" w14:textId="77777777" w:rsidR="001921D2"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[26] </w:t>
      </w:r>
      <w:r>
        <w:rPr>
          <w:rFonts w:hint="eastAsia"/>
        </w:rPr>
        <w:t>与</w:t>
      </w:r>
      <w:r>
        <w:t xml:space="preserve"> Xue </w:t>
      </w:r>
      <w:r>
        <w:rPr>
          <w:rFonts w:hint="eastAsia"/>
        </w:rPr>
        <w:t>等</w:t>
      </w:r>
      <w:r>
        <w:t xml:space="preserve"> [27]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）通过按需更新机制，能够在状态越限或事件发生时才触发控制与通信，从而有效减少时间触发控制中的无效更新。进一步地，</w:t>
      </w:r>
      <w:r>
        <w:rPr>
          <w:rFonts w:hint="eastAsia"/>
        </w:rPr>
        <w:t>Fu</w:t>
      </w:r>
      <w:r>
        <w:t xml:space="preserve"> </w:t>
      </w:r>
      <w:r>
        <w:rPr>
          <w:rFonts w:hint="eastAsia"/>
        </w:rPr>
        <w:t>等</w:t>
      </w:r>
      <w:r>
        <w:t xml:space="preserve"> [9] </w:t>
      </w:r>
      <w:r>
        <w:rPr>
          <w:rFonts w:hint="eastAsia"/>
        </w:rPr>
        <w:t>提出了事件驱动深度强化学习控制方法</w:t>
      </w:r>
      <w:r>
        <w:t xml:space="preserve"> </w:t>
      </w:r>
      <w:r>
        <w:rPr>
          <w:rFonts w:hint="eastAsia"/>
        </w:rPr>
        <w:t>ED-DQN</w:t>
      </w:r>
      <w:r>
        <w:rPr>
          <w:rFonts w:hint="eastAsia"/>
        </w:rPr>
        <w:t>，将事件触发机制引入多区域住宅建筑</w:t>
      </w:r>
      <w:r>
        <w:t xml:space="preserve"> HVAC </w:t>
      </w:r>
      <w:r>
        <w:rPr>
          <w:rFonts w:hint="eastAsia"/>
        </w:rPr>
        <w:t>控制，使智能体仅在预设事件发生时更新控制动作，从而减少固定步长控制下的冗余决策。</w:t>
      </w:r>
      <w:r>
        <w:rPr>
          <w:rFonts w:hint="eastAsia"/>
        </w:rPr>
        <w:t>Liu</w:t>
      </w:r>
      <w:r>
        <w:t xml:space="preserve"> </w:t>
      </w:r>
      <w:r>
        <w:rPr>
          <w:rFonts w:hint="eastAsia"/>
        </w:rPr>
        <w:t>等</w:t>
      </w:r>
      <w:r>
        <w:t xml:space="preserve"> [28] </w:t>
      </w:r>
      <w:r>
        <w:rPr>
          <w:rFonts w:hint="eastAsia"/>
        </w:rPr>
        <w:t>指出，现有</w:t>
      </w:r>
      <w:r>
        <w:t xml:space="preserve"> ETC </w:t>
      </w:r>
      <w:r>
        <w:rPr>
          <w:rFonts w:hint="eastAsia"/>
        </w:rPr>
        <w:t>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r>
        <w:t>。</w:t>
      </w:r>
    </w:p>
    <w:p w14:paraId="04C0C72C" w14:textId="77777777" w:rsidR="001921D2" w:rsidRDefault="00000000">
      <w:pPr>
        <w:pStyle w:val="a0"/>
      </w:pPr>
      <w:r>
        <w:lastRenderedPageBreak/>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72A58C1E" w14:textId="77777777" w:rsidR="001921D2"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14:paraId="53FD5063" w14:textId="77777777" w:rsidR="001921D2" w:rsidRDefault="00000000">
      <w:pPr>
        <w:pStyle w:val="a0"/>
      </w:pPr>
      <w:r>
        <w:t>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3801B89D" w14:textId="77777777" w:rsidR="001921D2" w:rsidRDefault="00000000">
      <w:pPr>
        <w:pStyle w:val="1"/>
      </w:pPr>
      <w:bookmarkStart w:id="4" w:name="方法-methodology"/>
      <w:bookmarkEnd w:id="3"/>
      <w:r>
        <w:t xml:space="preserve">3. </w:t>
      </w:r>
      <w:r>
        <w:rPr>
          <w:rFonts w:hint="eastAsia"/>
        </w:rPr>
        <w:t>方法</w:t>
      </w:r>
      <w:r>
        <w:t xml:space="preserve"> / Methodology</w:t>
      </w:r>
    </w:p>
    <w:p w14:paraId="35141FED" w14:textId="77777777" w:rsidR="001921D2"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w:t>
      </w:r>
      <w:r>
        <w:rPr>
          <w:rFonts w:hint="eastAsia"/>
        </w:rPr>
        <w:lastRenderedPageBreak/>
        <w:t>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6019861C" w14:textId="77777777" w:rsidR="001921D2" w:rsidRDefault="00000000">
      <w:pPr>
        <w:pStyle w:val="a0"/>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14:paraId="4E3AD728" w14:textId="77777777" w:rsidR="001921D2" w:rsidRDefault="00000000">
      <w:pPr>
        <w:pStyle w:val="aa"/>
      </w:pPr>
      <w:r>
        <w:rPr>
          <w:rFonts w:hint="eastAsia"/>
          <w:b/>
          <w:bCs/>
        </w:rPr>
        <w:t>图</w:t>
      </w:r>
      <w:r>
        <w:rPr>
          <w:rFonts w:hint="eastAsia"/>
          <w:b/>
          <w:bCs/>
        </w:rPr>
        <w:t>2</w:t>
      </w:r>
      <w:r>
        <w:rPr>
          <w:b/>
          <w:bCs/>
        </w:rPr>
        <w:t xml:space="preserve"> </w:t>
      </w:r>
      <w:r>
        <w:rPr>
          <w:rFonts w:hint="eastAsia"/>
          <w:b/>
          <w:bCs/>
        </w:rPr>
        <w:t>占位：</w:t>
      </w:r>
      <w:r>
        <w:rPr>
          <w:rFonts w:hint="eastAsia"/>
          <w:b/>
          <w:bCs/>
        </w:rPr>
        <w:t>ET-PRL</w:t>
      </w:r>
      <w:r>
        <w:rPr>
          <w:b/>
          <w:bCs/>
        </w:rPr>
        <w:t xml:space="preserve"> </w:t>
      </w:r>
      <w:r>
        <w:rPr>
          <w:rFonts w:hint="eastAsia"/>
          <w:b/>
          <w:bCs/>
        </w:rPr>
        <w:t>总体框架图</w:t>
      </w:r>
      <w:r>
        <w:t xml:space="preserve"> </w:t>
      </w:r>
      <w:r>
        <w:rPr>
          <w:b/>
          <w:bCs/>
        </w:rPr>
        <w:t>Figure 2 placeholder: Overall ET-PRL framework</w:t>
      </w:r>
    </w:p>
    <w:p w14:paraId="425D0474" w14:textId="77777777" w:rsidR="001921D2" w:rsidRDefault="00000000">
      <w:pPr>
        <w:pStyle w:val="aa"/>
      </w:pPr>
      <w:r>
        <w:rPr>
          <w:rFonts w:hint="eastAsia"/>
        </w:rPr>
        <w:t>对图</w:t>
      </w:r>
      <w:r>
        <w:t xml:space="preserve"> 2 </w:t>
      </w:r>
      <w:r>
        <w:rPr>
          <w:rFonts w:hint="eastAsia"/>
        </w:rPr>
        <w:t>中内容的描述</w:t>
      </w:r>
    </w:p>
    <w:p w14:paraId="0580B7B3" w14:textId="77777777" w:rsidR="001921D2" w:rsidRDefault="00000000">
      <w:pPr>
        <w:pStyle w:val="2"/>
      </w:pPr>
      <w:bookmarkStart w:id="5" w:name="X53cee1d894eb5d0f229a148fb5f809fc4989c5b"/>
      <w:r>
        <w:t xml:space="preserve">3.1 </w:t>
      </w:r>
      <w:r>
        <w:rPr>
          <w:rFonts w:hint="eastAsia"/>
        </w:rPr>
        <w:t>基于流式特征追踪的动态事件触发机制设计</w:t>
      </w:r>
      <w:r>
        <w:t xml:space="preserve"> / Dynamic Event Triggering Design Based on Streaming Feature Tracking</w:t>
      </w:r>
    </w:p>
    <w:p w14:paraId="36141489" w14:textId="77777777" w:rsidR="001921D2" w:rsidRDefault="00000000">
      <w:pPr>
        <w:pStyle w:val="FirstParagraph"/>
      </w:pPr>
      <w:r>
        <w:rPr>
          <w:rFonts w:hint="eastAsia"/>
        </w:rPr>
        <w:t>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14:paraId="3B64A2B0" w14:textId="77777777" w:rsidR="001921D2" w:rsidRDefault="00000000">
      <w:pPr>
        <w:pStyle w:val="a0"/>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1EC20864" w14:textId="77777777" w:rsidR="001921D2" w:rsidRDefault="00000000">
      <w:pPr>
        <w:pStyle w:val="a0"/>
      </w:pPr>
      <w:r>
        <w:rPr>
          <w:rFonts w:hint="eastAsia"/>
        </w:rPr>
        <w:t>设系统状态特征向量为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14C89EA0" w14:textId="77777777" w:rsidR="001921D2"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6F7A1FBD" w14:textId="77777777" w:rsidR="001921D2" w:rsidRDefault="00000000">
      <w:pPr>
        <w:pStyle w:val="FirstParagraph"/>
      </w:pPr>
      <w:r>
        <w:rPr>
          <w:rFonts w:hint="eastAsia"/>
        </w:rPr>
        <w:lastRenderedPageBreak/>
        <w:t>其中，</w:t>
      </w:r>
      <m:oMath>
        <m:r>
          <m:rPr>
            <m:scr m:val="double-struck"/>
            <m:sty m:val="p"/>
          </m:rPr>
          <w:rPr>
            <w:rFonts w:ascii="Cambria Math" w:hAnsi="Cambria Math"/>
          </w:rPr>
          <m:t>I(⋅)</m:t>
        </m:r>
      </m:oMath>
      <w:r>
        <w:t xml:space="preserve"> </w:t>
      </w:r>
      <w:r>
        <w:rPr>
          <w:rFonts w:hint="eastAsia"/>
        </w:rPr>
        <w:t>为指示函数，条件成立时取</w:t>
      </w:r>
      <w:r>
        <w:t xml:space="preserve"> </w:t>
      </w:r>
      <w:r>
        <w:rPr>
          <w:rFonts w:hint="eastAsia"/>
        </w:rPr>
        <w:t>1</w:t>
      </w:r>
      <w:r>
        <w:rPr>
          <w:rFonts w:hint="eastAsia"/>
        </w:rPr>
        <w:t>，否则取</w:t>
      </w:r>
      <w:r>
        <w:t xml:space="preserve"> </w:t>
      </w:r>
      <w:r>
        <w:rPr>
          <w:rFonts w:hint="eastAsia"/>
        </w:rPr>
        <w:t>0</w:t>
      </w:r>
      <w:r>
        <w:rPr>
          <w:rFonts w:hint="eastAsia"/>
        </w:rPr>
        <w:t>；</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为判别阈值。上述定义表明，事件识别本质上是对是否偏离常态区域的二值判定；当状态进入高偏离区域时触发控制动作更新，否则维持当前控制动作。</w:t>
      </w:r>
    </w:p>
    <w:p w14:paraId="3B2077AB" w14:textId="77777777" w:rsidR="001921D2"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Equation (1):</w:t>
      </w:r>
    </w:p>
    <w:p w14:paraId="679BA513" w14:textId="77777777" w:rsidR="001921D2"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5918AE74" w14:textId="77777777" w:rsidR="001921D2"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22E98F34" w14:textId="77777777" w:rsidR="001921D2" w:rsidRDefault="00000000">
      <w:pPr>
        <w:pStyle w:val="a0"/>
      </w:pPr>
      <w:r>
        <w:rPr>
          <w:rFonts w:hint="eastAsia"/>
        </w:rPr>
        <w:t>为将偏离度检验转化为可流式更新的标量判据，本文采用异常分数函数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作为分布偏离度量</w:t>
      </w:r>
      <w:r>
        <w:t xml:space="preserve">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xml:space="preserve"> </w:t>
      </w:r>
      <w:r>
        <w:rPr>
          <w:rFonts w:hint="eastAsia"/>
        </w:rPr>
        <w:t>的标量化代理，并将集合判别转化为可计算的阈值比较：</w:t>
      </w:r>
    </w:p>
    <w:p w14:paraId="7527896A"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08CFAB4F" w14:textId="77777777" w:rsidR="001921D2"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为触发阈值，对应于公式</w:t>
      </w:r>
      <w:r>
        <w:t xml:space="preserve"> (1) </w:t>
      </w:r>
      <w:r>
        <w:rPr>
          <w:rFonts w:hint="eastAsia"/>
        </w:rPr>
        <w:t>中判别阈值</w:t>
      </w:r>
      <w: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在异常分数空间中的可计算形式。该形式具有两点优势：其一，可与流式统计量直接耦合，支持逐时间步在线更新；其二，便于与后续门控逻辑统一，实现由异常评分到触发决策的一体化建模与实现。</w:t>
      </w:r>
    </w:p>
    <w:p w14:paraId="21EBBCA9" w14:textId="77777777" w:rsidR="001921D2"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Equation (2).</w:t>
      </w:r>
    </w:p>
    <w:p w14:paraId="6BB15364"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0CD925C8" w14:textId="77777777" w:rsidR="001921D2"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018B2647" w14:textId="77777777" w:rsidR="001921D2" w:rsidRDefault="00000000">
      <w:pPr>
        <w:pStyle w:val="a0"/>
      </w:pPr>
      <w:r>
        <w:rPr>
          <w:rFonts w:hint="eastAsia"/>
        </w:rPr>
        <w:t>考虑</w:t>
      </w:r>
      <w:r>
        <w:t xml:space="preserve"> HVAC </w:t>
      </w:r>
      <w:r>
        <w:rPr>
          <w:rFonts w:hint="eastAsia"/>
        </w:rPr>
        <w:t>长周期运行中的气象扰动、设备老化与负荷行为漂移所导致的非平稳性，本文不采用固定阈值，而采用流式自适应更新机制：</w:t>
      </w:r>
    </w:p>
    <w:p w14:paraId="5248233F"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347CFD3B" w14:textId="77777777" w:rsidR="001921D2" w:rsidRDefault="00000000">
      <w:pPr>
        <w:pStyle w:val="FirstParagraph"/>
      </w:pPr>
      <w:r>
        <w:rPr>
          <w:rFonts w:hint="eastAsia"/>
        </w:rPr>
        <w:lastRenderedPageBreak/>
        <w:t>其中，</w:t>
      </w:r>
      <m:oMath>
        <m:r>
          <m:rPr>
            <m:sty m:val="p"/>
          </m:rPr>
          <w:rPr>
            <w:rFonts w:ascii="Cambria Math" w:hAnsi="Cambria Math"/>
          </w:rPr>
          <m:t>Φ(⋅)</m:t>
        </m:r>
      </m:oMath>
      <w:r>
        <w:t xml:space="preserve"> </w:t>
      </w:r>
      <w:r>
        <w:rPr>
          <w:rFonts w:hint="eastAsia"/>
        </w:rPr>
        <w:t>表示由历史异常分数驱动的阈值更新算子。该设计旨在平衡灵敏性与稳定性：在扰动增强时提升事件检出率，在平稳区间抑制冗余触发，从而降低误触发与漏触发风险。</w:t>
      </w:r>
    </w:p>
    <w:p w14:paraId="3A0BA177" w14:textId="77777777" w:rsidR="001921D2"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Equation (3):</w:t>
      </w:r>
    </w:p>
    <w:p w14:paraId="6B3E34AF"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4C781157" w14:textId="77777777" w:rsidR="001921D2" w:rsidRDefault="00000000">
      <w:pPr>
        <w:pStyle w:val="FirstParagraph"/>
      </w:pPr>
      <w:r>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353E0282" w14:textId="77777777" w:rsidR="001921D2" w:rsidRDefault="00000000">
      <w:pPr>
        <w:pStyle w:val="a0"/>
      </w:pPr>
      <w:r>
        <w:rPr>
          <w:rFonts w:hint="eastAsia"/>
        </w:rPr>
        <w:t>（</w:t>
      </w:r>
      <w:r>
        <w:rPr>
          <w:rFonts w:hint="eastAsia"/>
        </w:rPr>
        <w:t>1</w:t>
      </w:r>
      <w:r>
        <w:rPr>
          <w:rFonts w:hint="eastAsia"/>
        </w:rPr>
        <w:t>）系统状态特征定义</w:t>
      </w:r>
    </w:p>
    <w:p w14:paraId="26F30F24" w14:textId="77777777" w:rsidR="001921D2" w:rsidRDefault="00000000">
      <w:pPr>
        <w:pStyle w:val="a0"/>
      </w:pPr>
      <w:r>
        <w:rPr>
          <w:rFonts w:hint="eastAsia"/>
        </w:rPr>
        <w:t>（</w:t>
      </w:r>
      <w:r>
        <w:rPr>
          <w:rFonts w:hint="eastAsia"/>
        </w:rPr>
        <w:t>1</w:t>
      </w:r>
      <w:r>
        <w:rPr>
          <w:rFonts w:hint="eastAsia"/>
        </w:rPr>
        <w:t>）</w:t>
      </w:r>
      <w:r>
        <w:rPr>
          <w:rFonts w:hint="eastAsia"/>
        </w:rPr>
        <w:t>Definition</w:t>
      </w:r>
      <w:r>
        <w:t xml:space="preserve"> of System State Features</w:t>
      </w:r>
    </w:p>
    <w:p w14:paraId="5598B0B8" w14:textId="77777777" w:rsidR="001921D2" w:rsidRDefault="00000000">
      <w:pPr>
        <w:pStyle w:val="a0"/>
      </w:pPr>
      <w:r>
        <w:rPr>
          <w:rFonts w:hint="eastAsia"/>
        </w:rPr>
        <w:t>事件门控模块与强化学习控制器共享同一状态特征输入。本文将该输入定义为紧凑的三维特征向量：</w:t>
      </w:r>
    </w:p>
    <w:p w14:paraId="5DC0581C"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37011F23" w14:textId="77777777" w:rsidR="001921D2"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411449F2" w14:textId="77777777" w:rsidR="001921D2" w:rsidRDefault="00000000">
      <w:pPr>
        <w:pStyle w:val="a0"/>
      </w:pPr>
      <w:r>
        <w:t>The event gating module and the reinforcement learning controller share the same state feature which is defined as a compact three-dimensional feature vector as Equation (4):</w:t>
      </w:r>
    </w:p>
    <w:p w14:paraId="4265A6A6"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0B7110F" w14:textId="77777777" w:rsidR="001921D2" w:rsidRDefault="00000000">
      <w:pPr>
        <w:pStyle w:val="FirstParagraph"/>
      </w:pPr>
      <w:r>
        <w:t xml:space="preserve">where, at the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1A1655BA" w14:textId="77777777" w:rsidR="001921D2"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14:paraId="65E37BE9" w14:textId="77777777" w:rsidR="001921D2" w:rsidRDefault="00000000">
      <w:pPr>
        <w:pStyle w:val="a0"/>
      </w:pPr>
      <w:r>
        <w:lastRenderedPageBreak/>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14:paraId="63159473" w14:textId="77777777" w:rsidR="001921D2" w:rsidRDefault="00000000">
      <w:pPr>
        <w:pStyle w:val="a0"/>
      </w:pPr>
      <w:r>
        <w:rPr>
          <w:rFonts w:hint="eastAsia"/>
        </w:rPr>
        <w:t>（</w:t>
      </w:r>
      <w:r>
        <w:rPr>
          <w:rFonts w:hint="eastAsia"/>
        </w:rPr>
        <w:t>2</w:t>
      </w:r>
      <w:r>
        <w:rPr>
          <w:rFonts w:hint="eastAsia"/>
        </w:rPr>
        <w:t>）流式隔离深度与多尺度异常追踪</w:t>
      </w:r>
    </w:p>
    <w:p w14:paraId="4DECF4D1" w14:textId="77777777" w:rsidR="001921D2" w:rsidRDefault="00000000">
      <w:pPr>
        <w:pStyle w:val="a0"/>
      </w:pPr>
      <w:r>
        <w:rPr>
          <w:rFonts w:hint="eastAsia"/>
        </w:rPr>
        <w:t>（</w:t>
      </w:r>
      <w:r>
        <w:rPr>
          <w:rFonts w:hint="eastAsia"/>
        </w:rPr>
        <w:t>2</w:t>
      </w:r>
      <w:r>
        <w:rPr>
          <w:rFonts w:hint="eastAsia"/>
        </w:rPr>
        <w:t>）</w:t>
      </w:r>
      <w:r>
        <w:rPr>
          <w:rFonts w:hint="eastAsia"/>
        </w:rPr>
        <w:t>Streaming</w:t>
      </w:r>
      <w:r>
        <w:t xml:space="preserve"> Isolation Depth and Multi-Scale Anomaly Tracking</w:t>
      </w:r>
    </w:p>
    <w:p w14:paraId="1678C521" w14:textId="77777777" w:rsidR="001921D2" w:rsidRDefault="00000000">
      <w:pPr>
        <w:pStyle w:val="a0"/>
      </w:pPr>
      <w:r>
        <w:rPr>
          <w:rFonts w:hint="eastAsia"/>
        </w:rPr>
        <w:t>传统离线异常检测通常依赖静态样本库，在季节性工况漂移场景下稳定性受限。为此，本文采用流式隔离深度机制，对在线到达的系统状态特征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322F363E" w14:textId="77777777" w:rsidR="001921D2" w:rsidRDefault="00000000">
      <w:pPr>
        <w:pStyle w:val="a0"/>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5840A54A" w14:textId="77777777" w:rsidR="001921D2" w:rsidRDefault="00000000">
      <w:pPr>
        <w:pStyle w:val="a0"/>
      </w:pPr>
      <w:r>
        <w:rPr>
          <w:rFonts w:hint="eastAsia"/>
        </w:rPr>
        <w:t>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4311EDA3"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1D65351" w14:textId="77777777" w:rsidR="001921D2"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364720BE"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61BFFC74" w14:textId="77777777" w:rsidR="001921D2" w:rsidRDefault="00000000">
      <w:pPr>
        <w:pStyle w:val="FirstParagraph"/>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Equation (5):</w:t>
      </w:r>
    </w:p>
    <w:p w14:paraId="1D44C968"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72EF5765" w14:textId="77777777" w:rsidR="001921D2"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Equation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62F8BBDE"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7B4C2F5A" w14:textId="77777777" w:rsidR="001921D2"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34C18BA1" w14:textId="77777777" w:rsidR="001921D2" w:rsidRDefault="00000000">
      <w:pPr>
        <w:pStyle w:val="a0"/>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001663C1" w14:textId="77777777" w:rsidR="001921D2" w:rsidRDefault="00000000">
      <w:pPr>
        <w:pStyle w:val="a0"/>
      </w:pPr>
      <w:r>
        <w:rPr>
          <w:rFonts w:hint="eastAsia"/>
        </w:rPr>
        <w:t>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75FD826E"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1981B352" w14:textId="77777777" w:rsidR="001921D2"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1FC90D8F" w14:textId="77777777" w:rsidR="001921D2"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7F19E656" w14:textId="77777777" w:rsidR="001921D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1FA664B6" w14:textId="77777777" w:rsidR="001921D2" w:rsidRDefault="00000000">
      <w:pPr>
        <w:pStyle w:val="a0"/>
      </w:pPr>
      <w:r>
        <w:lastRenderedPageBreak/>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 Equation (7):</w:t>
      </w:r>
    </w:p>
    <w:p w14:paraId="4D724A25"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349357D7" w14:textId="77777777" w:rsidR="001921D2"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Equation (8).</w:t>
      </w:r>
    </w:p>
    <w:p w14:paraId="139DAA40" w14:textId="77777777" w:rsidR="001921D2"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299163E"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65F71CD1" w14:textId="77777777" w:rsidR="001921D2" w:rsidRDefault="00000000">
      <w:pPr>
        <w:pStyle w:val="a0"/>
      </w:pPr>
      <w:r>
        <w:rPr>
          <w:rFonts w:hint="eastAsia"/>
        </w:rPr>
        <w:t>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14:paraId="54196507" w14:textId="77777777" w:rsidR="001921D2" w:rsidRDefault="00000000">
      <w:pPr>
        <w:pStyle w:val="a0"/>
      </w:pPr>
      <w:r>
        <w:t>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14:paraId="6D4594FB" w14:textId="77777777" w:rsidR="001921D2" w:rsidRDefault="00000000">
      <w:pPr>
        <w:pStyle w:val="a0"/>
      </w:pPr>
      <w:commentRangeStart w:id="6"/>
      <w:r>
        <w:rPr>
          <w:rFonts w:hint="eastAsia"/>
        </w:rPr>
        <w:t>（</w:t>
      </w:r>
      <w:r>
        <w:rPr>
          <w:rFonts w:hint="eastAsia"/>
        </w:rPr>
        <w:t>3</w:t>
      </w:r>
      <w:r>
        <w:rPr>
          <w:rFonts w:hint="eastAsia"/>
        </w:rPr>
        <w:t>）流式双层自适应阈值优化</w:t>
      </w:r>
      <w:commentRangeEnd w:id="6"/>
      <w:r w:rsidR="00BA75FB">
        <w:rPr>
          <w:rStyle w:val="af4"/>
        </w:rPr>
        <w:commentReference w:id="6"/>
      </w:r>
    </w:p>
    <w:p w14:paraId="2171606A" w14:textId="77777777" w:rsidR="001921D2" w:rsidRDefault="00000000">
      <w:pPr>
        <w:pStyle w:val="a0"/>
      </w:pPr>
      <w:r>
        <w:rPr>
          <w:rFonts w:hint="eastAsia"/>
        </w:rPr>
        <w:t>（</w:t>
      </w:r>
      <w:r>
        <w:rPr>
          <w:rFonts w:hint="eastAsia"/>
        </w:rPr>
        <w:t>3</w:t>
      </w:r>
      <w:r>
        <w:rPr>
          <w:rFonts w:hint="eastAsia"/>
        </w:rPr>
        <w:t>）</w:t>
      </w:r>
      <w:r>
        <w:rPr>
          <w:rFonts w:hint="eastAsia"/>
        </w:rPr>
        <w:t>Streaming</w:t>
      </w:r>
      <w:r>
        <w:t xml:space="preserve"> Two-Layer Adaptive Threshold Optimization</w:t>
      </w:r>
    </w:p>
    <w:p w14:paraId="158C8678" w14:textId="77777777" w:rsidR="001921D2" w:rsidRDefault="00000000">
      <w:pPr>
        <w:pStyle w:val="a0"/>
      </w:pPr>
      <w:r>
        <w:rPr>
          <w:rFonts w:hint="eastAsia"/>
        </w:rPr>
        <w:t>本文构造局部</w:t>
      </w:r>
      <w:r>
        <w:t xml:space="preserve"> - </w:t>
      </w:r>
      <w:r>
        <w:rPr>
          <w:rFonts w:hint="eastAsia"/>
        </w:rPr>
        <w:t>全局双层自适应阈值。具体而言，首先在滑动窗口内基于上分位数与绝对中位差分别估计异常分数经验分布的上尾边界，并加权融合为候选阈值；随</w:t>
      </w:r>
      <w:r>
        <w:rPr>
          <w:rFonts w:hint="eastAsia"/>
        </w:rPr>
        <w:lastRenderedPageBreak/>
        <w:t>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14:paraId="4B0F79C4" w14:textId="77777777" w:rsidR="001921D2" w:rsidRDefault="00000000">
      <w:pPr>
        <w:pStyle w:val="a0"/>
      </w:pPr>
      <w:r>
        <w:t>The local-global two-layer adaptive threshold is constructed as follows. Starting from the empirical anomaly score distribution within the sliding window, upper-tail boundaries are first estimated separately using the upper quantile and the median absolute deviation (MAD), and then combined into a candidate threshold through weighted fusion. Local exponential smoothing is then applied to this candidate threshold, yielding a local threshold that tracks recent operating condition changes. To capture longer-term trends, a global threshold with a slower update rate is introduced to provide a smooth baseline constraint against drift. Finally, the triggering threshold is determined by combining both the local and global components rather than relying on a single statistic.</w:t>
      </w:r>
    </w:p>
    <w:p w14:paraId="2BBF3BAE" w14:textId="77777777" w:rsidR="001921D2" w:rsidRDefault="00000000">
      <w:pPr>
        <w:pStyle w:val="a0"/>
      </w:pPr>
      <w:r>
        <w:rPr>
          <w:rFonts w:hint="eastAsia"/>
        </w:rPr>
        <w:t>为降低异常样本对位置统计量和尺度统计量的影响，本文采用两类鲁棒统计量构造候选阈值：基于上分位数的阈值</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与基于绝对中位差（</w:t>
      </w:r>
      <w:r>
        <w:rPr>
          <w:rFonts w:hint="eastAsia"/>
        </w:rPr>
        <w:t>MAD</w:t>
      </w:r>
      <w:r>
        <w:rPr>
          <w:rFonts w:hint="eastAsia"/>
        </w:rPr>
        <w:t>）的阈值</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rPr>
          <w:rFonts w:hint="eastAsia"/>
        </w:rPr>
        <w:t>。前者表征异常分数经验分布的上尾位置，后者刻画围绕中位数的稳健离散度，二者定义如下：</w:t>
      </w:r>
    </w:p>
    <w:p w14:paraId="62615621"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4B321A9C" w14:textId="77777777" w:rsidR="001921D2"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e>
              <m:r>
                <w:rPr>
                  <w:rFonts w:ascii="Cambria Math" w:hAnsi="Cambria Math"/>
                </w:rPr>
                <m:t>&amp;</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e>
                  </m:d>
                </m:e>
              </m:d>
            </m:e>
          </m:eqArr>
        </m:oMath>
      </m:oMathPara>
    </w:p>
    <w:p w14:paraId="5C33BEB8" w14:textId="77777777" w:rsidR="001921D2" w:rsidRDefault="00000000">
      <w:pPr>
        <w:pStyle w:val="FirstParagraph"/>
      </w:pPr>
      <w:r>
        <w:rPr>
          <w:rFonts w:hint="eastAsia"/>
        </w:rPr>
        <w:t>其中，</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表示长度为</w:t>
      </w:r>
      <w:r>
        <w:t xml:space="preserve"> </w:t>
      </w:r>
      <m:oMath>
        <m:r>
          <w:rPr>
            <w:rFonts w:ascii="Cambria Math" w:hAnsi="Cambria Math"/>
          </w:rPr>
          <m:t>W</m:t>
        </m:r>
      </m:oMath>
      <w:r>
        <w:t xml:space="preserve"> </w:t>
      </w:r>
      <w:r>
        <w:rPr>
          <w:rFonts w:hint="eastAsia"/>
        </w:rPr>
        <w:t>的异常分数滑动窗口，</w:t>
      </w:r>
      <m:oMath>
        <m:r>
          <w:rPr>
            <w:rFonts w:ascii="Cambria Math" w:hAnsi="Cambria Math"/>
          </w:rPr>
          <m:t>W</m:t>
        </m:r>
      </m:oMath>
      <w:r>
        <w:t xml:space="preserve"> </w:t>
      </w:r>
      <w:r>
        <w:rPr>
          <w:rFonts w:hint="eastAsia"/>
        </w:rPr>
        <w:t>为窗口长度；</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表示分位点为</w:t>
      </w:r>
      <w:r>
        <w:t xml:space="preserve"> </w:t>
      </w:r>
      <m:oMath>
        <m:r>
          <w:rPr>
            <w:rFonts w:ascii="Cambria Math" w:hAnsi="Cambria Math"/>
          </w:rPr>
          <m:t>q</m:t>
        </m:r>
      </m:oMath>
      <w:r>
        <w:t xml:space="preserve"> </w:t>
      </w:r>
      <w:r>
        <w:rPr>
          <w:rFonts w:hint="eastAsia"/>
        </w:rPr>
        <w:t>的经验分位数，且</w:t>
      </w:r>
      <w:r>
        <w:t xml:space="preserve">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w:t>
      </w:r>
      <m:oMath>
        <m:r>
          <m:rPr>
            <m:sty m:val="p"/>
          </m:rPr>
          <w:rPr>
            <w:rFonts w:ascii="Cambria Math" w:hAnsi="Cambria Math"/>
          </w:rPr>
          <m:t>med(⋅)</m:t>
        </m:r>
      </m:oMath>
      <w:r>
        <w:t xml:space="preserve"> </w:t>
      </w:r>
      <w:r>
        <w:rPr>
          <w:rFonts w:hint="eastAsia"/>
        </w:rPr>
        <w:t>为中位数函数；</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为高斯分布下的正常一致性校正常数。</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主要表征异常分数经验分布的上尾位置，而</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则根据窗口内分数的稳健离散程度对该边界进行修正。</w:t>
      </w:r>
    </w:p>
    <w:p w14:paraId="48286FD6" w14:textId="77777777" w:rsidR="001921D2" w:rsidRDefault="00000000">
      <w:pPr>
        <w:pStyle w:val="a0"/>
      </w:pPr>
      <w:r>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They are defined as Equations (9a) and (9b):</w:t>
      </w:r>
    </w:p>
    <w:p w14:paraId="52573A29"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775F136E" w14:textId="77777777" w:rsidR="001921D2"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e>
              <m:r>
                <w:rPr>
                  <w:rFonts w:ascii="Cambria Math" w:hAnsi="Cambria Math"/>
                </w:rPr>
                <m:t>&amp;</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e>
                  </m:d>
                </m:e>
              </m:d>
            </m:e>
          </m:eqArr>
        </m:oMath>
      </m:oMathPara>
    </w:p>
    <w:p w14:paraId="15794951" w14:textId="77777777" w:rsidR="001921D2" w:rsidRDefault="00000000">
      <w:pPr>
        <w:pStyle w:val="FirstParagraph"/>
      </w:pPr>
      <w:r>
        <w:lastRenderedPageBreak/>
        <w:t xml:space="preserve">where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68FE60B2" w14:textId="77777777" w:rsidR="001921D2" w:rsidRDefault="00000000">
      <w:pPr>
        <w:pStyle w:val="a0"/>
      </w:pPr>
      <w:r>
        <w:rPr>
          <w:rFonts w:hint="eastAsia"/>
        </w:rPr>
        <w:t>在此基础上，本文构造局部候选阈值，用于给出当前窗口下的触发阈值估计：</w:t>
      </w:r>
    </w:p>
    <w:p w14:paraId="01D07651"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557B940" w14:textId="77777777" w:rsidR="001921D2"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为融合权重。</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较大时，候选阈值更接近上尾分位边界，因此更依赖当前异常分数是否超过历史窗口中的高分位水平；</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较小时，候选阈值更强调</w:t>
      </w:r>
      <w:r>
        <w:t xml:space="preserve"> MAD </w:t>
      </w:r>
      <w:r>
        <w:rPr>
          <w:rFonts w:hint="eastAsia"/>
        </w:rPr>
        <w:t>所反映的稳健波动尺度，因此对分数分布的扩张或收缩更为敏感。</w:t>
      </w:r>
    </w:p>
    <w:p w14:paraId="016A8C18" w14:textId="77777777" w:rsidR="001921D2" w:rsidRDefault="00000000">
      <w:pPr>
        <w:pStyle w:val="a0"/>
      </w:pPr>
      <w:r>
        <w:t>On this basis, we construct the local candidate threshold to provide an initial estimate of the triggering boundary for the current window as Equation (10):</w:t>
      </w:r>
    </w:p>
    <w:p w14:paraId="6F8D35E7"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759E02C"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places greater emphasis on the robust fluctuation scale reflected by MAD, thereby increasing sensitivity to expansion or contraction of the score distribution.</w:t>
      </w:r>
    </w:p>
    <w:p w14:paraId="6DF9C3BC" w14:textId="77777777" w:rsidR="001921D2" w:rsidRDefault="00000000">
      <w:pPr>
        <w:pStyle w:val="a0"/>
      </w:pPr>
      <w:r>
        <w:rPr>
          <w:rFonts w:hint="eastAsia"/>
        </w:rPr>
        <w:t>由于</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仍可能受到单时刻尖峰扰动的影响，本文进一步对其进行快时间尺度上的指数平滑，得到局部阈值：</w:t>
      </w:r>
    </w:p>
    <w:p w14:paraId="21D6F5A4"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E9A4F3F" w14:textId="77777777" w:rsidR="001921D2" w:rsidRDefault="00000000">
      <w:pPr>
        <w:pStyle w:val="FirstParagraph"/>
      </w:pPr>
      <w:r>
        <w:rPr>
          <w:rFonts w:hint="eastAsia"/>
        </w:rPr>
        <w:t>式中，</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为局部更新率，</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oMath>
      <w:r>
        <w:t xml:space="preserve"> </w:t>
      </w:r>
      <w:r>
        <w:rPr>
          <w:rFonts w:hint="eastAsia"/>
        </w:rPr>
        <w:t>取首个完整滑动窗口上得到的候选阈值。该步骤通过一阶平滑在阈值响应性与抗抖动性之间取得折衷。</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较大时，局部阈值更快跟随近期工况切换；</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较小时，局部阈值对短时脉冲噪声更不敏感。</w:t>
      </w:r>
    </w:p>
    <w:p w14:paraId="10DF0658" w14:textId="77777777" w:rsidR="001921D2"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Equation (11):</w:t>
      </w:r>
    </w:p>
    <w:p w14:paraId="57032B5E"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2FA3A757"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this design achieves a trade-off between threshold </w:t>
      </w:r>
      <w:r>
        <w:lastRenderedPageBreak/>
        <w:t xml:space="preserve">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3457878D" w14:textId="77777777" w:rsidR="001921D2" w:rsidRDefault="00000000">
      <w:pPr>
        <w:pStyle w:val="a0"/>
      </w:pPr>
      <w:r>
        <w:rPr>
          <w:rFonts w:hint="eastAsia"/>
        </w:rPr>
        <w:t>若系统因季节变化、设备老化或运行边界迁移而发生缓慢漂移，局部阈值可能被长期变化逐步牵引，从而削弱对持续分布偏移的识别能力。因此，本文进一步在更慢时间尺度上构造全局阈值，作为长期基线参考：</w:t>
      </w:r>
    </w:p>
    <w:p w14:paraId="1CF808FD"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727D8070" w14:textId="77777777" w:rsidR="001921D2"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rPr>
          <w:rFonts w:hint="eastAsia"/>
        </w:rPr>
        <w:t>（</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rPr>
          <w:rFonts w:hint="eastAsia"/>
        </w:rPr>
        <w:t>为首个完整滑动窗口可用时的时间步），且</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，以保证全局阈值具有更强的平滑性与迟滞性。</w:t>
      </w:r>
    </w:p>
    <w:p w14:paraId="53B5412C" w14:textId="77777777" w:rsidR="001921D2" w:rsidRDefault="00000000">
      <w:pPr>
        <w:pStyle w:val="a0"/>
      </w:pPr>
      <w:r>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Equation (12):</w:t>
      </w:r>
    </w:p>
    <w:p w14:paraId="6B9211D1"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5DC28126" w14:textId="77777777" w:rsidR="001921D2"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09E18352" w14:textId="77777777" w:rsidR="001921D2" w:rsidRDefault="00000000">
      <w:pPr>
        <w:pStyle w:val="a0"/>
      </w:pPr>
      <w:r>
        <w:rPr>
          <w:rFonts w:hint="eastAsia"/>
        </w:rPr>
        <w:t>最终，流式双层自适应阈值由局部阈值与全局阈值融合得到：</w:t>
      </w:r>
    </w:p>
    <w:p w14:paraId="2B77A593" w14:textId="77777777" w:rsidR="001921D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2817C881" w14:textId="77777777" w:rsidR="001921D2" w:rsidRDefault="00000000">
      <w:pPr>
        <w:pStyle w:val="FirstParagraph"/>
      </w:pPr>
      <w:r>
        <w:rPr>
          <w:rFonts w:hint="eastAsia"/>
        </w:rPr>
        <w:t>其中，</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控制短期信息与长期信息的融合比例：当其增大时，最终阈值更偏向近期工况，响应更灵敏；当其减小时，最终阈值更偏向长期基线，判定更稳定。</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14:paraId="3373B702" w14:textId="77777777" w:rsidR="001921D2" w:rsidRDefault="00000000">
      <w:pPr>
        <w:pStyle w:val="a0"/>
      </w:pPr>
      <w:r>
        <w:t>The final streaming two-layer adaptive threshold is obtained by fusing the local and global thresholds as Equation (13):</w:t>
      </w:r>
    </w:p>
    <w:p w14:paraId="79409FC4" w14:textId="77777777" w:rsidR="001921D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3F3E0C74"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a global offset correction that compensates for potential systematic bias </w:t>
      </w:r>
      <w:r>
        <w:lastRenderedPageBreak/>
        <w:t>arising from finite-window estimation at different operating stages. During highly stable phases such as nighttime low-load periods, the triggering boundary computed from local and global statistics alone may exhibit bias under window effects, leading to frequent boundary oscillations, incorporating this offset therefore improves the robustness of the decision criterion.</w:t>
      </w:r>
    </w:p>
    <w:p w14:paraId="4A70877F" w14:textId="77777777" w:rsidR="001921D2" w:rsidRDefault="00000000">
      <w:pPr>
        <w:pStyle w:val="2"/>
      </w:pPr>
      <w:bookmarkStart w:id="7" w:name="X814d24bd9ffe6807b0228de402160123fcf70b2"/>
      <w:bookmarkEnd w:id="5"/>
      <w:r>
        <w:t xml:space="preserve">3.2 </w:t>
      </w:r>
      <w:r>
        <w:rPr>
          <w:rFonts w:hint="eastAsia"/>
        </w:rPr>
        <w:t>在线流式事件门控模块构建</w:t>
      </w:r>
      <w:r>
        <w:t xml:space="preserve"> / Online Streaming Event Gating Module Construction</w:t>
      </w:r>
    </w:p>
    <w:p w14:paraId="5A0AE64E" w14:textId="77777777" w:rsidR="001921D2" w:rsidRDefault="00000000">
      <w:pPr>
        <w:pStyle w:val="FirstParagraph"/>
      </w:pPr>
      <w:r>
        <w:rPr>
          <w:rFonts w:hint="eastAsia"/>
        </w:rPr>
        <w:t>在获得基础自适应门控阈值</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t>
      </w:r>
      <w:r>
        <w:rPr>
          <w:rFonts w:hint="eastAsia"/>
        </w:rPr>
        <w:t>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与自适应阈值实现对当前状态偏离程度的阈值判定，后者通过最小触发间隔约束显式控制动作更新频率，避免短时高频波动引发连续触发，进而导致执行器过度切换。</w:t>
      </w:r>
    </w:p>
    <w:p w14:paraId="6F323000" w14:textId="77777777" w:rsidR="001921D2" w:rsidRDefault="00000000">
      <w:pPr>
        <w:pStyle w:val="a0"/>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14:paraId="73685EE4" w14:textId="77777777" w:rsidR="001921D2" w:rsidRDefault="00000000">
      <w:pPr>
        <w:pStyle w:val="a0"/>
      </w:pPr>
      <w:r>
        <w:rPr>
          <w:rFonts w:hint="eastAsia"/>
        </w:rPr>
        <w:t>在每个控制时刻，门控模块接收当前系统状态特征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并执行二值触发判定：</w:t>
      </w:r>
    </w:p>
    <w:p w14:paraId="060D4A71"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6ED7D09" w14:textId="77777777" w:rsidR="001921D2"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1FE28DA6" w14:textId="77777777" w:rsidR="001921D2" w:rsidRDefault="00000000">
      <w:pPr>
        <w:pStyle w:val="FirstParagraph"/>
      </w:pPr>
      <w:r>
        <w:rPr>
          <w:rFonts w:hint="eastAsia"/>
        </w:rPr>
        <w:t>上式中，</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t>
      </w:r>
      <w:r>
        <w:rPr>
          <w:rFonts w:hint="eastAsia"/>
        </w:rPr>
        <w:t>为式</w:t>
      </w:r>
      <w:r>
        <w:t xml:space="preserve"> (13) </w:t>
      </w:r>
      <w:r>
        <w:rPr>
          <w:rFonts w:hint="eastAsia"/>
        </w:rPr>
        <w:t>给出的流式双层自适应阈值；</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为滞回裕度，用于防止阈值边界附近的触发信号反复翻转；</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记录系统上一次触发控制动作更新的时间步；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表示当前时刻触发控制动作的重新生成，</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表示维持上一时刻的控制指令。</w:t>
      </w:r>
    </w:p>
    <w:p w14:paraId="5160E8CE" w14:textId="77777777" w:rsidR="001921D2"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Equations (14) and (15):</w:t>
      </w:r>
    </w:p>
    <w:p w14:paraId="0DCFF5F7"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7E1BB102" w14:textId="77777777" w:rsidR="001921D2"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0762A758" w14:textId="77777777" w:rsidR="001921D2" w:rsidRDefault="00000000">
      <w:pPr>
        <w:pStyle w:val="FirstParagraph"/>
      </w:pPr>
      <w:r>
        <w:t xml:space="preserve">In these equations,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(13). The function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term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The variable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command from the previous time step is held via a zero-order hold.</w:t>
      </w:r>
    </w:p>
    <w:p w14:paraId="6EBA9A21" w14:textId="77777777" w:rsidR="001921D2" w:rsidRDefault="00000000">
      <w:pPr>
        <w:pStyle w:val="a0"/>
      </w:pPr>
      <w:r>
        <w:rPr>
          <w:rFonts w:hint="eastAsia"/>
        </w:rPr>
        <w:t>无论</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取值如何，门控模块均在每个时间步执行异常分数窗口维护与双层阈值递推更新。具体而言，在执行式</w:t>
      </w:r>
      <w:r>
        <w:t xml:space="preserve"> (15) </w:t>
      </w:r>
      <w:r>
        <w:rPr>
          <w:rFonts w:hint="eastAsia"/>
        </w:rPr>
        <w:t>的触发判定后，将当前异常分数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追加至滑动窗口</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w:r>
        <w:rPr>
          <w:rFonts w:hint="eastAsia"/>
        </w:rPr>
        <w:t>，并按式</w:t>
      </w:r>
      <w:r>
        <w:t xml:space="preserve"> (10)–(13) </w:t>
      </w:r>
      <w:r>
        <w:rPr>
          <w:rFonts w:hint="eastAsia"/>
        </w:rPr>
        <w:t>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14:paraId="07B7E8EA" w14:textId="77777777" w:rsidR="001921D2"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w:r>
        <w:t xml:space="preserve"> and sequentially update the candidate threshold, local threshold, and global threshold according to Eqs. (10) to (13), thereby providing the most recent statistical reference baseline for the next time step. This design ensures that the gating module’s threshold estimation is always grounded in the latest observations, thereby preventing the statistics from lagging behind operating condition changes due to trigger sparsification and guaranteeing trigger sensitivity is promptly restored once a stable period ends and disturbances intensify.</w:t>
      </w:r>
    </w:p>
    <w:p w14:paraId="356F157A" w14:textId="77777777" w:rsidR="001921D2" w:rsidRDefault="00000000">
      <w:pPr>
        <w:pStyle w:val="2"/>
      </w:pPr>
      <w:bookmarkStart w:id="8" w:name="Xf8a19abc77548207adb2ebdab25677e1275e005"/>
      <w:bookmarkEnd w:id="7"/>
      <w:r>
        <w:t xml:space="preserve">3.3 </w:t>
      </w:r>
      <w:r>
        <w:rPr>
          <w:rFonts w:hint="eastAsia"/>
        </w:rPr>
        <w:t>基于动态阈值事件触发的预测型强化学习控制算法</w:t>
      </w:r>
      <w:r>
        <w:t xml:space="preserve"> / Predictive RL Control Algorithm with Dynamic Event Triggering</w:t>
      </w:r>
    </w:p>
    <w:p w14:paraId="0197B334" w14:textId="77777777" w:rsidR="001921D2" w:rsidRDefault="00000000">
      <w:pPr>
        <w:pStyle w:val="FirstParagraph"/>
      </w:pPr>
      <w:r>
        <w:rPr>
          <w:rFonts w:hint="eastAsia"/>
        </w:rPr>
        <w:t>基于上述门控模块提供的触发判定信号，为兼顾控制性能与在线计算开销，本文构建结合短期负荷预测信息的轻量级</w:t>
      </w:r>
      <w:r>
        <w:t xml:space="preserve"> DQN </w:t>
      </w:r>
      <w:r>
        <w:rPr>
          <w:rFonts w:hint="eastAsia"/>
        </w:rPr>
        <w:t>智能体作为强化学习控制器。该控制器在触发时刻接收状态向量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14:paraId="33C2891D" w14:textId="77777777" w:rsidR="001921D2" w:rsidRDefault="00000000">
      <w:pPr>
        <w:pStyle w:val="a0"/>
      </w:pPr>
      <w:r>
        <w:lastRenderedPageBreak/>
        <w:t xml:space="preserve">Building on the trigger signal produced by the gating module, we construct a lightweight DQN agent augmented with short-term load prediction as the RL controller, balancing control performance against online computational cost. At each trigger instant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guided by a composite reward function, outputs a chilled water supply temperature setpoint that trades off energy reduction with temperature tracking quality. The module adopts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4912F25B" w14:textId="77777777" w:rsidR="001921D2" w:rsidRDefault="00000000">
      <w:pPr>
        <w:pStyle w:val="a0"/>
      </w:pPr>
      <w:r>
        <w:rPr>
          <w:b/>
          <w:bCs/>
        </w:rPr>
        <w:t xml:space="preserve">(1) </w:t>
      </w:r>
      <w:r>
        <w:rPr>
          <w:rFonts w:hint="eastAsia"/>
          <w:b/>
          <w:bCs/>
        </w:rPr>
        <w:t>任务建模与问题定义</w:t>
      </w:r>
      <w:r>
        <w:rPr>
          <w:b/>
          <w:bCs/>
        </w:rPr>
        <w:t xml:space="preserve"> / Task formulation and problem definition</w:t>
      </w:r>
    </w:p>
    <w:p w14:paraId="76E863B6" w14:textId="77777777" w:rsidR="001921D2" w:rsidRDefault="00000000">
      <w:pPr>
        <w:pStyle w:val="a0"/>
      </w:pPr>
      <w:r>
        <w:rPr>
          <w:rFonts w:hint="eastAsia"/>
        </w:rPr>
        <w:t>针对建筑</w:t>
      </w:r>
      <w:r>
        <w:t xml:space="preserve"> HVAC </w:t>
      </w:r>
      <w:r>
        <w:rPr>
          <w:rFonts w:hint="eastAsia"/>
        </w:rPr>
        <w:t>控制中状态维度高、样本间存在强时序关联的问题，本文采用紧凑表征并构建马尔可夫决策过程模型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，其中</w:t>
      </w:r>
      <w:r>
        <w:t xml:space="preserve"> </w:t>
      </w:r>
      <m:oMath>
        <m:r>
          <m:rPr>
            <m:scr m:val="script"/>
            <m:sty m:val="p"/>
          </m:rPr>
          <w:rPr>
            <w:rFonts w:ascii="Cambria Math" w:hAnsi="Cambria Math"/>
          </w:rPr>
          <m:t>S</m:t>
        </m:r>
      </m:oMath>
      <w:r>
        <w:t xml:space="preserve"> </w:t>
      </w:r>
      <w:r>
        <w:rPr>
          <w:rFonts w:hint="eastAsia"/>
        </w:rPr>
        <w:t>为状态空间，</w:t>
      </w:r>
      <m:oMath>
        <m:r>
          <m:rPr>
            <m:scr m:val="script"/>
            <m:sty m:val="p"/>
          </m:rPr>
          <w:rPr>
            <w:rFonts w:ascii="Cambria Math" w:hAnsi="Cambria Math"/>
          </w:rPr>
          <m:t>A</m:t>
        </m:r>
      </m:oMath>
      <w:r>
        <w:t xml:space="preserve"> </w:t>
      </w:r>
      <w:r>
        <w:rPr>
          <w:rFonts w:hint="eastAsia"/>
        </w:rPr>
        <w:t>为动作空间，</w:t>
      </w:r>
      <m:oMath>
        <m:r>
          <m:rPr>
            <m:scr m:val="script"/>
            <m:sty m:val="p"/>
          </m:rPr>
          <w:rPr>
            <w:rFonts w:ascii="Cambria Math" w:hAnsi="Cambria Math"/>
          </w:rPr>
          <m:t>P</m:t>
        </m:r>
      </m:oMath>
      <w:r>
        <w:t xml:space="preserve"> </w:t>
      </w:r>
      <w:r>
        <w:rPr>
          <w:rFonts w:hint="eastAsia"/>
        </w:rPr>
        <w:t>为状态转移概率核，</w:t>
      </w:r>
      <m:oMath>
        <m:r>
          <m:rPr>
            <m:scr m:val="script"/>
            <m:sty m:val="p"/>
          </m:rPr>
          <w:rPr>
            <w:rFonts w:ascii="Cambria Math" w:hAnsi="Cambria Math"/>
          </w:rPr>
          <m:t>R</m:t>
        </m:r>
      </m:oMath>
      <w:r>
        <w:t xml:space="preserve"> </w:t>
      </w:r>
      <w:r>
        <w:rPr>
          <w:rFonts w:hint="eastAsia"/>
        </w:rPr>
        <w:t>为奖励函数，</w:t>
      </w:r>
      <m:oMath>
        <m:r>
          <w:rPr>
            <w:rFonts w:ascii="Cambria Math" w:hAnsi="Cambria Math"/>
          </w:rPr>
          <m:t>γ</m:t>
        </m:r>
      </m:oMath>
      <w:r>
        <w:t xml:space="preserve"> </w:t>
      </w:r>
      <w:r>
        <w:rPr>
          <w:rFonts w:hint="eastAsia"/>
        </w:rPr>
        <w:t>为折扣因子。状态空间</w:t>
      </w:r>
      <w:r>
        <w:t xml:space="preserve"> </w:t>
      </w:r>
      <m:oMath>
        <m:r>
          <m:rPr>
            <m:scr m:val="script"/>
            <m:sty m:val="p"/>
          </m:rPr>
          <w:rPr>
            <w:rFonts w:ascii="Cambria Math" w:hAnsi="Cambria Math"/>
          </w:rPr>
          <m:t>S</m:t>
        </m:r>
      </m:oMath>
      <w:r>
        <w:t xml:space="preserve"> </w:t>
      </w:r>
      <w:r>
        <w:rPr>
          <w:rFonts w:hint="eastAsia"/>
        </w:rPr>
        <w:t>中的状态向量定义为：</w:t>
      </w:r>
    </w:p>
    <w:p w14:paraId="4C462CC3" w14:textId="77777777" w:rsidR="001921D2" w:rsidRDefault="00000000">
      <w:pPr>
        <w:pStyle w:val="a0"/>
      </w:pPr>
      <w:r>
        <w:t xml:space="preserve">Building HVAC control involves high-dimensional states with strong temporal correlations among samples. To address this, we adopt a compact state representation and formulate the problem as a Markov decision process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the action space, </w:t>
      </w:r>
      <m:oMath>
        <m:r>
          <m:rPr>
            <m:scr m:val="script"/>
            <m:sty m:val="p"/>
          </m:rPr>
          <w:rPr>
            <w:rFonts w:ascii="Cambria Math" w:hAnsi="Cambria Math"/>
          </w:rPr>
          <m:t>P</m:t>
        </m:r>
      </m:oMath>
      <w:r>
        <w:t xml:space="preserve"> the state transition probability kernel, </w:t>
      </w:r>
      <m:oMath>
        <m:r>
          <m:rPr>
            <m:scr m:val="script"/>
            <m:sty m:val="p"/>
          </m:rPr>
          <w:rPr>
            <w:rFonts w:ascii="Cambria Math" w:hAnsi="Cambria Math"/>
          </w:rPr>
          <m:t>R</m:t>
        </m:r>
      </m:oMath>
      <w:r>
        <w:t xml:space="preserve"> the reward function, and </w:t>
      </w:r>
      <m:oMath>
        <m:r>
          <w:rPr>
            <w:rFonts w:ascii="Cambria Math" w:hAnsi="Cambria Math"/>
          </w:rPr>
          <m:t>γ</m:t>
        </m:r>
      </m:oMath>
      <w:r>
        <w:t xml:space="preserve"> the discount factor. The state vector in </w:t>
      </w:r>
      <m:oMath>
        <m:r>
          <m:rPr>
            <m:scr m:val="script"/>
            <m:sty m:val="p"/>
          </m:rPr>
          <w:rPr>
            <w:rFonts w:ascii="Cambria Math" w:hAnsi="Cambria Math"/>
          </w:rPr>
          <m:t>S</m:t>
        </m:r>
      </m:oMath>
      <w:r>
        <w:t xml:space="preserve"> is defined as Equation (16):</w:t>
      </w:r>
    </w:p>
    <w:p w14:paraId="3B300131"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3BAA9229" w14:textId="77777777" w:rsidR="001921D2" w:rsidRDefault="00000000">
      <w:pPr>
        <w:pStyle w:val="FirstParagraph"/>
      </w:pPr>
      <w:r>
        <w:rPr>
          <w:rFonts w:hint="eastAsia"/>
        </w:rPr>
        <w:t>此处</w:t>
      </w:r>
      <w:r>
        <w:t xml:space="preserve"> MDP </w:t>
      </w:r>
      <w:r>
        <w:rPr>
          <w:rFonts w:hint="eastAsia"/>
        </w:rPr>
        <w:t>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与式</w:t>
      </w:r>
      <w:r>
        <w:t xml:space="preserve"> (4) </w:t>
      </w:r>
      <w:r>
        <w:rPr>
          <w:rFonts w:hint="eastAsia"/>
        </w:rPr>
        <w:t>中门控模块的状态特征向量保持一致。引入预测项</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，通过紧凑状态表征实现前瞻感知，避免引入长历史序列堆叠，其隐含的长期信息缺失由门控机制的多尺度统计量进行补偿。</w:t>
      </w:r>
    </w:p>
    <w:p w14:paraId="19B6152D" w14:textId="77777777" w:rsidR="001921D2" w:rsidRDefault="00000000">
      <w:pPr>
        <w:pStyle w:val="a0"/>
      </w:pPr>
      <w:r>
        <w:t xml:space="preserve">This MDP state definition is consistent with the feature vector used by the gating module in Eq. (4). The predictive term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provides anticipatory awareness through a compact representation, eliminating the need to stack long historical sequences. The long-horizon information that is implicitly omitted is compensated by the multi-scale statistics maintained within the gating mechanism.</w:t>
      </w:r>
    </w:p>
    <w:p w14:paraId="7957107F" w14:textId="77777777" w:rsidR="001921D2"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1C20DE56" w14:textId="77777777" w:rsidR="001921D2" w:rsidRDefault="00000000">
      <w:pPr>
        <w:pStyle w:val="a0"/>
      </w:pPr>
      <w:r>
        <w:t xml:space="preserve">The action space </w:t>
      </w:r>
      <m:oMath>
        <m:r>
          <m:rPr>
            <m:scr m:val="script"/>
            <m:sty m:val="p"/>
          </m:rPr>
          <w:rPr>
            <w:rFonts w:ascii="Cambria Math" w:hAnsi="Cambria Math"/>
          </w:rPr>
          <m:t>A</m:t>
        </m:r>
      </m:oMath>
      <w:r>
        <w:t xml:space="preserve"> is defined as a discretized set of supply temperature setpoints, and the agent outputs an action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t xml:space="preserve"> at time step </w:t>
      </w:r>
      <m:oMath>
        <m:r>
          <w:rPr>
            <w:rFonts w:ascii="Cambria Math" w:hAnsi="Cambria Math"/>
          </w:rPr>
          <m:t>t</m:t>
        </m:r>
      </m:oMath>
      <w:r>
        <w:t xml:space="preserve">. To ensure execution safety, the control architecture follows a hierarchical strategy: the upper-level RL module handles setpoint optimization, while a lower-level rule-based module enforces </w:t>
      </w:r>
      <w:r>
        <w:lastRenderedPageBreak/>
        <w:t>constraints such as unit start/stop sequencing and minimum run-time requirements.</w:t>
      </w:r>
    </w:p>
    <w:p w14:paraId="33FE4902" w14:textId="77777777" w:rsidR="001921D2" w:rsidRDefault="00000000">
      <w:pPr>
        <w:pStyle w:val="a0"/>
      </w:pPr>
      <w:r>
        <w:rPr>
          <w:rFonts w:hint="eastAsia"/>
        </w:rPr>
        <w:t>奖励函数采用加权组合形式：</w:t>
      </w:r>
    </w:p>
    <w:p w14:paraId="3D439B4E"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65A9E769" w14:textId="77777777" w:rsidR="001921D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r>
        <w:t xml:space="preserve"> Equation </w:t>
      </w:r>
      <w:r>
        <w:rPr>
          <w:rFonts w:hint="eastAsia"/>
        </w:rPr>
        <w:t>(18)</w:t>
      </w:r>
      <w:r>
        <w:rPr>
          <w:rFonts w:hint="eastAsia"/>
        </w:rPr>
        <w:t>：</w:t>
      </w:r>
    </w:p>
    <w:p w14:paraId="421F8C73"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4F5BE16E" w14:textId="77777777" w:rsidR="001921D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为机组瞬时运行功率，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为额定功率。温控跟踪项采用高斯径向基函数对设定点跟踪精度进行连续量化，定义为</w:t>
      </w:r>
      <w:r>
        <w:t xml:space="preserve"> Equation </w:t>
      </w:r>
      <w:r>
        <w:rPr>
          <w:rFonts w:hint="eastAsia"/>
        </w:rPr>
        <w:t>(19)</w:t>
      </w:r>
      <w:r>
        <w:rPr>
          <w:rFonts w:hint="eastAsia"/>
        </w:rPr>
        <w:t>：</w:t>
      </w:r>
    </w:p>
    <w:p w14:paraId="12E42802"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55DF8F8B" w14:textId="77777777" w:rsidR="001921D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为高斯核带宽参数，决定奖励函数对温度偏差的敏感程度。</w:t>
      </w:r>
    </w:p>
    <w:p w14:paraId="7C92B7E3" w14:textId="77777777" w:rsidR="001921D2" w:rsidRDefault="00000000">
      <w:pPr>
        <w:pStyle w:val="a0"/>
      </w:pPr>
      <w:r>
        <w:t>The reward function takes a weighted combination form as Equation (17):</w:t>
      </w:r>
    </w:p>
    <w:p w14:paraId="23A56AFD"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1C063890"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The energy efficiency term is defined as Equation (18)</w:t>
      </w:r>
    </w:p>
    <w:p w14:paraId="35B4BF2F"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721743DD"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The temperature tracking term employs a Gaussian radial basis function to provide a continuous measure of setpoint tracking accuracy, defined as Equation (19):</w:t>
      </w:r>
    </w:p>
    <w:p w14:paraId="019374AB"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10EF6F82"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that controls the sensitivity of the reward to temperature deviations.</w:t>
      </w:r>
    </w:p>
    <w:p w14:paraId="4C958839" w14:textId="77777777" w:rsidR="001921D2" w:rsidRDefault="00000000">
      <w:pPr>
        <w:pStyle w:val="a0"/>
      </w:pPr>
      <w:r>
        <w:rPr>
          <w:b/>
          <w:bCs/>
        </w:rPr>
        <w:t xml:space="preserve">(2) </w:t>
      </w:r>
      <w:r>
        <w:rPr>
          <w:rFonts w:hint="eastAsia"/>
          <w:b/>
          <w:bCs/>
        </w:rPr>
        <w:t>预测型</w:t>
      </w:r>
      <w:r>
        <w:rPr>
          <w:b/>
          <w:bCs/>
        </w:rPr>
        <w:t xml:space="preserve"> DQN </w:t>
      </w:r>
      <w:r>
        <w:rPr>
          <w:rFonts w:hint="eastAsia"/>
          <w:b/>
          <w:bCs/>
        </w:rPr>
        <w:t>网络架构与训练过程</w:t>
      </w:r>
      <w:r>
        <w:rPr>
          <w:b/>
          <w:bCs/>
        </w:rPr>
        <w:t xml:space="preserve"> / Predictive DQN network architecture and training procedure</w:t>
      </w:r>
    </w:p>
    <w:p w14:paraId="1F97C851" w14:textId="77777777" w:rsidR="001921D2" w:rsidRDefault="00000000">
      <w:pPr>
        <w:pStyle w:val="a0"/>
      </w:pPr>
      <w:r>
        <w:rPr>
          <w:rFonts w:hint="eastAsia"/>
        </w:rPr>
        <w:t>鉴于本文采用的紧凑状态表征，采用三层全连接网络作为</w:t>
      </w:r>
      <w:r>
        <w:t xml:space="preserve"> DQN </w:t>
      </w:r>
      <w:r>
        <w:rPr>
          <w:rFonts w:hint="eastAsia"/>
        </w:rPr>
        <w:t>的</w:t>
      </w:r>
      <w:r>
        <w:t xml:space="preserve"> Q </w:t>
      </w:r>
      <w:r>
        <w:rPr>
          <w:rFonts w:hint="eastAsia"/>
        </w:rPr>
        <w:t>函数逼近器，以降低边缘部署场景下的推理延迟与存储开销。训练阶段遵循标准</w:t>
      </w:r>
      <w:r>
        <w:t xml:space="preserve"> DQN </w:t>
      </w:r>
      <w:r>
        <w:rPr>
          <w:rFonts w:hint="eastAsia"/>
        </w:rPr>
        <w:t>交互流程：</w:t>
      </w:r>
      <w:r>
        <w:rPr>
          <w:rFonts w:hint="eastAsia"/>
        </w:rPr>
        <w:lastRenderedPageBreak/>
        <w:t>在每个时间步，智能体选择动作并与环境交互，随后将转移元组</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w:t>
      </w:r>
      <w:r>
        <w:rPr>
          <w:rFonts w:hint="eastAsia"/>
        </w:rPr>
        <w:t>写入经验回放缓冲区</w:t>
      </w:r>
      <w:r>
        <w:t xml:space="preserve"> </w:t>
      </w:r>
      <m:oMath>
        <m:r>
          <m:rPr>
            <m:scr m:val="script"/>
            <m:sty m:val="p"/>
          </m:rPr>
          <w:rPr>
            <w:rFonts w:ascii="Cambria Math" w:hAnsi="Cambria Math"/>
          </w:rPr>
          <m:t>D</m:t>
        </m:r>
      </m:oMath>
      <w:r>
        <w:t xml:space="preserve"> </w:t>
      </w:r>
      <w:r>
        <w:rPr>
          <w:rFonts w:hint="eastAsia"/>
        </w:rPr>
        <w:t>并从中采样小批量用于</w:t>
      </w:r>
      <w:r>
        <w:t xml:space="preserve"> Q </w:t>
      </w:r>
      <w:r>
        <w:rPr>
          <w:rFonts w:hint="eastAsia"/>
        </w:rPr>
        <w:t>网络参数更新。其一步时序差分目标可写为：</w:t>
      </w:r>
    </w:p>
    <w:p w14:paraId="1CEC7FE1"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37F293E9" w14:textId="77777777" w:rsidR="001921D2"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为回合终止标记，取</w:t>
      </w:r>
      <w:r>
        <w:t xml:space="preserve"> 1 </w:t>
      </w:r>
      <w:r>
        <w:rPr>
          <w:rFonts w:hint="eastAsia"/>
        </w:rPr>
        <w:t>时表示当前步</w:t>
      </w:r>
      <w:r>
        <w:t xml:space="preserve"> </w:t>
      </w:r>
      <m:oMath>
        <m:r>
          <w:rPr>
            <w:rFonts w:ascii="Cambria Math" w:hAnsi="Cambria Math"/>
          </w:rPr>
          <m:t>t</m:t>
        </m:r>
      </m:oMath>
      <w:r>
        <w:t xml:space="preserve"> </w:t>
      </w:r>
      <w:r>
        <w:rPr>
          <w:rFonts w:hint="eastAsia"/>
        </w:rPr>
        <w:t>为回合终止步，</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oMath>
      <w:r>
        <w:t xml:space="preserve"> </w:t>
      </w:r>
      <w:r>
        <w:rPr>
          <w:rFonts w:hint="eastAsia"/>
        </w:rPr>
        <w:t>保证终止步不执行未来价值回传；</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为目标网络参数。网络优化采用均方误差损失：</w:t>
      </w:r>
    </w:p>
    <w:p w14:paraId="70211BD2" w14:textId="77777777" w:rsidR="001921D2"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413540C0" w14:textId="77777777" w:rsidR="001921D2" w:rsidRDefault="00000000">
      <w:pPr>
        <w:pStyle w:val="FirstParagraph"/>
      </w:pPr>
      <w:r>
        <w:rPr>
          <w:rFonts w:hint="eastAsia"/>
        </w:rPr>
        <w:t>网络通过最小化该损失函数使</w:t>
      </w:r>
      <w:r>
        <w:t xml:space="preserve"> Q </w:t>
      </w:r>
      <w:r>
        <w:rPr>
          <w:rFonts w:hint="eastAsia"/>
        </w:rPr>
        <w:t>值逐步逼近时序差分目标</w:t>
      </w:r>
      <w:r>
        <w:t xml:space="preserve"> </w:t>
      </w:r>
      <m:oMath>
        <m:sSub>
          <m:sSubPr>
            <m:ctrlPr>
              <w:rPr>
                <w:rFonts w:ascii="Cambria Math" w:hAnsi="Cambria Math"/>
              </w:rPr>
            </m:ctrlPr>
          </m:sSubPr>
          <m:e>
            <m:r>
              <w:rPr>
                <w:rFonts w:ascii="Cambria Math" w:hAnsi="Cambria Math"/>
              </w:rPr>
              <m:t>y</m:t>
            </m:r>
          </m:e>
          <m:sub>
            <m:r>
              <w:rPr>
                <w:rFonts w:ascii="Cambria Math" w:hAnsi="Cambria Math"/>
              </w:rPr>
              <m:t>t</m:t>
            </m:r>
          </m:sub>
        </m:sSub>
      </m:oMath>
      <w:r>
        <w:rPr>
          <w:rFonts w:hint="eastAsia"/>
        </w:rPr>
        <w:t>，从而实现对动作价值函数的迭代校正。该训练机制通过打破样本时序相关性并延迟目标值更新，提升了价值函数估计的训练稳定性。</w:t>
      </w:r>
    </w:p>
    <w:p w14:paraId="3301CA29" w14:textId="77777777" w:rsidR="001921D2" w:rsidRDefault="00000000">
      <w:pPr>
        <w:pStyle w:val="a0"/>
      </w:pPr>
      <w:r>
        <w:rPr>
          <w:rFonts w:hint="eastAsia"/>
        </w:rPr>
        <w:t>训练阶段以固定时间步长收集数据，以确保经验回放缓冲区覆盖各类运行工况，维持状态</w:t>
      </w:r>
      <w:r>
        <w:t xml:space="preserve"> - </w:t>
      </w:r>
      <w:r>
        <w:rPr>
          <w:rFonts w:hint="eastAsia"/>
        </w:rPr>
        <w:t>动作空间的充分采样与目标网络更新的训练稳定性。部署阶段则将控制动作更新交由门控机制按需触发，实现推理稀疏化。</w:t>
      </w:r>
    </w:p>
    <w:p w14:paraId="66B55A83" w14:textId="77777777" w:rsidR="001921D2" w:rsidRDefault="00000000">
      <w:pPr>
        <w:pStyle w:val="a0"/>
      </w:pPr>
      <w:r>
        <w:t xml:space="preserve">Given the compact state representation adopted here, we employ a three-layer fully connected network as the Q-function approximator for DQN, which reduces both inference latency and memory overhead in edge deployment scenarios. During training, the agent follows the standard DQN interaction loop: at each time step it selects an action, interacts with the environment, and writes the resulting transition tuple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into the experience replay buffer </w:t>
      </w:r>
      <m:oMath>
        <m:r>
          <m:rPr>
            <m:scr m:val="script"/>
            <m:sty m:val="p"/>
          </m:rPr>
          <w:rPr>
            <w:rFonts w:ascii="Cambria Math" w:hAnsi="Cambria Math"/>
          </w:rPr>
          <m:t>D</m:t>
        </m:r>
      </m:oMath>
      <w:r>
        <w:t>, from which a mini-batch is sampled to update the Q-network parameters. The one-step temporal difference (TD) target is given by Equation (20):</w:t>
      </w:r>
    </w:p>
    <w:p w14:paraId="565E48B4"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7A17F78E" w14:textId="77777777" w:rsidR="001921D2" w:rsidRDefault="00000000">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an episode termination flag that equals 1 when step </w:t>
      </w:r>
      <m:oMath>
        <m:r>
          <w:rPr>
            <w:rFonts w:ascii="Cambria Math" w:hAnsi="Cambria Math"/>
          </w:rPr>
          <m:t>t</m:t>
        </m:r>
      </m:oMath>
      <w:r>
        <w:t xml:space="preserve"> is the final step of an episode, and the factor </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oMath>
      <w:r>
        <w:t xml:space="preserve"> prevents future value backpropagation at terminal steps; </w:t>
      </w:r>
      <m:oMath>
        <m:r>
          <w:rPr>
            <w:rFonts w:ascii="Cambria Math" w:hAnsi="Cambria Math"/>
          </w:rPr>
          <m:t>θ</m:t>
        </m:r>
      </m:oMath>
      <w:r>
        <w:t xml:space="preserve"> denotes the online network parameters and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the target network parameters. The network is optimized by minimizing the mean squared error loss as Equation (21):</w:t>
      </w:r>
    </w:p>
    <w:p w14:paraId="0480FE72" w14:textId="77777777" w:rsidR="001921D2"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63AE18A1" w14:textId="77777777" w:rsidR="001921D2" w:rsidRDefault="00000000">
      <w:pPr>
        <w:pStyle w:val="FirstParagraph"/>
      </w:pPr>
      <w:r>
        <w:t xml:space="preserve">Minimizing this loss drives the Q-values toward the TD targets </w:t>
      </w:r>
      <m:oMath>
        <m:sSub>
          <m:sSubPr>
            <m:ctrlPr>
              <w:rPr>
                <w:rFonts w:ascii="Cambria Math" w:hAnsi="Cambria Math"/>
              </w:rPr>
            </m:ctrlPr>
          </m:sSubPr>
          <m:e>
            <m:r>
              <w:rPr>
                <w:rFonts w:ascii="Cambria Math" w:hAnsi="Cambria Math"/>
              </w:rPr>
              <m:t>y</m:t>
            </m:r>
          </m:e>
          <m:sub>
            <m:r>
              <w:rPr>
                <w:rFonts w:ascii="Cambria Math" w:hAnsi="Cambria Math"/>
              </w:rPr>
              <m:t>t</m:t>
            </m:r>
          </m:sub>
        </m:sSub>
      </m:oMath>
      <w:r>
        <w:t>, enabling iterative refinement of the action-value function. This training mechanism improves the stability of value function estimation by breaking temporal correlations among samples and delaying target value updates.</w:t>
      </w:r>
    </w:p>
    <w:p w14:paraId="28F3C1B0" w14:textId="77777777" w:rsidR="001921D2" w:rsidRDefault="00000000">
      <w:pPr>
        <w:pStyle w:val="a0"/>
      </w:pPr>
      <w:r>
        <w:t xml:space="preserve">During training, data are collected at a fixed time step interval to ensure that the replay buffer covers diverse operating conditions, maintaining thorough sampling of </w:t>
      </w:r>
      <w:r>
        <w:lastRenderedPageBreak/>
        <w:t>the state-action space and stable target network updates. During deployment, however, control action updates are delegated to the gating mechanism and triggered on demand, thereby achieving sparse inference.</w:t>
      </w:r>
    </w:p>
    <w:p w14:paraId="2A5A57AD" w14:textId="77777777" w:rsidR="001921D2" w:rsidRDefault="00000000">
      <w:pPr>
        <w:pStyle w:val="a0"/>
      </w:pPr>
      <w:r>
        <w:rPr>
          <w:b/>
          <w:bCs/>
        </w:rPr>
        <w:t xml:space="preserve">(3) </w:t>
      </w:r>
      <w:r>
        <w:rPr>
          <w:rFonts w:hint="eastAsia"/>
          <w:b/>
          <w:bCs/>
        </w:rPr>
        <w:t>事件驱动在线执行算法</w:t>
      </w:r>
      <w:r>
        <w:rPr>
          <w:b/>
          <w:bCs/>
        </w:rPr>
        <w:t xml:space="preserve"> / Event-driven online execution algorithm</w:t>
      </w:r>
    </w:p>
    <w:p w14:paraId="66E26069" w14:textId="77777777" w:rsidR="001921D2" w:rsidRDefault="00000000">
      <w:pPr>
        <w:pStyle w:val="a0"/>
      </w:pPr>
      <w:r>
        <w:rPr>
          <w:rFonts w:hint="eastAsia"/>
        </w:rPr>
        <w:t>在在线运行阶段，系统按固定时钟步长完成特征采样，但通过事件驱动机制决定是否更新控制动作。具体流程如下：将当前系统状态特征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传递至流式门控模块，获得触发判定信号</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。当满足触发条件时，系统调用</w:t>
      </w:r>
      <w:r>
        <w:t xml:space="preserve"> DQN </w:t>
      </w:r>
      <w:r>
        <w:rPr>
          <w:rFonts w:hint="eastAsia"/>
        </w:rPr>
        <w:t>策略网络输出新的控制设定点；当未满足触发条件时，控制指令由零阶保持器维持，即</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oMath>
      <w:r>
        <w:rPr>
          <w:rFonts w:hint="eastAsia"/>
        </w:rPr>
        <w:t>。其中</w:t>
      </w:r>
      <w:r>
        <w:t xml:space="preserv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w:t>
      </w:r>
      <w:r>
        <w:rPr>
          <w:rFonts w:hint="eastAsia"/>
        </w:rPr>
        <w:t>为训练好的</w:t>
      </w:r>
      <w:r>
        <w:t xml:space="preserve"> DQN </w:t>
      </w:r>
      <w:r>
        <w:rPr>
          <w:rFonts w:hint="eastAsia"/>
        </w:rPr>
        <w:t>策略网络在状态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下输出的贪心动作。执行律表述为：</w:t>
      </w:r>
    </w:p>
    <w:p w14:paraId="159990D0" w14:textId="77777777" w:rsidR="001921D2" w:rsidRDefault="00000000">
      <w:pPr>
        <w:pStyle w:val="a0"/>
      </w:pPr>
      <w:r>
        <w:t xml:space="preserve">In the online operating phase, the system performs feature sampling at a fixed clock interval but relies on the event-driven mechanism to decide whether to update the control action. The procedure is as follows. The current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is passed to the streaming gating module, which produces a trigger decision signal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When the trigger condition is satisfied, the system invokes the DQN policy network to generate a new control setpoint; otherwise, the control command is held by a zero-order hold (ZOH), i.e.,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policy network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execution law is expressed as Equation (22):</w:t>
      </w:r>
    </w:p>
    <w:p w14:paraId="3F5527EC"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40E95097" w14:textId="77777777" w:rsidR="001921D2" w:rsidRDefault="00000000">
      <w:pPr>
        <w:pStyle w:val="FirstParagraph"/>
      </w:pPr>
      <w:r>
        <w:rPr>
          <w:rFonts w:hint="eastAsia"/>
        </w:rPr>
        <w:t>最终的在线执行流程如下：</w:t>
      </w:r>
    </w:p>
    <w:p w14:paraId="51C5921D" w14:textId="77777777" w:rsidR="001921D2" w:rsidRDefault="00000000">
      <w:pPr>
        <w:pStyle w:val="a0"/>
      </w:pPr>
      <w:r>
        <w:t>The complete online execution procedure is summarized below.</w:t>
      </w:r>
    </w:p>
    <w:p w14:paraId="23833389" w14:textId="77777777" w:rsidR="001921D2" w:rsidRDefault="00000000">
      <w:pPr>
        <w:pStyle w:val="a0"/>
      </w:pPr>
      <w:r>
        <w:rPr>
          <w:b/>
          <w:bCs/>
        </w:rPr>
        <w:t>Algorithm 1.</w:t>
      </w:r>
      <w:r>
        <w:t xml:space="preserve"> Event-Triggered Predictive RL (ET-PRL) Online Control Procedure</w:t>
      </w:r>
    </w:p>
    <w:p w14:paraId="7B5CCFCE" w14:textId="77777777" w:rsidR="001921D2" w:rsidRDefault="00000000">
      <w:pPr>
        <w:pStyle w:val="SourceCode"/>
      </w:pPr>
      <w:r>
        <w:rPr>
          <w:rStyle w:val="VerbatimChar"/>
        </w:rPr>
        <w:t>Require: Trained policy network π_DQN, gate parameters Ω = {w_s, w_m, w_l, q, κ, ω_q, λ_local, λ_global, α_local, b_bias, W, N_ref, ν} as defined in Eqs. (7) to (8) and Eqs. (9a) to (13), min trigger interval Δ_min, total steps T</w:t>
      </w:r>
      <w:r>
        <w:br/>
      </w:r>
      <w:r>
        <w:rPr>
          <w:rStyle w:val="VerbatimChar"/>
        </w:rPr>
        <w:t>Require: Initial action u_0, last trigger time t_last ← −∞, anomaly score sliding window A_t of length W, derived trigger threshold τ_t* computed at each step via Eqs. (9a) to (15)</w:t>
      </w:r>
      <w:r>
        <w:br/>
      </w:r>
      <w:r>
        <w:rPr>
          <w:rStyle w:val="VerbatimChar"/>
        </w:rPr>
        <w:t>1: for t = 1 to T do</w:t>
      </w:r>
      <w:r>
        <w:br/>
      </w:r>
      <w:r>
        <w:rPr>
          <w:rStyle w:val="VerbatimChar"/>
        </w:rPr>
        <w:t>2:     Collect Q_load^t, T_wb^t, Q̂_load^(t+1), form state s_t = [Q_load^t, T_wb^t, Q̂_load^(t+1)]</w:t>
      </w:r>
      <w:r>
        <w:br/>
      </w:r>
      <w:r>
        <w:rPr>
          <w:rStyle w:val="VerbatimChar"/>
        </w:rPr>
        <w:t>3:     Compute anomaly scores A_short(s_t), A_medium(s_t), A_long(s_t) on short/medium/long windows</w:t>
      </w:r>
      <w:r>
        <w:br/>
      </w:r>
      <w:r>
        <w:rPr>
          <w:rStyle w:val="VerbatimChar"/>
        </w:rPr>
        <w:t>4:     Fuse to obtain overall anomaly score:</w:t>
      </w:r>
      <w:r>
        <w:br/>
      </w:r>
      <w:r>
        <w:rPr>
          <w:rStyle w:val="VerbatimChar"/>
        </w:rPr>
        <w:t>5:     A(s_t) = w_s·A_short(s_t) + w_m·A_medium(s_t) + w_l·A_long(s_t)</w:t>
      </w:r>
      <w:r>
        <w:br/>
      </w:r>
      <w:r>
        <w:rPr>
          <w:rStyle w:val="VerbatimChar"/>
        </w:rPr>
        <w:t>6:     Compute candidate local threshold from sliding window A_t:</w:t>
      </w:r>
      <w:r>
        <w:br/>
      </w:r>
      <w:r>
        <w:rPr>
          <w:rStyle w:val="VerbatimChar"/>
        </w:rPr>
        <w:t>7:     τ_cand^(t) = ω_q·τ_q^(t) + (1−ω_q)·τ_mad^(t)</w:t>
      </w:r>
      <w:r>
        <w:br/>
      </w:r>
      <w:r>
        <w:rPr>
          <w:rStyle w:val="VerbatimChar"/>
        </w:rPr>
        <w:lastRenderedPageBreak/>
        <w:t>8:     Update local threshold: τ_local^(t) = (1−λ_local)·τ_local^(t−1) + λ_local·τ_cand^(t)</w:t>
      </w:r>
      <w:r>
        <w:br/>
      </w:r>
      <w:r>
        <w:rPr>
          <w:rStyle w:val="VerbatimChar"/>
        </w:rPr>
        <w:t>9:     Update global threshold: τ_global^(t) = (1−λ_global)·τ_global^(t−1) + λ_global·τ_local^(t)</w:t>
      </w:r>
      <w:r>
        <w:br/>
      </w:r>
      <w:r>
        <w:rPr>
          <w:rStyle w:val="VerbatimChar"/>
        </w:rPr>
        <w:t>10:    τ̃_t = α_local·τ_local^(t) + (1−α_local)·τ_global^(t) + b_bias</w:t>
      </w:r>
      <w:r>
        <w:br/>
      </w:r>
      <w:r>
        <w:rPr>
          <w:rStyle w:val="VerbatimChar"/>
        </w:rPr>
        <w:t>11:    τ_t^* = clip(τ̃_t + m_hys, 0, 1)</w:t>
      </w:r>
      <w:r>
        <w:br/>
      </w:r>
      <w:r>
        <w:rPr>
          <w:rStyle w:val="VerbatimChar"/>
        </w:rPr>
        <w:t>12:    if A(s_t) &gt; τ_t^* ∧ (t − t_last) &gt; Δ_min then</w:t>
      </w:r>
      <w:r>
        <w:br/>
      </w:r>
      <w:r>
        <w:rPr>
          <w:rStyle w:val="VerbatimChar"/>
        </w:rPr>
        <w:t>13:        u_t ← π_DQN(s_t); t_last ← t</w:t>
      </w:r>
      <w:r>
        <w:br/>
      </w:r>
      <w:r>
        <w:rPr>
          <w:rStyle w:val="VerbatimChar"/>
        </w:rPr>
        <w:t>14:    else</w:t>
      </w:r>
      <w:r>
        <w:br/>
      </w:r>
      <w:r>
        <w:rPr>
          <w:rStyle w:val="VerbatimChar"/>
        </w:rPr>
        <w:t>15:        u_t ← u_(t−1)</w:t>
      </w:r>
      <w:r>
        <w:br/>
      </w:r>
      <w:r>
        <w:rPr>
          <w:rStyle w:val="VerbatimChar"/>
        </w:rPr>
        <w:t>16:    end if</w:t>
      </w:r>
      <w:r>
        <w:br/>
      </w:r>
      <w:r>
        <w:rPr>
          <w:rStyle w:val="VerbatimChar"/>
        </w:rPr>
        <w:t>17:    Execute u_t; append A(s_t) to sliding window A_{t+1} for use in the next time step's threshold computation</w:t>
      </w:r>
      <w:r>
        <w:br/>
      </w:r>
      <w:r>
        <w:rPr>
          <w:rStyle w:val="VerbatimChar"/>
        </w:rPr>
        <w:t>18: end for</w:t>
      </w:r>
    </w:p>
    <w:p w14:paraId="329D0527" w14:textId="77777777" w:rsidR="001921D2" w:rsidRDefault="00000000">
      <w:pPr>
        <w:pStyle w:val="1"/>
      </w:pPr>
      <w:bookmarkStart w:id="9" w:name="案例系统与仿真环境"/>
      <w:bookmarkEnd w:id="4"/>
      <w:bookmarkEnd w:id="8"/>
      <w:r>
        <w:t xml:space="preserve">4. </w:t>
      </w:r>
      <w:r>
        <w:rPr>
          <w:rFonts w:hint="eastAsia"/>
        </w:rPr>
        <w:t>案例系统与仿真环境</w:t>
      </w:r>
    </w:p>
    <w:p w14:paraId="4CDB71A0" w14:textId="77777777" w:rsidR="001921D2" w:rsidRDefault="00000000">
      <w:pPr>
        <w:pStyle w:val="2"/>
      </w:pPr>
      <w:bookmarkStart w:id="10" w:name="建筑热力系统建模"/>
      <w:r>
        <w:t xml:space="preserve">4.1 </w:t>
      </w:r>
      <w:r>
        <w:rPr>
          <w:rFonts w:hint="eastAsia"/>
        </w:rPr>
        <w:t>建筑热力系统建模</w:t>
      </w:r>
    </w:p>
    <w:p w14:paraId="19A2D368" w14:textId="77777777" w:rsidR="001921D2"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1694ECD0" w14:textId="77777777" w:rsidR="001921D2"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6A4DAB98" w14:textId="77777777" w:rsidR="001921D2" w:rsidRDefault="00000000">
      <w:pPr>
        <w:pStyle w:val="a0"/>
      </w:pPr>
      <w:r>
        <w:rPr>
          <w:rFonts w:hint="eastAsia"/>
        </w:rPr>
        <w:t>表</w:t>
      </w:r>
      <w:r>
        <w:t xml:space="preserve"> 4-1 HVAC </w:t>
      </w:r>
      <w:r>
        <w:rPr>
          <w:rFonts w:hint="eastAsia"/>
        </w:rPr>
        <w:t>系统关键设备参数</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1921D2" w14:paraId="607B2E5B" w14:textId="77777777" w:rsidTr="001921D2">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BCE3B9" w14:textId="77777777" w:rsidR="001921D2" w:rsidRDefault="00000000">
            <w:pPr>
              <w:pStyle w:val="Compact"/>
            </w:pPr>
            <w:r>
              <w:rPr>
                <w:rFonts w:hint="eastAsia"/>
                <w:b/>
                <w:bCs/>
              </w:rPr>
              <w:t>设备名称</w:t>
            </w:r>
          </w:p>
        </w:tc>
        <w:tc>
          <w:tcPr>
            <w:tcW w:w="1584" w:type="dxa"/>
          </w:tcPr>
          <w:p w14:paraId="29791390" w14:textId="77777777" w:rsidR="001921D2"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1584" w:type="dxa"/>
          </w:tcPr>
          <w:p w14:paraId="24F04F9C" w14:textId="77777777" w:rsidR="001921D2" w:rsidRDefault="00000000">
            <w:pPr>
              <w:pStyle w:val="Compact"/>
            </w:pPr>
            <w:r>
              <w:rPr>
                <w:rFonts w:hint="eastAsia"/>
                <w:b/>
                <w:bCs/>
              </w:rPr>
              <w:t>额定功率</w:t>
            </w:r>
            <w:r>
              <w:rPr>
                <w:b/>
                <w:bCs/>
              </w:rPr>
              <w:t xml:space="preserve"> (Pref, kW)</w:t>
            </w:r>
          </w:p>
        </w:tc>
        <w:tc>
          <w:tcPr>
            <w:tcW w:w="1584" w:type="dxa"/>
          </w:tcPr>
          <w:p w14:paraId="322AD469" w14:textId="77777777" w:rsidR="001921D2" w:rsidRDefault="00000000">
            <w:pPr>
              <w:pStyle w:val="Compact"/>
            </w:pPr>
            <w:r>
              <w:rPr>
                <w:rFonts w:hint="eastAsia"/>
                <w:b/>
                <w:bCs/>
              </w:rPr>
              <w:t>额定容量</w:t>
            </w:r>
            <w:r>
              <w:rPr>
                <w:b/>
                <w:bCs/>
              </w:rPr>
              <w:t xml:space="preserve"> / </w:t>
            </w:r>
            <w:r>
              <w:rPr>
                <w:rFonts w:hint="eastAsia"/>
                <w:b/>
                <w:bCs/>
              </w:rPr>
              <w:t>流量</w:t>
            </w:r>
          </w:p>
        </w:tc>
        <w:tc>
          <w:tcPr>
            <w:tcW w:w="1584" w:type="dxa"/>
          </w:tcPr>
          <w:p w14:paraId="30239796" w14:textId="77777777" w:rsidR="001921D2" w:rsidRDefault="00000000">
            <w:pPr>
              <w:pStyle w:val="Compact"/>
            </w:pPr>
            <w:r>
              <w:rPr>
                <w:rFonts w:hint="eastAsia"/>
                <w:b/>
                <w:bCs/>
              </w:rPr>
              <w:t>运行特性与关键参数</w:t>
            </w:r>
          </w:p>
        </w:tc>
      </w:tr>
      <w:tr w:rsidR="001921D2" w14:paraId="416AF58A" w14:textId="77777777">
        <w:tc>
          <w:tcPr>
            <w:tcW w:w="1584" w:type="dxa"/>
          </w:tcPr>
          <w:p w14:paraId="70AE433B" w14:textId="77777777" w:rsidR="001921D2" w:rsidRDefault="00000000">
            <w:pPr>
              <w:pStyle w:val="Compact"/>
            </w:pPr>
            <w:r>
              <w:rPr>
                <w:rFonts w:hint="eastAsia"/>
                <w:b/>
                <w:bCs/>
              </w:rPr>
              <w:t>离心式冷水机组</w:t>
            </w:r>
          </w:p>
        </w:tc>
        <w:tc>
          <w:tcPr>
            <w:tcW w:w="1584" w:type="dxa"/>
          </w:tcPr>
          <w:p w14:paraId="68561708" w14:textId="77777777" w:rsidR="001921D2" w:rsidRDefault="00000000">
            <w:pPr>
              <w:pStyle w:val="Compact"/>
            </w:pPr>
            <w:r>
              <w:t>3</w:t>
            </w:r>
          </w:p>
        </w:tc>
        <w:tc>
          <w:tcPr>
            <w:tcW w:w="1584" w:type="dxa"/>
          </w:tcPr>
          <w:p w14:paraId="49BE7DA0" w14:textId="77777777" w:rsidR="001921D2" w:rsidRDefault="00000000">
            <w:pPr>
              <w:pStyle w:val="Compact"/>
            </w:pPr>
            <w:r>
              <w:t>314</w:t>
            </w:r>
          </w:p>
        </w:tc>
        <w:tc>
          <w:tcPr>
            <w:tcW w:w="1584" w:type="dxa"/>
          </w:tcPr>
          <w:p w14:paraId="2BE6364C" w14:textId="77777777" w:rsidR="001921D2" w:rsidRDefault="00000000">
            <w:pPr>
              <w:pStyle w:val="Compact"/>
            </w:pPr>
            <w:r>
              <w:t xml:space="preserve">1760 kW </w:t>
            </w:r>
            <w:r>
              <w:rPr>
                <w:rFonts w:hint="eastAsia"/>
              </w:rPr>
              <w:t>(</w:t>
            </w:r>
            <w:r>
              <w:rPr>
                <w:rFonts w:hint="eastAsia"/>
              </w:rPr>
              <w:t>制冷量</w:t>
            </w:r>
            <w:r>
              <w:rPr>
                <w:rFonts w:hint="eastAsia"/>
              </w:rPr>
              <w:t>)</w:t>
            </w:r>
          </w:p>
        </w:tc>
        <w:tc>
          <w:tcPr>
            <w:tcW w:w="1584" w:type="dxa"/>
          </w:tcPr>
          <w:p w14:paraId="39BDCCEA" w14:textId="77777777" w:rsidR="001921D2" w:rsidRDefault="00000000">
            <w:pPr>
              <w:pStyle w:val="Compact"/>
            </w:pPr>
            <w:r>
              <w:t xml:space="preserve">COP </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1921D2" w14:paraId="6FDA9FC1" w14:textId="77777777">
        <w:tc>
          <w:tcPr>
            <w:tcW w:w="1584" w:type="dxa"/>
          </w:tcPr>
          <w:p w14:paraId="3F5A8261" w14:textId="77777777" w:rsidR="001921D2" w:rsidRDefault="00000000">
            <w:pPr>
              <w:pStyle w:val="Compact"/>
            </w:pPr>
            <w:r>
              <w:rPr>
                <w:rFonts w:hint="eastAsia"/>
                <w:b/>
                <w:bCs/>
              </w:rPr>
              <w:t>冷冻水泵</w:t>
            </w:r>
          </w:p>
        </w:tc>
        <w:tc>
          <w:tcPr>
            <w:tcW w:w="1584" w:type="dxa"/>
          </w:tcPr>
          <w:p w14:paraId="0E489583" w14:textId="77777777" w:rsidR="001921D2" w:rsidRDefault="00000000">
            <w:pPr>
              <w:pStyle w:val="Compact"/>
            </w:pPr>
            <w:r>
              <w:t>3</w:t>
            </w:r>
          </w:p>
        </w:tc>
        <w:tc>
          <w:tcPr>
            <w:tcW w:w="1584" w:type="dxa"/>
          </w:tcPr>
          <w:p w14:paraId="119C8701" w14:textId="77777777" w:rsidR="001921D2" w:rsidRDefault="00000000">
            <w:pPr>
              <w:pStyle w:val="Compact"/>
            </w:pPr>
            <w:r>
              <w:t>15</w:t>
            </w:r>
          </w:p>
        </w:tc>
        <w:tc>
          <w:tcPr>
            <w:tcW w:w="1584" w:type="dxa"/>
          </w:tcPr>
          <w:p w14:paraId="3CF3DE9F" w14:textId="77777777" w:rsidR="001921D2"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72B04882" w14:textId="77777777" w:rsidR="001921D2" w:rsidRDefault="00000000">
            <w:pPr>
              <w:pStyle w:val="Compact"/>
            </w:pPr>
            <w:r>
              <w:rPr>
                <w:rFonts w:hint="eastAsia"/>
              </w:rPr>
              <w:t>定速运行；</w:t>
            </w:r>
            <w:r>
              <w:t xml:space="preserve"> </w:t>
            </w:r>
            <w:r>
              <w:rPr>
                <w:rFonts w:hint="eastAsia"/>
              </w:rPr>
              <w:t>额定扬程：</w:t>
            </w:r>
            <m:oMath>
              <m:r>
                <w:rPr>
                  <w:rFonts w:ascii="Cambria Math" w:hAnsi="Cambria Math"/>
                </w:rPr>
                <m:t>15 </m:t>
              </m:r>
              <m:r>
                <m:rPr>
                  <m:nor/>
                </m:rPr>
                <m:t>m</m:t>
              </m:r>
            </m:oMath>
          </w:p>
        </w:tc>
      </w:tr>
      <w:tr w:rsidR="001921D2" w14:paraId="5593D379" w14:textId="77777777">
        <w:tc>
          <w:tcPr>
            <w:tcW w:w="1584" w:type="dxa"/>
          </w:tcPr>
          <w:p w14:paraId="312FAB1F" w14:textId="77777777" w:rsidR="001921D2" w:rsidRDefault="00000000">
            <w:pPr>
              <w:pStyle w:val="Compact"/>
            </w:pPr>
            <w:r>
              <w:rPr>
                <w:rFonts w:hint="eastAsia"/>
                <w:b/>
                <w:bCs/>
              </w:rPr>
              <w:t>冷却水泵</w:t>
            </w:r>
          </w:p>
        </w:tc>
        <w:tc>
          <w:tcPr>
            <w:tcW w:w="1584" w:type="dxa"/>
          </w:tcPr>
          <w:p w14:paraId="0CC48F6B" w14:textId="77777777" w:rsidR="001921D2" w:rsidRDefault="00000000">
            <w:pPr>
              <w:pStyle w:val="Compact"/>
            </w:pPr>
            <w:r>
              <w:t>3</w:t>
            </w:r>
          </w:p>
        </w:tc>
        <w:tc>
          <w:tcPr>
            <w:tcW w:w="1584" w:type="dxa"/>
          </w:tcPr>
          <w:p w14:paraId="6BBEB676" w14:textId="77777777" w:rsidR="001921D2" w:rsidRDefault="00000000">
            <w:pPr>
              <w:pStyle w:val="Compact"/>
            </w:pPr>
            <w:r>
              <w:t>55</w:t>
            </w:r>
          </w:p>
        </w:tc>
        <w:tc>
          <w:tcPr>
            <w:tcW w:w="1584" w:type="dxa"/>
          </w:tcPr>
          <w:p w14:paraId="0E6ACEB9" w14:textId="77777777" w:rsidR="001921D2"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32893A71" w14:textId="77777777" w:rsidR="001921D2" w:rsidRDefault="00000000">
            <w:pPr>
              <w:pStyle w:val="Compact"/>
            </w:pPr>
            <w:r>
              <w:rPr>
                <w:rFonts w:hint="eastAsia"/>
              </w:rPr>
              <w:t>定速运行；</w:t>
            </w:r>
            <w:r>
              <w:t xml:space="preserve"> </w:t>
            </w:r>
            <w:r>
              <w:rPr>
                <w:rFonts w:hint="eastAsia"/>
              </w:rPr>
              <w:t>额定扬程：</w:t>
            </w:r>
            <m:oMath>
              <m:r>
                <w:rPr>
                  <w:rFonts w:ascii="Cambria Math" w:hAnsi="Cambria Math"/>
                </w:rPr>
                <m:t>33 </m:t>
              </m:r>
              <m:r>
                <m:rPr>
                  <m:nor/>
                </m:rPr>
                <m:t>m</m:t>
              </m:r>
            </m:oMath>
          </w:p>
        </w:tc>
      </w:tr>
      <w:tr w:rsidR="001921D2" w14:paraId="788A5938" w14:textId="77777777">
        <w:tc>
          <w:tcPr>
            <w:tcW w:w="1584" w:type="dxa"/>
          </w:tcPr>
          <w:p w14:paraId="23249B4E" w14:textId="77777777" w:rsidR="001921D2" w:rsidRDefault="00000000">
            <w:pPr>
              <w:pStyle w:val="Compact"/>
            </w:pPr>
            <w:r>
              <w:rPr>
                <w:rFonts w:hint="eastAsia"/>
                <w:b/>
                <w:bCs/>
              </w:rPr>
              <w:t>冷却塔</w:t>
            </w:r>
          </w:p>
        </w:tc>
        <w:tc>
          <w:tcPr>
            <w:tcW w:w="1584" w:type="dxa"/>
          </w:tcPr>
          <w:p w14:paraId="4E66CAB7" w14:textId="77777777" w:rsidR="001921D2" w:rsidRDefault="00000000">
            <w:pPr>
              <w:pStyle w:val="Compact"/>
            </w:pPr>
            <w:r>
              <w:t>3</w:t>
            </w:r>
          </w:p>
        </w:tc>
        <w:tc>
          <w:tcPr>
            <w:tcW w:w="1584" w:type="dxa"/>
          </w:tcPr>
          <w:p w14:paraId="587B9DFA" w14:textId="77777777" w:rsidR="001921D2" w:rsidRDefault="00000000">
            <w:pPr>
              <w:pStyle w:val="Compact"/>
            </w:pPr>
            <w:r>
              <w:t>16.5</w:t>
            </w:r>
          </w:p>
        </w:tc>
        <w:tc>
          <w:tcPr>
            <w:tcW w:w="1584" w:type="dxa"/>
          </w:tcPr>
          <w:p w14:paraId="19687550" w14:textId="77777777" w:rsidR="001921D2"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57692A58" w14:textId="77777777" w:rsidR="001921D2" w:rsidRDefault="00000000">
            <w:pPr>
              <w:pStyle w:val="Compact"/>
            </w:pPr>
            <w:r>
              <w:rPr>
                <w:rFonts w:hint="eastAsia"/>
              </w:rPr>
              <w:t>变工况特性；</w:t>
            </w:r>
            <w:r>
              <w:t xml:space="preserve"> </w:t>
            </w:r>
            <w:r>
              <w:rPr>
                <w:rFonts w:hint="eastAsia"/>
              </w:rPr>
              <w:t>性能与湿球温</w:t>
            </w:r>
            <w:r>
              <w:rPr>
                <w:rFonts w:hint="eastAsia"/>
              </w:rPr>
              <w:lastRenderedPageBreak/>
              <w:t>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6E8D9EB8" w14:textId="77777777" w:rsidR="001921D2" w:rsidRDefault="00000000">
      <w:pPr>
        <w:pStyle w:val="a0"/>
      </w:pPr>
      <w:r>
        <w:rPr>
          <w:rFonts w:hint="eastAsia"/>
        </w:rPr>
        <w:lastRenderedPageBreak/>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4A0EEFE8"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3A1662E2" w14:textId="77777777" w:rsidR="001921D2"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07DC5C82" w14:textId="77777777" w:rsidR="001921D2" w:rsidRDefault="00000000">
      <w:pPr>
        <w:pStyle w:val="2"/>
      </w:pPr>
      <w:bookmarkStart w:id="11" w:name="气象与负荷数据集特征"/>
      <w:bookmarkEnd w:id="10"/>
      <w:r>
        <w:t xml:space="preserve">4.2 </w:t>
      </w:r>
      <w:r>
        <w:rPr>
          <w:rFonts w:hint="eastAsia"/>
        </w:rPr>
        <w:t>气象与负荷数据集特征</w:t>
      </w:r>
    </w:p>
    <w:p w14:paraId="2BD5A9FD" w14:textId="77777777" w:rsidR="001921D2"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3EE722AE" w14:textId="77777777" w:rsidR="001921D2" w:rsidRDefault="00000000">
      <w:pPr>
        <w:pStyle w:val="a0"/>
      </w:pPr>
      <w:r>
        <w:rPr>
          <w:rFonts w:hint="eastAsia"/>
        </w:rPr>
        <w:t>图</w:t>
      </w:r>
      <w:r>
        <w:rPr>
          <w:rFonts w:hint="eastAsia"/>
        </w:rPr>
        <w:t>3</w:t>
      </w:r>
      <w:r>
        <w:rPr>
          <w:rFonts w:hint="eastAsia"/>
        </w:rPr>
        <w:t>展示了冷负荷与气象变量在不同时间尺度上的变化特征。图</w:t>
      </w:r>
      <w:r>
        <w:rPr>
          <w:rFonts w:hint="eastAsia"/>
        </w:rPr>
        <w:t>3(a)</w:t>
      </w:r>
      <w:r>
        <w:t xml:space="preserve">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rPr>
          <w:rFonts w:hint="eastAsia"/>
        </w:rPr>
        <w:t>3(b)</w:t>
      </w:r>
      <w:r>
        <w:t xml:space="preserve">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442A49E6" w14:textId="77777777" w:rsidR="001921D2" w:rsidRDefault="00000000">
      <w:pPr>
        <w:pStyle w:val="a0"/>
      </w:pPr>
      <w:r>
        <w:rPr>
          <w:rFonts w:hint="eastAsia"/>
        </w:rPr>
        <w:t>图</w:t>
      </w:r>
      <w:r>
        <w:rPr>
          <w:rFonts w:hint="eastAsia"/>
        </w:rPr>
        <w:t>4</w:t>
      </w:r>
      <w:r>
        <w:rPr>
          <w:rFonts w:hint="eastAsia"/>
        </w:rPr>
        <w:t>进一步展示了关键变量的边际分布与联合分布特征。图</w:t>
      </w:r>
      <w:r>
        <w:rPr>
          <w:rFonts w:hint="eastAsia"/>
        </w:rPr>
        <w:t>4(a)</w:t>
      </w:r>
      <w:r>
        <w:t xml:space="preserve"> </w:t>
      </w:r>
      <w:r>
        <w:rPr>
          <w:rFonts w:hint="eastAsia"/>
        </w:rPr>
        <w:t>表明冷负荷分布呈明显右偏与长尾特性，说明高负荷样本占比虽低但持续存在。图</w:t>
      </w:r>
      <w:r>
        <w:rPr>
          <w:rFonts w:hint="eastAsia"/>
        </w:rPr>
        <w:t>4(b)</w:t>
      </w:r>
      <w:r>
        <w:t xml:space="preserve"> </w:t>
      </w:r>
      <w:r>
        <w:rPr>
          <w:rFonts w:hint="eastAsia"/>
        </w:rPr>
        <w:t>表明湿球温度主要集中于相对狭窄区间，刻画了外生气象扰动的有效波动边界。图</w:t>
      </w:r>
      <w:r>
        <w:rPr>
          <w:rFonts w:hint="eastAsia"/>
        </w:rPr>
        <w:t>4(c)</w:t>
      </w:r>
      <w:r>
        <w:t xml:space="preserve">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rPr>
          <w:rFonts w:hint="eastAsia"/>
        </w:rPr>
        <w:t>3</w:t>
      </w:r>
      <w:r>
        <w:rPr>
          <w:rFonts w:hint="eastAsia"/>
        </w:rPr>
        <w:t>与图</w:t>
      </w:r>
      <w:r>
        <w:rPr>
          <w:rFonts w:hint="eastAsia"/>
        </w:rPr>
        <w:t>4</w:t>
      </w:r>
      <w:r>
        <w:rPr>
          <w:rFonts w:hint="eastAsia"/>
        </w:rPr>
        <w:t>可知，该数据集同时具备显著时序周期性与非线性联合分布特征，可为门控机制中的联合特征建模与动态判别提供数据依据。</w:t>
      </w:r>
    </w:p>
    <w:p w14:paraId="2561CA7B" w14:textId="77777777" w:rsidR="001921D2" w:rsidRDefault="00000000">
      <w:pPr>
        <w:pStyle w:val="CaptionedFigure"/>
      </w:pPr>
      <w:r>
        <w:rPr>
          <w:noProof/>
        </w:rPr>
        <w:lastRenderedPageBreak/>
        <w:drawing>
          <wp:inline distT="0" distB="0" distL="0" distR="0" wp14:anchorId="313CCF32" wp14:editId="04E57EDF">
            <wp:extent cx="5334000" cy="3426797"/>
            <wp:effectExtent l="0" t="0" r="0" b="0"/>
            <wp:docPr id="21" name="Picture" descr="图3 数据集时序特征可视化（全时段序列与日内统计轮廓）"/>
            <wp:cNvGraphicFramePr/>
            <a:graphic xmlns:a="http://schemas.openxmlformats.org/drawingml/2006/main">
              <a:graphicData uri="http://schemas.openxmlformats.org/drawingml/2006/picture">
                <pic:pic xmlns:pic="http://schemas.openxmlformats.org/drawingml/2006/picture">
                  <pic:nvPicPr>
                    <pic:cNvPr id="22" name="Picture" descr="../pics/fig4_dataset_temporal_characteristic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33A1A6ED" w14:textId="77777777" w:rsidR="001921D2" w:rsidRDefault="00000000">
      <w:pPr>
        <w:pStyle w:val="ImageCaption"/>
      </w:pPr>
      <w:r>
        <w:rPr>
          <w:rFonts w:hint="eastAsia"/>
        </w:rPr>
        <w:t>图</w:t>
      </w:r>
      <w:r>
        <w:rPr>
          <w:rFonts w:hint="eastAsia"/>
        </w:rPr>
        <w:t>3</w:t>
      </w:r>
      <w:r>
        <w:t xml:space="preserve"> </w:t>
      </w:r>
      <w:r>
        <w:rPr>
          <w:rFonts w:hint="eastAsia"/>
        </w:rPr>
        <w:t>数据集时序特征可视化（全时段序列与日内统计轮廓）</w:t>
      </w:r>
    </w:p>
    <w:p w14:paraId="5B8DAE8F" w14:textId="77777777" w:rsidR="001921D2" w:rsidRDefault="00000000">
      <w:pPr>
        <w:pStyle w:val="CaptionedFigure"/>
      </w:pPr>
      <w:r>
        <w:rPr>
          <w:noProof/>
        </w:rPr>
        <w:drawing>
          <wp:inline distT="0" distB="0" distL="0" distR="0" wp14:anchorId="7340D77C" wp14:editId="1997A786">
            <wp:extent cx="5334000" cy="1530032"/>
            <wp:effectExtent l="0" t="0" r="0" b="0"/>
            <wp:docPr id="24" name="Picture" descr="图4 数据集分布与特征依赖关系可视化"/>
            <wp:cNvGraphicFramePr/>
            <a:graphic xmlns:a="http://schemas.openxmlformats.org/drawingml/2006/main">
              <a:graphicData uri="http://schemas.openxmlformats.org/drawingml/2006/picture">
                <pic:pic xmlns:pic="http://schemas.openxmlformats.org/drawingml/2006/picture">
                  <pic:nvPicPr>
                    <pic:cNvPr id="25" name="Picture" descr="../pics/fig5_dataset_distribution_and_correla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656E8355" w14:textId="77777777" w:rsidR="001921D2" w:rsidRDefault="00000000">
      <w:pPr>
        <w:pStyle w:val="ImageCaption"/>
      </w:pPr>
      <w:r>
        <w:rPr>
          <w:rFonts w:hint="eastAsia"/>
        </w:rPr>
        <w:t>图</w:t>
      </w:r>
      <w:r>
        <w:rPr>
          <w:rFonts w:hint="eastAsia"/>
        </w:rPr>
        <w:t>4</w:t>
      </w:r>
      <w:r>
        <w:t xml:space="preserve"> </w:t>
      </w:r>
      <w:r>
        <w:rPr>
          <w:rFonts w:hint="eastAsia"/>
        </w:rPr>
        <w:t>数据集分布与特征依赖关系可视化</w:t>
      </w:r>
    </w:p>
    <w:p w14:paraId="5BB1367C" w14:textId="77777777" w:rsidR="001921D2" w:rsidRDefault="00000000">
      <w:pPr>
        <w:pStyle w:val="a0"/>
      </w:pPr>
      <w:r>
        <w:rPr>
          <w:rFonts w:hint="eastAsia"/>
        </w:rPr>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38840E63" w14:textId="77777777" w:rsidR="001921D2"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3D28AF8D" w14:textId="77777777" w:rsidR="001921D2" w:rsidRDefault="00000000">
      <w:pPr>
        <w:pStyle w:val="1"/>
      </w:pPr>
      <w:bookmarkStart w:id="12" w:name="实验及结果"/>
      <w:bookmarkEnd w:id="9"/>
      <w:bookmarkEnd w:id="11"/>
      <w:r>
        <w:lastRenderedPageBreak/>
        <w:t xml:space="preserve">5. </w:t>
      </w:r>
      <w:r>
        <w:rPr>
          <w:rFonts w:hint="eastAsia"/>
        </w:rPr>
        <w:t>实验及结果</w:t>
      </w:r>
    </w:p>
    <w:p w14:paraId="5CE387EB" w14:textId="77777777" w:rsidR="001921D2" w:rsidRDefault="00000000">
      <w:pPr>
        <w:pStyle w:val="2"/>
      </w:pPr>
      <w:bookmarkStart w:id="13" w:name="实验设置-experimental-setup"/>
      <w:r>
        <w:t xml:space="preserve">5.1 </w:t>
      </w:r>
      <w:r>
        <w:rPr>
          <w:rFonts w:hint="eastAsia"/>
        </w:rPr>
        <w:t>实验设置</w:t>
      </w:r>
      <w:r>
        <w:t xml:space="preserve"> (Experimental Setup)</w:t>
      </w:r>
    </w:p>
    <w:p w14:paraId="1FE21817" w14:textId="77777777" w:rsidR="001921D2" w:rsidRDefault="00000000">
      <w:pPr>
        <w:pStyle w:val="FirstParagraph"/>
      </w:pPr>
      <w:r>
        <w:rPr>
          <w:rFonts w:hint="eastAsia"/>
        </w:rPr>
        <w:t>（</w:t>
      </w:r>
      <w:r>
        <w:rPr>
          <w:rFonts w:hint="eastAsia"/>
        </w:rPr>
        <w:t>1</w:t>
      </w:r>
      <w:r>
        <w:rPr>
          <w:rFonts w:hint="eastAsia"/>
        </w:rPr>
        <w:t>）实验配置与超参数设置</w:t>
      </w:r>
    </w:p>
    <w:p w14:paraId="3FC2FC67" w14:textId="77777777" w:rsidR="001921D2" w:rsidRDefault="00000000">
      <w:pPr>
        <w:pStyle w:val="a0"/>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3659D149" w14:textId="77777777" w:rsidR="001921D2" w:rsidRDefault="00000000">
      <w:pPr>
        <w:pStyle w:val="Compact"/>
        <w:numPr>
          <w:ilvl w:val="0"/>
          <w:numId w:val="3"/>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2EBEBD81" w14:textId="77777777" w:rsidR="001921D2" w:rsidRDefault="00000000">
      <w:pPr>
        <w:pStyle w:val="Compact"/>
        <w:numPr>
          <w:ilvl w:val="0"/>
          <w:numId w:val="3"/>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6678CB7D" w14:textId="77777777" w:rsidR="001921D2" w:rsidRDefault="00000000">
      <w:pPr>
        <w:pStyle w:val="FirstParagraph"/>
      </w:pPr>
      <w:r>
        <w:rPr>
          <w:rFonts w:hint="eastAsia"/>
        </w:rPr>
        <w:t>表</w:t>
      </w:r>
      <w:r>
        <w:t xml:space="preserve"> 5-1 </w:t>
      </w:r>
      <w:r>
        <w:rPr>
          <w:rFonts w:hint="eastAsia"/>
        </w:rPr>
        <w:t>关键超参数设置</w:t>
      </w:r>
    </w:p>
    <w:tbl>
      <w:tblPr>
        <w:tblStyle w:val="Table"/>
        <w:tblW w:w="5000" w:type="pct"/>
        <w:tblLayout w:type="fixed"/>
        <w:tblLook w:val="0020" w:firstRow="1" w:lastRow="0" w:firstColumn="0" w:lastColumn="0" w:noHBand="0" w:noVBand="0"/>
      </w:tblPr>
      <w:tblGrid>
        <w:gridCol w:w="2214"/>
        <w:gridCol w:w="2214"/>
        <w:gridCol w:w="2214"/>
        <w:gridCol w:w="2214"/>
      </w:tblGrid>
      <w:tr w:rsidR="001921D2" w14:paraId="30DF3CE6" w14:textId="77777777" w:rsidTr="001921D2">
        <w:trPr>
          <w:cnfStyle w:val="100000000000" w:firstRow="1" w:lastRow="0" w:firstColumn="0" w:lastColumn="0" w:oddVBand="0" w:evenVBand="0" w:oddHBand="0" w:evenHBand="0" w:firstRowFirstColumn="0" w:firstRowLastColumn="0" w:lastRowFirstColumn="0" w:lastRowLastColumn="0"/>
          <w:tblHeader/>
        </w:trPr>
        <w:tc>
          <w:tcPr>
            <w:tcW w:w="1980" w:type="dxa"/>
          </w:tcPr>
          <w:p w14:paraId="43235B25" w14:textId="77777777" w:rsidR="001921D2" w:rsidRDefault="00000000">
            <w:pPr>
              <w:pStyle w:val="Compact"/>
            </w:pPr>
            <w:r>
              <w:rPr>
                <w:b/>
                <w:bCs/>
              </w:rPr>
              <w:t>Module</w:t>
            </w:r>
          </w:p>
        </w:tc>
        <w:tc>
          <w:tcPr>
            <w:tcW w:w="1980" w:type="dxa"/>
          </w:tcPr>
          <w:p w14:paraId="3E6C6106" w14:textId="77777777" w:rsidR="001921D2" w:rsidRDefault="00000000">
            <w:pPr>
              <w:pStyle w:val="Compact"/>
            </w:pPr>
            <w:r>
              <w:rPr>
                <w:b/>
                <w:bCs/>
              </w:rPr>
              <w:t>Parameter Description</w:t>
            </w:r>
          </w:p>
        </w:tc>
        <w:tc>
          <w:tcPr>
            <w:tcW w:w="1980" w:type="dxa"/>
          </w:tcPr>
          <w:p w14:paraId="5ED30110" w14:textId="77777777" w:rsidR="001921D2" w:rsidRDefault="00000000">
            <w:pPr>
              <w:pStyle w:val="Compact"/>
            </w:pPr>
            <w:r>
              <w:rPr>
                <w:b/>
                <w:bCs/>
              </w:rPr>
              <w:t>Symbol</w:t>
            </w:r>
          </w:p>
        </w:tc>
        <w:tc>
          <w:tcPr>
            <w:tcW w:w="1980" w:type="dxa"/>
          </w:tcPr>
          <w:p w14:paraId="5FDCB381" w14:textId="77777777" w:rsidR="001921D2" w:rsidRDefault="00000000">
            <w:pPr>
              <w:pStyle w:val="Compact"/>
            </w:pPr>
            <w:r>
              <w:rPr>
                <w:b/>
                <w:bCs/>
              </w:rPr>
              <w:t>Value</w:t>
            </w:r>
          </w:p>
        </w:tc>
      </w:tr>
      <w:tr w:rsidR="001921D2" w14:paraId="506B3D6D" w14:textId="77777777">
        <w:tc>
          <w:tcPr>
            <w:tcW w:w="1980" w:type="dxa"/>
          </w:tcPr>
          <w:p w14:paraId="7F2FFFA5" w14:textId="77777777" w:rsidR="001921D2" w:rsidRDefault="00000000">
            <w:pPr>
              <w:pStyle w:val="Compact"/>
            </w:pPr>
            <w:r>
              <w:rPr>
                <w:b/>
                <w:bCs/>
              </w:rPr>
              <w:t>DQN Agent</w:t>
            </w:r>
          </w:p>
        </w:tc>
        <w:tc>
          <w:tcPr>
            <w:tcW w:w="1980" w:type="dxa"/>
          </w:tcPr>
          <w:p w14:paraId="6F6F50B4" w14:textId="77777777" w:rsidR="001921D2" w:rsidRDefault="00000000">
            <w:pPr>
              <w:pStyle w:val="Compact"/>
            </w:pPr>
            <w:r>
              <w:t>Learning rate</w:t>
            </w:r>
          </w:p>
        </w:tc>
        <w:tc>
          <w:tcPr>
            <w:tcW w:w="1980" w:type="dxa"/>
          </w:tcPr>
          <w:p w14:paraId="1C77FBA9" w14:textId="77777777" w:rsidR="001921D2" w:rsidRDefault="00000000">
            <w:pPr>
              <w:pStyle w:val="Compact"/>
            </w:pPr>
            <m:oMathPara>
              <m:oMath>
                <m:r>
                  <w:rPr>
                    <w:rFonts w:ascii="Cambria Math" w:hAnsi="Cambria Math"/>
                  </w:rPr>
                  <m:t>α</m:t>
                </m:r>
              </m:oMath>
            </m:oMathPara>
          </w:p>
        </w:tc>
        <w:tc>
          <w:tcPr>
            <w:tcW w:w="1980" w:type="dxa"/>
          </w:tcPr>
          <w:p w14:paraId="41FE3605" w14:textId="77777777" w:rsidR="001921D2" w:rsidRDefault="00000000">
            <w:pPr>
              <w:pStyle w:val="Compact"/>
            </w:pPr>
            <m:oMathPara>
              <m:oMath>
                <m:r>
                  <w:rPr>
                    <w:rFonts w:ascii="Cambria Math" w:hAnsi="Cambria Math"/>
                  </w:rPr>
                  <m:t>0.0048</m:t>
                </m:r>
              </m:oMath>
            </m:oMathPara>
          </w:p>
        </w:tc>
      </w:tr>
      <w:tr w:rsidR="001921D2" w14:paraId="506FFB55" w14:textId="77777777">
        <w:tc>
          <w:tcPr>
            <w:tcW w:w="1980" w:type="dxa"/>
          </w:tcPr>
          <w:p w14:paraId="3D204FBF" w14:textId="77777777" w:rsidR="001921D2" w:rsidRDefault="001921D2">
            <w:pPr>
              <w:pStyle w:val="Compact"/>
            </w:pPr>
          </w:p>
        </w:tc>
        <w:tc>
          <w:tcPr>
            <w:tcW w:w="1980" w:type="dxa"/>
          </w:tcPr>
          <w:p w14:paraId="1BA0215D" w14:textId="77777777" w:rsidR="001921D2" w:rsidRDefault="00000000">
            <w:pPr>
              <w:pStyle w:val="Compact"/>
            </w:pPr>
            <w:r>
              <w:t>Discount factor</w:t>
            </w:r>
          </w:p>
        </w:tc>
        <w:tc>
          <w:tcPr>
            <w:tcW w:w="1980" w:type="dxa"/>
          </w:tcPr>
          <w:p w14:paraId="692CB17E" w14:textId="77777777" w:rsidR="001921D2" w:rsidRDefault="00000000">
            <w:pPr>
              <w:pStyle w:val="Compact"/>
            </w:pPr>
            <m:oMathPara>
              <m:oMath>
                <m:r>
                  <w:rPr>
                    <w:rFonts w:ascii="Cambria Math" w:hAnsi="Cambria Math"/>
                  </w:rPr>
                  <m:t>γ</m:t>
                </m:r>
              </m:oMath>
            </m:oMathPara>
          </w:p>
        </w:tc>
        <w:tc>
          <w:tcPr>
            <w:tcW w:w="1980" w:type="dxa"/>
          </w:tcPr>
          <w:p w14:paraId="72A21E44" w14:textId="77777777" w:rsidR="001921D2" w:rsidRDefault="00000000">
            <w:pPr>
              <w:pStyle w:val="Compact"/>
            </w:pPr>
            <m:oMathPara>
              <m:oMath>
                <m:r>
                  <w:rPr>
                    <w:rFonts w:ascii="Cambria Math" w:hAnsi="Cambria Math"/>
                  </w:rPr>
                  <m:t>0.962</m:t>
                </m:r>
              </m:oMath>
            </m:oMathPara>
          </w:p>
        </w:tc>
      </w:tr>
      <w:tr w:rsidR="001921D2" w14:paraId="6FD10783" w14:textId="77777777">
        <w:tc>
          <w:tcPr>
            <w:tcW w:w="1980" w:type="dxa"/>
          </w:tcPr>
          <w:p w14:paraId="7309C39E" w14:textId="77777777" w:rsidR="001921D2" w:rsidRDefault="001921D2">
            <w:pPr>
              <w:pStyle w:val="Compact"/>
            </w:pPr>
          </w:p>
        </w:tc>
        <w:tc>
          <w:tcPr>
            <w:tcW w:w="1980" w:type="dxa"/>
          </w:tcPr>
          <w:p w14:paraId="58A27923" w14:textId="77777777" w:rsidR="001921D2" w:rsidRDefault="00000000">
            <w:pPr>
              <w:pStyle w:val="Compact"/>
            </w:pPr>
            <w:r>
              <w:t>Replay buffer size</w:t>
            </w:r>
          </w:p>
        </w:tc>
        <w:tc>
          <w:tcPr>
            <w:tcW w:w="1980" w:type="dxa"/>
          </w:tcPr>
          <w:p w14:paraId="6C0E0D8D" w14:textId="77777777" w:rsidR="001921D2" w:rsidRDefault="00000000">
            <w:pPr>
              <w:pStyle w:val="Compact"/>
            </w:pPr>
            <m:oMathPara>
              <m:oMath>
                <m:r>
                  <w:rPr>
                    <w:rFonts w:ascii="Cambria Math" w:hAnsi="Cambria Math"/>
                  </w:rPr>
                  <m:t>M</m:t>
                </m:r>
              </m:oMath>
            </m:oMathPara>
          </w:p>
        </w:tc>
        <w:tc>
          <w:tcPr>
            <w:tcW w:w="1980" w:type="dxa"/>
          </w:tcPr>
          <w:p w14:paraId="722AD241" w14:textId="77777777" w:rsidR="001921D2"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1921D2" w14:paraId="2CFFC984" w14:textId="77777777">
        <w:tc>
          <w:tcPr>
            <w:tcW w:w="1980" w:type="dxa"/>
          </w:tcPr>
          <w:p w14:paraId="411A2F31" w14:textId="77777777" w:rsidR="001921D2" w:rsidRDefault="001921D2">
            <w:pPr>
              <w:pStyle w:val="Compact"/>
            </w:pPr>
          </w:p>
        </w:tc>
        <w:tc>
          <w:tcPr>
            <w:tcW w:w="1980" w:type="dxa"/>
          </w:tcPr>
          <w:p w14:paraId="2491355B" w14:textId="77777777" w:rsidR="001921D2" w:rsidRDefault="00000000">
            <w:pPr>
              <w:pStyle w:val="Compact"/>
            </w:pPr>
            <w:r>
              <w:t>Mini-batch size</w:t>
            </w:r>
          </w:p>
        </w:tc>
        <w:tc>
          <w:tcPr>
            <w:tcW w:w="1980" w:type="dxa"/>
          </w:tcPr>
          <w:p w14:paraId="71B8B3A1" w14:textId="77777777" w:rsidR="001921D2" w:rsidRDefault="00000000">
            <w:pPr>
              <w:pStyle w:val="Compact"/>
            </w:pPr>
            <m:oMathPara>
              <m:oMath>
                <m:r>
                  <w:rPr>
                    <w:rFonts w:ascii="Cambria Math" w:hAnsi="Cambria Math"/>
                  </w:rPr>
                  <m:t>B</m:t>
                </m:r>
              </m:oMath>
            </m:oMathPara>
          </w:p>
        </w:tc>
        <w:tc>
          <w:tcPr>
            <w:tcW w:w="1980" w:type="dxa"/>
          </w:tcPr>
          <w:p w14:paraId="55D023F1" w14:textId="77777777" w:rsidR="001921D2" w:rsidRDefault="00000000">
            <w:pPr>
              <w:pStyle w:val="Compact"/>
            </w:pPr>
            <m:oMathPara>
              <m:oMath>
                <m:r>
                  <w:rPr>
                    <w:rFonts w:ascii="Cambria Math" w:hAnsi="Cambria Math"/>
                  </w:rPr>
                  <m:t>178</m:t>
                </m:r>
              </m:oMath>
            </m:oMathPara>
          </w:p>
        </w:tc>
      </w:tr>
      <w:tr w:rsidR="001921D2" w14:paraId="04FDBD7B" w14:textId="77777777">
        <w:tc>
          <w:tcPr>
            <w:tcW w:w="1980" w:type="dxa"/>
          </w:tcPr>
          <w:p w14:paraId="6BE2952F" w14:textId="77777777" w:rsidR="001921D2" w:rsidRDefault="001921D2">
            <w:pPr>
              <w:pStyle w:val="Compact"/>
            </w:pPr>
          </w:p>
        </w:tc>
        <w:tc>
          <w:tcPr>
            <w:tcW w:w="1980" w:type="dxa"/>
          </w:tcPr>
          <w:p w14:paraId="6E8209CF" w14:textId="77777777" w:rsidR="001921D2" w:rsidRDefault="00000000">
            <w:pPr>
              <w:pStyle w:val="Compact"/>
            </w:pPr>
            <w:r>
              <w:t>Epsilon schedule</w:t>
            </w:r>
          </w:p>
        </w:tc>
        <w:tc>
          <w:tcPr>
            <w:tcW w:w="1980" w:type="dxa"/>
          </w:tcPr>
          <w:p w14:paraId="0DBF2D08" w14:textId="77777777" w:rsidR="001921D2" w:rsidRDefault="00000000">
            <w:pPr>
              <w:pStyle w:val="Compact"/>
            </w:pPr>
            <m:oMathPara>
              <m:oMath>
                <m:r>
                  <w:rPr>
                    <w:rFonts w:ascii="Cambria Math" w:hAnsi="Cambria Math"/>
                  </w:rPr>
                  <m:t>ϵ</m:t>
                </m:r>
              </m:oMath>
            </m:oMathPara>
          </w:p>
        </w:tc>
        <w:tc>
          <w:tcPr>
            <w:tcW w:w="1980" w:type="dxa"/>
          </w:tcPr>
          <w:p w14:paraId="7A2F55DB" w14:textId="77777777" w:rsidR="001921D2"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1921D2" w14:paraId="4D6CB5E4" w14:textId="77777777">
        <w:tc>
          <w:tcPr>
            <w:tcW w:w="1980" w:type="dxa"/>
          </w:tcPr>
          <w:p w14:paraId="155AC22C" w14:textId="77777777" w:rsidR="001921D2" w:rsidRDefault="001921D2">
            <w:pPr>
              <w:pStyle w:val="Compact"/>
            </w:pPr>
          </w:p>
        </w:tc>
        <w:tc>
          <w:tcPr>
            <w:tcW w:w="1980" w:type="dxa"/>
          </w:tcPr>
          <w:p w14:paraId="55D7C516" w14:textId="77777777" w:rsidR="001921D2" w:rsidRDefault="00000000">
            <w:pPr>
              <w:pStyle w:val="Compact"/>
            </w:pPr>
            <w:r>
              <w:t>Epsilon decay factor</w:t>
            </w:r>
          </w:p>
        </w:tc>
        <w:tc>
          <w:tcPr>
            <w:tcW w:w="1980" w:type="dxa"/>
          </w:tcPr>
          <w:p w14:paraId="51B0B22F" w14:textId="77777777" w:rsidR="001921D2"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Pr>
          <w:p w14:paraId="02B0A313" w14:textId="77777777" w:rsidR="001921D2" w:rsidRDefault="00000000">
            <w:pPr>
              <w:pStyle w:val="Compact"/>
            </w:pPr>
            <m:oMathPara>
              <m:oMath>
                <m:r>
                  <w:rPr>
                    <w:rFonts w:ascii="Cambria Math" w:hAnsi="Cambria Math"/>
                  </w:rPr>
                  <m:t>0.9947</m:t>
                </m:r>
              </m:oMath>
            </m:oMathPara>
          </w:p>
        </w:tc>
      </w:tr>
      <w:tr w:rsidR="001921D2" w14:paraId="641334E5" w14:textId="77777777">
        <w:tc>
          <w:tcPr>
            <w:tcW w:w="1980" w:type="dxa"/>
          </w:tcPr>
          <w:p w14:paraId="5E8AC931" w14:textId="77777777" w:rsidR="001921D2" w:rsidRDefault="001921D2">
            <w:pPr>
              <w:pStyle w:val="Compact"/>
            </w:pPr>
          </w:p>
        </w:tc>
        <w:tc>
          <w:tcPr>
            <w:tcW w:w="1980" w:type="dxa"/>
          </w:tcPr>
          <w:p w14:paraId="0D5533B9" w14:textId="77777777" w:rsidR="001921D2" w:rsidRDefault="00000000">
            <w:pPr>
              <w:pStyle w:val="Compact"/>
            </w:pPr>
            <w:r>
              <w:t>Target update frequency</w:t>
            </w:r>
          </w:p>
        </w:tc>
        <w:tc>
          <w:tcPr>
            <w:tcW w:w="1980" w:type="dxa"/>
          </w:tcPr>
          <w:p w14:paraId="18ADE84C" w14:textId="77777777" w:rsidR="001921D2" w:rsidRDefault="00000000">
            <w:pPr>
              <w:pStyle w:val="Compact"/>
            </w:pPr>
            <m:oMathPara>
              <m:oMath>
                <m:r>
                  <w:rPr>
                    <w:rFonts w:ascii="Cambria Math" w:hAnsi="Cambria Math"/>
                  </w:rPr>
                  <m:t>C</m:t>
                </m:r>
              </m:oMath>
            </m:oMathPara>
          </w:p>
        </w:tc>
        <w:tc>
          <w:tcPr>
            <w:tcW w:w="1980" w:type="dxa"/>
          </w:tcPr>
          <w:p w14:paraId="62B565E7" w14:textId="77777777" w:rsidR="001921D2" w:rsidRDefault="00000000">
            <w:pPr>
              <w:pStyle w:val="Compact"/>
            </w:pPr>
            <m:oMath>
              <m:r>
                <w:rPr>
                  <w:rFonts w:ascii="Cambria Math" w:hAnsi="Cambria Math"/>
                </w:rPr>
                <m:t>126</m:t>
              </m:r>
            </m:oMath>
            <w:r>
              <w:t xml:space="preserve"> steps</w:t>
            </w:r>
          </w:p>
        </w:tc>
      </w:tr>
      <w:tr w:rsidR="001921D2" w14:paraId="5B997F73" w14:textId="77777777">
        <w:tc>
          <w:tcPr>
            <w:tcW w:w="1980" w:type="dxa"/>
          </w:tcPr>
          <w:p w14:paraId="4FE11732" w14:textId="77777777" w:rsidR="001921D2" w:rsidRDefault="001921D2">
            <w:pPr>
              <w:pStyle w:val="Compact"/>
            </w:pPr>
          </w:p>
        </w:tc>
        <w:tc>
          <w:tcPr>
            <w:tcW w:w="1980" w:type="dxa"/>
          </w:tcPr>
          <w:p w14:paraId="0943C97C" w14:textId="77777777" w:rsidR="001921D2" w:rsidRDefault="00000000">
            <w:pPr>
              <w:pStyle w:val="Compact"/>
            </w:pPr>
            <w:r>
              <w:t>Network architecture</w:t>
            </w:r>
          </w:p>
        </w:tc>
        <w:tc>
          <w:tcPr>
            <w:tcW w:w="1980" w:type="dxa"/>
          </w:tcPr>
          <w:p w14:paraId="0895583E" w14:textId="77777777" w:rsidR="001921D2" w:rsidRDefault="00000000">
            <w:pPr>
              <w:pStyle w:val="Compact"/>
            </w:pPr>
            <w:r>
              <w:t>-</w:t>
            </w:r>
          </w:p>
        </w:tc>
        <w:tc>
          <w:tcPr>
            <w:tcW w:w="1980" w:type="dxa"/>
          </w:tcPr>
          <w:p w14:paraId="6466ECDB" w14:textId="77777777" w:rsidR="001921D2" w:rsidRDefault="00000000">
            <w:pPr>
              <w:pStyle w:val="Compact"/>
            </w:pPr>
            <w:r>
              <w:t>[256, 128, 64]</w:t>
            </w:r>
          </w:p>
        </w:tc>
      </w:tr>
      <w:tr w:rsidR="001921D2" w14:paraId="47E05B46" w14:textId="77777777">
        <w:tc>
          <w:tcPr>
            <w:tcW w:w="1980" w:type="dxa"/>
          </w:tcPr>
          <w:p w14:paraId="2ABB3C37" w14:textId="77777777" w:rsidR="001921D2" w:rsidRDefault="001921D2">
            <w:pPr>
              <w:pStyle w:val="Compact"/>
            </w:pPr>
          </w:p>
        </w:tc>
        <w:tc>
          <w:tcPr>
            <w:tcW w:w="1980" w:type="dxa"/>
          </w:tcPr>
          <w:p w14:paraId="6C01D0DC" w14:textId="77777777" w:rsidR="001921D2" w:rsidRDefault="00000000">
            <w:pPr>
              <w:pStyle w:val="Compact"/>
            </w:pPr>
            <w:r>
              <w:t>State dimension / action cardinality</w:t>
            </w:r>
          </w:p>
        </w:tc>
        <w:tc>
          <w:tcPr>
            <w:tcW w:w="1980" w:type="dxa"/>
          </w:tcPr>
          <w:p w14:paraId="1CB681AF" w14:textId="77777777" w:rsidR="001921D2" w:rsidRDefault="00000000">
            <w:pPr>
              <w:pStyle w:val="Compact"/>
            </w:pPr>
            <w:r>
              <w:t>-</w:t>
            </w:r>
          </w:p>
        </w:tc>
        <w:tc>
          <w:tcPr>
            <w:tcW w:w="1980" w:type="dxa"/>
          </w:tcPr>
          <w:p w14:paraId="2099D07F" w14:textId="77777777" w:rsidR="001921D2"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1921D2" w14:paraId="7CBBE0CC" w14:textId="77777777">
        <w:tc>
          <w:tcPr>
            <w:tcW w:w="1980" w:type="dxa"/>
          </w:tcPr>
          <w:p w14:paraId="051A5CAF" w14:textId="77777777" w:rsidR="001921D2" w:rsidRDefault="00000000">
            <w:pPr>
              <w:pStyle w:val="Compact"/>
            </w:pPr>
            <w:r>
              <w:rPr>
                <w:b/>
                <w:bCs/>
              </w:rPr>
              <w:t>Streaming Anomaly Gate</w:t>
            </w:r>
          </w:p>
        </w:tc>
        <w:tc>
          <w:tcPr>
            <w:tcW w:w="1980" w:type="dxa"/>
          </w:tcPr>
          <w:p w14:paraId="5F62474A" w14:textId="77777777" w:rsidR="001921D2" w:rsidRDefault="00000000">
            <w:pPr>
              <w:pStyle w:val="Compact"/>
            </w:pPr>
            <w:r>
              <w:t>Global update rate</w:t>
            </w:r>
          </w:p>
        </w:tc>
        <w:tc>
          <w:tcPr>
            <w:tcW w:w="1980" w:type="dxa"/>
          </w:tcPr>
          <w:p w14:paraId="5855D80B" w14:textId="77777777" w:rsidR="001921D2"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m:oMathPara>
          </w:p>
        </w:tc>
        <w:tc>
          <w:tcPr>
            <w:tcW w:w="1980" w:type="dxa"/>
          </w:tcPr>
          <w:p w14:paraId="704E08FE" w14:textId="77777777" w:rsidR="001921D2" w:rsidRDefault="00000000">
            <w:pPr>
              <w:pStyle w:val="Compact"/>
            </w:pPr>
            <m:oMathPara>
              <m:oMath>
                <m:r>
                  <w:rPr>
                    <w:rFonts w:ascii="Cambria Math" w:hAnsi="Cambria Math"/>
                  </w:rPr>
                  <m:t>0.0625</m:t>
                </m:r>
              </m:oMath>
            </m:oMathPara>
          </w:p>
        </w:tc>
      </w:tr>
      <w:tr w:rsidR="001921D2" w14:paraId="6A792716" w14:textId="77777777">
        <w:tc>
          <w:tcPr>
            <w:tcW w:w="1980" w:type="dxa"/>
          </w:tcPr>
          <w:p w14:paraId="4EABDAEF" w14:textId="77777777" w:rsidR="001921D2" w:rsidRDefault="001921D2">
            <w:pPr>
              <w:pStyle w:val="Compact"/>
            </w:pPr>
          </w:p>
        </w:tc>
        <w:tc>
          <w:tcPr>
            <w:tcW w:w="1980" w:type="dxa"/>
          </w:tcPr>
          <w:p w14:paraId="31FAE129" w14:textId="77777777" w:rsidR="001921D2" w:rsidRDefault="00000000">
            <w:pPr>
              <w:pStyle w:val="Compact"/>
            </w:pPr>
            <w:r>
              <w:t>Local window size</w:t>
            </w:r>
          </w:p>
        </w:tc>
        <w:tc>
          <w:tcPr>
            <w:tcW w:w="1980" w:type="dxa"/>
          </w:tcPr>
          <w:p w14:paraId="009CAFAD" w14:textId="77777777" w:rsidR="001921D2" w:rsidRDefault="00000000">
            <w:pPr>
              <w:pStyle w:val="Compact"/>
            </w:pPr>
            <m:oMathPara>
              <m:oMath>
                <m:r>
                  <w:rPr>
                    <w:rFonts w:ascii="Cambria Math" w:hAnsi="Cambria Math"/>
                  </w:rPr>
                  <m:t>W</m:t>
                </m:r>
              </m:oMath>
            </m:oMathPara>
          </w:p>
        </w:tc>
        <w:tc>
          <w:tcPr>
            <w:tcW w:w="1980" w:type="dxa"/>
          </w:tcPr>
          <w:p w14:paraId="160C21CB" w14:textId="77777777" w:rsidR="001921D2" w:rsidRDefault="00000000">
            <w:pPr>
              <w:pStyle w:val="Compact"/>
            </w:pPr>
            <m:oMathPara>
              <m:oMath>
                <m:r>
                  <w:rPr>
                    <w:rFonts w:ascii="Cambria Math" w:hAnsi="Cambria Math"/>
                  </w:rPr>
                  <m:t>135</m:t>
                </m:r>
              </m:oMath>
            </m:oMathPara>
          </w:p>
        </w:tc>
      </w:tr>
      <w:tr w:rsidR="001921D2" w14:paraId="44F90265" w14:textId="77777777">
        <w:tc>
          <w:tcPr>
            <w:tcW w:w="1980" w:type="dxa"/>
          </w:tcPr>
          <w:p w14:paraId="44DD6121" w14:textId="77777777" w:rsidR="001921D2" w:rsidRDefault="001921D2">
            <w:pPr>
              <w:pStyle w:val="Compact"/>
            </w:pPr>
          </w:p>
        </w:tc>
        <w:tc>
          <w:tcPr>
            <w:tcW w:w="1980" w:type="dxa"/>
          </w:tcPr>
          <w:p w14:paraId="7BE400F5" w14:textId="77777777" w:rsidR="001921D2" w:rsidRDefault="00000000">
            <w:pPr>
              <w:pStyle w:val="Compact"/>
            </w:pPr>
            <w:r>
              <w:t>Local update rate</w:t>
            </w:r>
          </w:p>
        </w:tc>
        <w:tc>
          <w:tcPr>
            <w:tcW w:w="1980" w:type="dxa"/>
          </w:tcPr>
          <w:p w14:paraId="7505AC44" w14:textId="77777777" w:rsidR="001921D2"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Pr>
          <w:p w14:paraId="75AE90E1" w14:textId="77777777" w:rsidR="001921D2" w:rsidRDefault="00000000">
            <w:pPr>
              <w:pStyle w:val="Compact"/>
            </w:pPr>
            <m:oMathPara>
              <m:oMath>
                <m:r>
                  <w:rPr>
                    <w:rFonts w:ascii="Cambria Math" w:hAnsi="Cambria Math"/>
                  </w:rPr>
                  <m:t>0.595659</m:t>
                </m:r>
              </m:oMath>
            </m:oMathPara>
          </w:p>
        </w:tc>
      </w:tr>
      <w:tr w:rsidR="001921D2" w14:paraId="499CCB69" w14:textId="77777777">
        <w:tc>
          <w:tcPr>
            <w:tcW w:w="1980" w:type="dxa"/>
          </w:tcPr>
          <w:p w14:paraId="1FDDC3DF" w14:textId="77777777" w:rsidR="001921D2" w:rsidRDefault="001921D2">
            <w:pPr>
              <w:pStyle w:val="Compact"/>
            </w:pPr>
          </w:p>
        </w:tc>
        <w:tc>
          <w:tcPr>
            <w:tcW w:w="1980" w:type="dxa"/>
          </w:tcPr>
          <w:p w14:paraId="19AFFA10" w14:textId="77777777" w:rsidR="001921D2" w:rsidRDefault="00000000">
            <w:pPr>
              <w:pStyle w:val="Compact"/>
            </w:pPr>
            <w:r>
              <w:t xml:space="preserve">Reference </w:t>
            </w:r>
            <w:r>
              <w:lastRenderedPageBreak/>
              <w:t>samples</w:t>
            </w:r>
          </w:p>
        </w:tc>
        <w:tc>
          <w:tcPr>
            <w:tcW w:w="1980" w:type="dxa"/>
          </w:tcPr>
          <w:p w14:paraId="0F18E632"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1980" w:type="dxa"/>
          </w:tcPr>
          <w:p w14:paraId="4943D059" w14:textId="77777777" w:rsidR="001921D2" w:rsidRDefault="00000000">
            <w:pPr>
              <w:pStyle w:val="Compact"/>
            </w:pPr>
            <m:oMathPara>
              <m:oMath>
                <m:r>
                  <w:rPr>
                    <w:rFonts w:ascii="Cambria Math" w:hAnsi="Cambria Math"/>
                  </w:rPr>
                  <m:t>700</m:t>
                </m:r>
              </m:oMath>
            </m:oMathPara>
          </w:p>
        </w:tc>
      </w:tr>
      <w:tr w:rsidR="001921D2" w14:paraId="566D61B4" w14:textId="77777777">
        <w:tc>
          <w:tcPr>
            <w:tcW w:w="1980" w:type="dxa"/>
          </w:tcPr>
          <w:p w14:paraId="1F345642" w14:textId="77777777" w:rsidR="001921D2" w:rsidRDefault="001921D2">
            <w:pPr>
              <w:pStyle w:val="Compact"/>
            </w:pPr>
          </w:p>
        </w:tc>
        <w:tc>
          <w:tcPr>
            <w:tcW w:w="1980" w:type="dxa"/>
          </w:tcPr>
          <w:p w14:paraId="35DDF705" w14:textId="77777777" w:rsidR="001921D2" w:rsidRDefault="00000000">
            <w:pPr>
              <w:pStyle w:val="Compact"/>
            </w:pPr>
            <w:r>
              <w:t>Base contamination</w:t>
            </w:r>
          </w:p>
        </w:tc>
        <w:tc>
          <w:tcPr>
            <w:tcW w:w="1980" w:type="dxa"/>
          </w:tcPr>
          <w:p w14:paraId="1F5A5AE0" w14:textId="77777777" w:rsidR="001921D2" w:rsidRDefault="00000000">
            <w:pPr>
              <w:pStyle w:val="Compact"/>
            </w:pPr>
            <m:oMathPara>
              <m:oMath>
                <m:r>
                  <w:rPr>
                    <w:rFonts w:ascii="Cambria Math" w:hAnsi="Cambria Math"/>
                  </w:rPr>
                  <m:t>ν</m:t>
                </m:r>
              </m:oMath>
            </m:oMathPara>
          </w:p>
        </w:tc>
        <w:tc>
          <w:tcPr>
            <w:tcW w:w="1980" w:type="dxa"/>
          </w:tcPr>
          <w:p w14:paraId="685D17F8" w14:textId="77777777" w:rsidR="001921D2" w:rsidRDefault="00000000">
            <w:pPr>
              <w:pStyle w:val="Compact"/>
            </w:pPr>
            <m:oMathPara>
              <m:oMath>
                <m:r>
                  <w:rPr>
                    <w:rFonts w:ascii="Cambria Math" w:hAnsi="Cambria Math"/>
                  </w:rPr>
                  <m:t>0.310449</m:t>
                </m:r>
              </m:oMath>
            </m:oMathPara>
          </w:p>
        </w:tc>
      </w:tr>
      <w:tr w:rsidR="001921D2" w14:paraId="5E8E07CE" w14:textId="77777777">
        <w:tc>
          <w:tcPr>
            <w:tcW w:w="1980" w:type="dxa"/>
          </w:tcPr>
          <w:p w14:paraId="3D4A23B6" w14:textId="77777777" w:rsidR="001921D2" w:rsidRDefault="001921D2">
            <w:pPr>
              <w:pStyle w:val="Compact"/>
            </w:pPr>
          </w:p>
        </w:tc>
        <w:tc>
          <w:tcPr>
            <w:tcW w:w="1980" w:type="dxa"/>
          </w:tcPr>
          <w:p w14:paraId="6048D77B" w14:textId="77777777" w:rsidR="001921D2" w:rsidRDefault="00000000">
            <w:pPr>
              <w:pStyle w:val="Compact"/>
            </w:pPr>
            <w:r>
              <w:t>Threshold local alpha weight</w:t>
            </w:r>
          </w:p>
        </w:tc>
        <w:tc>
          <w:tcPr>
            <w:tcW w:w="1980" w:type="dxa"/>
          </w:tcPr>
          <w:p w14:paraId="657F65C5" w14:textId="77777777" w:rsidR="001921D2"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Pr>
          <w:p w14:paraId="63701978" w14:textId="77777777" w:rsidR="001921D2" w:rsidRDefault="00000000">
            <w:pPr>
              <w:pStyle w:val="Compact"/>
            </w:pPr>
            <m:oMathPara>
              <m:oMath>
                <m:r>
                  <w:rPr>
                    <w:rFonts w:ascii="Cambria Math" w:hAnsi="Cambria Math"/>
                  </w:rPr>
                  <m:t>0.675</m:t>
                </m:r>
              </m:oMath>
            </m:oMathPara>
          </w:p>
        </w:tc>
      </w:tr>
      <w:tr w:rsidR="001921D2" w14:paraId="01EFF518" w14:textId="77777777">
        <w:tc>
          <w:tcPr>
            <w:tcW w:w="1980" w:type="dxa"/>
          </w:tcPr>
          <w:p w14:paraId="09CE434E" w14:textId="77777777" w:rsidR="001921D2" w:rsidRDefault="001921D2">
            <w:pPr>
              <w:pStyle w:val="Compact"/>
            </w:pPr>
          </w:p>
        </w:tc>
        <w:tc>
          <w:tcPr>
            <w:tcW w:w="1980" w:type="dxa"/>
          </w:tcPr>
          <w:p w14:paraId="48F8B62A" w14:textId="77777777" w:rsidR="001921D2" w:rsidRDefault="00000000">
            <w:pPr>
              <w:pStyle w:val="Compact"/>
            </w:pPr>
            <w:r>
              <w:t>Threshold bias correction term</w:t>
            </w:r>
          </w:p>
        </w:tc>
        <w:tc>
          <w:tcPr>
            <w:tcW w:w="1980" w:type="dxa"/>
          </w:tcPr>
          <w:p w14:paraId="08715742" w14:textId="77777777" w:rsidR="001921D2"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Pr>
          <w:p w14:paraId="7F2D24F6" w14:textId="77777777" w:rsidR="001921D2" w:rsidRDefault="00000000">
            <w:pPr>
              <w:pStyle w:val="Compact"/>
            </w:pPr>
            <m:oMathPara>
              <m:oMath>
                <m:r>
                  <m:rPr>
                    <m:sty m:val="p"/>
                  </m:rPr>
                  <w:rPr>
                    <w:rFonts w:ascii="Cambria Math" w:hAnsi="Cambria Math"/>
                  </w:rPr>
                  <m:t>-</m:t>
                </m:r>
                <m:r>
                  <w:rPr>
                    <w:rFonts w:ascii="Cambria Math" w:hAnsi="Cambria Math"/>
                  </w:rPr>
                  <m:t>0.043058</m:t>
                </m:r>
              </m:oMath>
            </m:oMathPara>
          </w:p>
        </w:tc>
      </w:tr>
      <w:tr w:rsidR="001921D2" w14:paraId="25E12ED6" w14:textId="77777777">
        <w:tc>
          <w:tcPr>
            <w:tcW w:w="1980" w:type="dxa"/>
          </w:tcPr>
          <w:p w14:paraId="6D9A59C8" w14:textId="77777777" w:rsidR="001921D2" w:rsidRDefault="001921D2">
            <w:pPr>
              <w:pStyle w:val="Compact"/>
            </w:pPr>
          </w:p>
        </w:tc>
        <w:tc>
          <w:tcPr>
            <w:tcW w:w="1980" w:type="dxa"/>
          </w:tcPr>
          <w:p w14:paraId="5573331C" w14:textId="77777777" w:rsidR="001921D2" w:rsidRDefault="00000000">
            <w:pPr>
              <w:pStyle w:val="Compact"/>
            </w:pPr>
            <w:r>
              <w:t>Threshold quantile</w:t>
            </w:r>
          </w:p>
        </w:tc>
        <w:tc>
          <w:tcPr>
            <w:tcW w:w="1980" w:type="dxa"/>
          </w:tcPr>
          <w:p w14:paraId="3F7CA7D7" w14:textId="77777777" w:rsidR="001921D2" w:rsidRDefault="00000000">
            <w:pPr>
              <w:pStyle w:val="Compact"/>
            </w:pPr>
            <m:oMathPara>
              <m:oMath>
                <m:r>
                  <w:rPr>
                    <w:rFonts w:ascii="Cambria Math" w:hAnsi="Cambria Math"/>
                  </w:rPr>
                  <m:t>q</m:t>
                </m:r>
              </m:oMath>
            </m:oMathPara>
          </w:p>
        </w:tc>
        <w:tc>
          <w:tcPr>
            <w:tcW w:w="1980" w:type="dxa"/>
          </w:tcPr>
          <w:p w14:paraId="2C3FC7D0" w14:textId="77777777" w:rsidR="001921D2" w:rsidRDefault="00000000">
            <w:pPr>
              <w:pStyle w:val="Compact"/>
            </w:pPr>
            <m:oMathPara>
              <m:oMath>
                <m:r>
                  <w:rPr>
                    <w:rFonts w:ascii="Cambria Math" w:hAnsi="Cambria Math"/>
                  </w:rPr>
                  <m:t>0.667542</m:t>
                </m:r>
              </m:oMath>
            </m:oMathPara>
          </w:p>
        </w:tc>
      </w:tr>
      <w:tr w:rsidR="001921D2" w14:paraId="000BF25B" w14:textId="77777777">
        <w:tc>
          <w:tcPr>
            <w:tcW w:w="1980" w:type="dxa"/>
          </w:tcPr>
          <w:p w14:paraId="4ACE8B07" w14:textId="77777777" w:rsidR="001921D2" w:rsidRDefault="001921D2">
            <w:pPr>
              <w:pStyle w:val="Compact"/>
            </w:pPr>
          </w:p>
        </w:tc>
        <w:tc>
          <w:tcPr>
            <w:tcW w:w="1980" w:type="dxa"/>
          </w:tcPr>
          <w:p w14:paraId="70B869BA" w14:textId="77777777" w:rsidR="001921D2" w:rsidRDefault="00000000">
            <w:pPr>
              <w:pStyle w:val="Compact"/>
            </w:pPr>
            <w:r>
              <w:t>Threshold MAD scale</w:t>
            </w:r>
          </w:p>
        </w:tc>
        <w:tc>
          <w:tcPr>
            <w:tcW w:w="1980" w:type="dxa"/>
          </w:tcPr>
          <w:p w14:paraId="6DBCEAC5" w14:textId="77777777" w:rsidR="001921D2" w:rsidRDefault="00000000">
            <w:pPr>
              <w:pStyle w:val="Compact"/>
            </w:pPr>
            <m:oMathPara>
              <m:oMath>
                <m:r>
                  <w:rPr>
                    <w:rFonts w:ascii="Cambria Math" w:hAnsi="Cambria Math"/>
                  </w:rPr>
                  <m:t>κ</m:t>
                </m:r>
              </m:oMath>
            </m:oMathPara>
          </w:p>
        </w:tc>
        <w:tc>
          <w:tcPr>
            <w:tcW w:w="1980" w:type="dxa"/>
          </w:tcPr>
          <w:p w14:paraId="03877E7B" w14:textId="77777777" w:rsidR="001921D2" w:rsidRDefault="00000000">
            <w:pPr>
              <w:pStyle w:val="Compact"/>
            </w:pPr>
            <m:oMathPara>
              <m:oMath>
                <m:r>
                  <w:rPr>
                    <w:rFonts w:ascii="Cambria Math" w:hAnsi="Cambria Math"/>
                  </w:rPr>
                  <m:t>1.135275</m:t>
                </m:r>
              </m:oMath>
            </m:oMathPara>
          </w:p>
        </w:tc>
      </w:tr>
      <w:tr w:rsidR="001921D2" w14:paraId="3820D257" w14:textId="77777777">
        <w:tc>
          <w:tcPr>
            <w:tcW w:w="1980" w:type="dxa"/>
          </w:tcPr>
          <w:p w14:paraId="655D2CFA" w14:textId="77777777" w:rsidR="001921D2" w:rsidRDefault="001921D2">
            <w:pPr>
              <w:pStyle w:val="Compact"/>
            </w:pPr>
          </w:p>
        </w:tc>
        <w:tc>
          <w:tcPr>
            <w:tcW w:w="1980" w:type="dxa"/>
          </w:tcPr>
          <w:p w14:paraId="42935B32" w14:textId="77777777" w:rsidR="001921D2" w:rsidRDefault="00000000">
            <w:pPr>
              <w:pStyle w:val="Compact"/>
            </w:pPr>
            <w:r>
              <w:t>Threshold quantile weight</w:t>
            </w:r>
          </w:p>
        </w:tc>
        <w:tc>
          <w:tcPr>
            <w:tcW w:w="1980" w:type="dxa"/>
          </w:tcPr>
          <w:p w14:paraId="2A1E759E" w14:textId="77777777" w:rsidR="001921D2"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Pr>
          <w:p w14:paraId="6D92E9D0" w14:textId="77777777" w:rsidR="001921D2" w:rsidRDefault="00000000">
            <w:pPr>
              <w:pStyle w:val="Compact"/>
            </w:pPr>
            <m:oMathPara>
              <m:oMath>
                <m:r>
                  <w:rPr>
                    <w:rFonts w:ascii="Cambria Math" w:hAnsi="Cambria Math"/>
                  </w:rPr>
                  <m:t>0.575</m:t>
                </m:r>
              </m:oMath>
            </m:oMathPara>
          </w:p>
        </w:tc>
      </w:tr>
      <w:tr w:rsidR="001921D2" w14:paraId="06A8A77F" w14:textId="77777777">
        <w:tc>
          <w:tcPr>
            <w:tcW w:w="1980" w:type="dxa"/>
          </w:tcPr>
          <w:p w14:paraId="5E321E28" w14:textId="77777777" w:rsidR="001921D2" w:rsidRDefault="001921D2">
            <w:pPr>
              <w:pStyle w:val="Compact"/>
            </w:pPr>
          </w:p>
        </w:tc>
        <w:tc>
          <w:tcPr>
            <w:tcW w:w="1980" w:type="dxa"/>
          </w:tcPr>
          <w:p w14:paraId="43BBDA78" w14:textId="77777777" w:rsidR="001921D2" w:rsidRDefault="00000000">
            <w:pPr>
              <w:pStyle w:val="Compact"/>
            </w:pPr>
            <w:r>
              <w:t>Trigger hysteresis margin</w:t>
            </w:r>
          </w:p>
        </w:tc>
        <w:tc>
          <w:tcPr>
            <w:tcW w:w="1980" w:type="dxa"/>
          </w:tcPr>
          <w:p w14:paraId="18B903B0" w14:textId="77777777" w:rsidR="001921D2"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Pr>
          <w:p w14:paraId="0CCF4577" w14:textId="77777777" w:rsidR="001921D2" w:rsidRDefault="00000000">
            <w:pPr>
              <w:pStyle w:val="Compact"/>
            </w:pPr>
            <m:oMathPara>
              <m:oMath>
                <m:r>
                  <w:rPr>
                    <w:rFonts w:ascii="Cambria Math" w:hAnsi="Cambria Math"/>
                  </w:rPr>
                  <m:t>0.021760</m:t>
                </m:r>
              </m:oMath>
            </m:oMathPara>
          </w:p>
        </w:tc>
      </w:tr>
      <w:tr w:rsidR="001921D2" w14:paraId="4FD9445B" w14:textId="77777777">
        <w:tc>
          <w:tcPr>
            <w:tcW w:w="1980" w:type="dxa"/>
          </w:tcPr>
          <w:p w14:paraId="0F2E6EA2" w14:textId="77777777" w:rsidR="001921D2" w:rsidRDefault="001921D2">
            <w:pPr>
              <w:pStyle w:val="Compact"/>
            </w:pPr>
          </w:p>
        </w:tc>
        <w:tc>
          <w:tcPr>
            <w:tcW w:w="1980" w:type="dxa"/>
          </w:tcPr>
          <w:p w14:paraId="0356F8E0" w14:textId="77777777" w:rsidR="001921D2" w:rsidRDefault="00000000">
            <w:pPr>
              <w:pStyle w:val="Compact"/>
            </w:pPr>
            <w:r>
              <w:t>Min samples for threshold optimization</w:t>
            </w:r>
          </w:p>
        </w:tc>
        <w:tc>
          <w:tcPr>
            <w:tcW w:w="1980" w:type="dxa"/>
          </w:tcPr>
          <w:p w14:paraId="3A964972"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1980" w:type="dxa"/>
          </w:tcPr>
          <w:p w14:paraId="328C6A5D" w14:textId="77777777" w:rsidR="001921D2" w:rsidRDefault="00000000">
            <w:pPr>
              <w:pStyle w:val="Compact"/>
            </w:pPr>
            <m:oMathPara>
              <m:oMath>
                <m:r>
                  <w:rPr>
                    <w:rFonts w:ascii="Cambria Math" w:hAnsi="Cambria Math"/>
                  </w:rPr>
                  <m:t>70</m:t>
                </m:r>
              </m:oMath>
            </m:oMathPara>
          </w:p>
        </w:tc>
      </w:tr>
      <w:tr w:rsidR="001921D2" w14:paraId="75111E34" w14:textId="77777777">
        <w:tc>
          <w:tcPr>
            <w:tcW w:w="1980" w:type="dxa"/>
          </w:tcPr>
          <w:p w14:paraId="5D203757" w14:textId="77777777" w:rsidR="001921D2" w:rsidRDefault="001921D2">
            <w:pPr>
              <w:pStyle w:val="Compact"/>
            </w:pPr>
          </w:p>
        </w:tc>
        <w:tc>
          <w:tcPr>
            <w:tcW w:w="1980" w:type="dxa"/>
          </w:tcPr>
          <w:p w14:paraId="37F7EE1B" w14:textId="77777777" w:rsidR="001921D2" w:rsidRDefault="00000000">
            <w:pPr>
              <w:pStyle w:val="Compact"/>
            </w:pPr>
            <w:r>
              <w:t>Scale fusing weights (Short/Mid/Long)</w:t>
            </w:r>
          </w:p>
        </w:tc>
        <w:tc>
          <w:tcPr>
            <w:tcW w:w="1980" w:type="dxa"/>
          </w:tcPr>
          <w:p w14:paraId="3D76520F" w14:textId="77777777" w:rsidR="001921D2" w:rsidRDefault="00000000">
            <w:pPr>
              <w:pStyle w:val="Compact"/>
            </w:pPr>
            <m:oMathPara>
              <m:oMath>
                <m:r>
                  <m:rPr>
                    <m:sty m:val="bi"/>
                  </m:rPr>
                  <w:rPr>
                    <w:rFonts w:ascii="Cambria Math" w:hAnsi="Cambria Math"/>
                  </w:rPr>
                  <m:t>w</m:t>
                </m:r>
              </m:oMath>
            </m:oMathPara>
          </w:p>
        </w:tc>
        <w:tc>
          <w:tcPr>
            <w:tcW w:w="1980" w:type="dxa"/>
          </w:tcPr>
          <w:p w14:paraId="7F36D187" w14:textId="77777777" w:rsidR="001921D2"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2CC09BF7" w14:textId="77777777" w:rsidR="001921D2" w:rsidRDefault="00000000">
      <w:pPr>
        <w:pStyle w:val="a0"/>
      </w:pPr>
      <w:r>
        <w:rPr>
          <w:rFonts w:hint="eastAsia"/>
        </w:rPr>
        <w:t>（</w:t>
      </w:r>
      <w:r>
        <w:rPr>
          <w:rFonts w:hint="eastAsia"/>
        </w:rPr>
        <w:t>2</w:t>
      </w:r>
      <w:r>
        <w:rPr>
          <w:rFonts w:hint="eastAsia"/>
        </w:rPr>
        <w:t>）评价指标体系</w:t>
      </w:r>
      <w:r>
        <w:t xml:space="preserve"> (Evaluation Metrics)</w:t>
      </w:r>
    </w:p>
    <w:p w14:paraId="742C1BEF" w14:textId="77777777" w:rsidR="001921D2" w:rsidRDefault="00000000">
      <w:pPr>
        <w:pStyle w:val="a0"/>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5B388B6B" w14:textId="77777777" w:rsidR="001921D2" w:rsidRDefault="00000000">
      <w:pPr>
        <w:numPr>
          <w:ilvl w:val="0"/>
          <w:numId w:val="4"/>
        </w:numPr>
      </w:pPr>
      <w:r>
        <w:rPr>
          <w:rFonts w:hint="eastAsia"/>
        </w:rPr>
        <w:t>能耗效率指标</w:t>
      </w:r>
      <w:r>
        <w:t xml:space="preserve"> (Energy Efficiency Metrics)</w:t>
      </w:r>
    </w:p>
    <w:p w14:paraId="234981C8" w14:textId="77777777" w:rsidR="001921D2"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56049D70" w14:textId="77777777" w:rsidR="001921D2" w:rsidRDefault="00000000">
      <w:pPr>
        <w:numPr>
          <w:ilvl w:val="1"/>
          <w:numId w:val="5"/>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0A18ABFB"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6F8A6AF0" w14:textId="77777777" w:rsidR="001921D2" w:rsidRDefault="00000000">
      <w:pPr>
        <w:numPr>
          <w:ilvl w:val="1"/>
          <w:numId w:val="1"/>
        </w:numPr>
      </w:pPr>
      <w:r>
        <w:rPr>
          <w:rFonts w:hint="eastAsia"/>
        </w:rPr>
        <w:lastRenderedPageBreak/>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2C356037" w14:textId="77777777" w:rsidR="001921D2" w:rsidRDefault="00000000">
      <w:pPr>
        <w:numPr>
          <w:ilvl w:val="1"/>
          <w:numId w:val="5"/>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16B8EE88" w14:textId="77777777" w:rsidR="001921D2"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4FA394FF" w14:textId="77777777" w:rsidR="001921D2"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5197E050" w14:textId="77777777" w:rsidR="001921D2" w:rsidRDefault="00000000">
      <w:pPr>
        <w:numPr>
          <w:ilvl w:val="1"/>
          <w:numId w:val="5"/>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4A85498F" w14:textId="77777777" w:rsidR="001921D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7663CD62" w14:textId="77777777" w:rsidR="001921D2"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6DCB3205" w14:textId="77777777" w:rsidR="001921D2" w:rsidRDefault="00000000">
      <w:pPr>
        <w:numPr>
          <w:ilvl w:val="0"/>
          <w:numId w:val="4"/>
        </w:numPr>
      </w:pPr>
      <w:r>
        <w:rPr>
          <w:rFonts w:hint="eastAsia"/>
        </w:rPr>
        <w:t>温度控制与稳定性指标</w:t>
      </w:r>
      <w:r>
        <w:t xml:space="preserve"> (Temperature Control &amp; Stability Metrics)</w:t>
      </w:r>
    </w:p>
    <w:p w14:paraId="274AC8C1" w14:textId="77777777" w:rsidR="001921D2" w:rsidRDefault="00000000">
      <w:pPr>
        <w:numPr>
          <w:ilvl w:val="0"/>
          <w:numId w:val="1"/>
        </w:numPr>
      </w:pPr>
      <w:r>
        <w:rPr>
          <w:rFonts w:hint="eastAsia"/>
        </w:rPr>
        <w:t>本研究采用冷冻水供水温度（代码记录字段</w:t>
      </w:r>
      <w:r>
        <w:t xml:space="preserve"> </w:t>
      </w:r>
      <w:r>
        <w:rPr>
          <w:rStyle w:val="VerbatimChar"/>
        </w:rPr>
        <w:t>chiller_supply_temp</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7B044CFB" w14:textId="77777777" w:rsidR="001921D2" w:rsidRDefault="00000000">
      <w:pPr>
        <w:numPr>
          <w:ilvl w:val="1"/>
          <w:numId w:val="6"/>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6F0A3437" w14:textId="77777777" w:rsidR="001921D2"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58205B5" w14:textId="77777777" w:rsidR="001921D2"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1821E7F8" w14:textId="77777777" w:rsidR="001921D2" w:rsidRDefault="00000000">
      <w:pPr>
        <w:numPr>
          <w:ilvl w:val="1"/>
          <w:numId w:val="6"/>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67CCC845"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362BDB3B" w14:textId="77777777" w:rsidR="001921D2"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4B8629F2" w14:textId="77777777" w:rsidR="001921D2" w:rsidRDefault="00000000">
      <w:pPr>
        <w:numPr>
          <w:ilvl w:val="0"/>
          <w:numId w:val="4"/>
        </w:numPr>
      </w:pPr>
      <w:r>
        <w:rPr>
          <w:rFonts w:hint="eastAsia"/>
        </w:rPr>
        <w:t>控制稀疏性指标</w:t>
      </w:r>
      <w:r>
        <w:t xml:space="preserve"> (Control Sparsity Metrics)</w:t>
      </w:r>
    </w:p>
    <w:p w14:paraId="7503F5A3" w14:textId="77777777" w:rsidR="001921D2" w:rsidRDefault="00000000">
      <w:pPr>
        <w:numPr>
          <w:ilvl w:val="0"/>
          <w:numId w:val="1"/>
        </w:numPr>
      </w:pPr>
      <w:r>
        <w:rPr>
          <w:rFonts w:hint="eastAsia"/>
        </w:rPr>
        <w:lastRenderedPageBreak/>
        <w:t>本类指标旨在量化事件驱动机制在降低通信负载与执行器磨损方面的效果。</w:t>
      </w:r>
    </w:p>
    <w:p w14:paraId="33F36E6B" w14:textId="77777777" w:rsidR="001921D2" w:rsidRDefault="00000000">
      <w:pPr>
        <w:numPr>
          <w:ilvl w:val="1"/>
          <w:numId w:val="7"/>
        </w:numPr>
      </w:pPr>
      <w:r>
        <w:rPr>
          <w:rFonts w:hint="eastAsia"/>
        </w:rPr>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1CDFD09F"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51531DC1" w14:textId="77777777" w:rsidR="001921D2"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7CA96594" w14:textId="77777777" w:rsidR="001921D2" w:rsidRDefault="00000000">
      <w:pPr>
        <w:numPr>
          <w:ilvl w:val="1"/>
          <w:numId w:val="7"/>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09AAD142"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792A996E" w14:textId="77777777" w:rsidR="001921D2" w:rsidRDefault="00000000">
      <w:pPr>
        <w:numPr>
          <w:ilvl w:val="1"/>
          <w:numId w:val="1"/>
        </w:numPr>
      </w:pPr>
      <w:r>
        <w:rPr>
          <w:rFonts w:hint="eastAsia"/>
        </w:rPr>
        <w:t>该指标以有量纲的实物频次直接体现执行器的机械磨损风险。</w:t>
      </w:r>
    </w:p>
    <w:p w14:paraId="724D0399" w14:textId="77777777" w:rsidR="001921D2" w:rsidRDefault="00000000">
      <w:pPr>
        <w:numPr>
          <w:ilvl w:val="1"/>
          <w:numId w:val="7"/>
        </w:numPr>
      </w:pPr>
      <w:r>
        <w:rPr>
          <w:rFonts w:hint="eastAsia"/>
        </w:rPr>
        <w:t>动作压缩比</w:t>
      </w:r>
      <w:r>
        <w:t xml:space="preserve"> (Actuation Compression Ratio, </w:t>
      </w:r>
      <w:r>
        <w:rPr>
          <w:rFonts w:hint="eastAsia"/>
        </w:rPr>
        <w:t>ACR)</w:t>
      </w:r>
      <w:r>
        <w:rPr>
          <w:rFonts w:hint="eastAsia"/>
        </w:rPr>
        <w:t>：</w:t>
      </w:r>
    </w:p>
    <w:p w14:paraId="0F90017E" w14:textId="77777777" w:rsidR="001921D2"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2295EA75" w14:textId="77777777" w:rsidR="001921D2"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6C50605F" w14:textId="77777777" w:rsidR="001921D2" w:rsidRDefault="00000000">
      <w:pPr>
        <w:numPr>
          <w:ilvl w:val="1"/>
          <w:numId w:val="7"/>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628DFC7E" w14:textId="77777777" w:rsidR="001921D2"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C1C61D6" w14:textId="77777777" w:rsidR="001921D2" w:rsidRDefault="00000000">
      <w:pPr>
        <w:numPr>
          <w:ilvl w:val="1"/>
          <w:numId w:val="1"/>
        </w:numPr>
      </w:pPr>
      <w:r>
        <w:t xml:space="preserve">ARR </w:t>
      </w:r>
      <w:r>
        <w:rPr>
          <w:rFonts w:hint="eastAsia"/>
        </w:rPr>
        <w:t>值越大，表示动作更新压缩越充分，工程可解释性更直观。</w:t>
      </w:r>
    </w:p>
    <w:p w14:paraId="67E23671" w14:textId="77777777" w:rsidR="001921D2" w:rsidRDefault="00000000">
      <w:pPr>
        <w:numPr>
          <w:ilvl w:val="0"/>
          <w:numId w:val="1"/>
        </w:numPr>
      </w:pPr>
      <w:r>
        <w:rPr>
          <w:rFonts w:hint="eastAsia"/>
        </w:rPr>
        <w:t>为综合刻画门控机制的运行行为与策略执行开销，本研究进一步报告以下执行层统计指标。</w:t>
      </w:r>
    </w:p>
    <w:p w14:paraId="6C4F75E0" w14:textId="77777777" w:rsidR="001921D2" w:rsidRDefault="00000000">
      <w:pPr>
        <w:numPr>
          <w:ilvl w:val="1"/>
          <w:numId w:val="8"/>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3F69F0A3" w14:textId="77777777" w:rsidR="001921D2"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5E41642C" w14:textId="77777777" w:rsidR="001921D2" w:rsidRDefault="00000000">
      <w:pPr>
        <w:numPr>
          <w:ilvl w:val="1"/>
          <w:numId w:val="1"/>
        </w:numPr>
      </w:pPr>
      <w:r>
        <w:rPr>
          <w:rFonts w:hint="eastAsia"/>
        </w:rPr>
        <w:t>该指标用于衡量测试周期内策略的总体控制收益。</w:t>
      </w:r>
    </w:p>
    <w:p w14:paraId="0DACC65A" w14:textId="77777777" w:rsidR="001921D2" w:rsidRDefault="00000000">
      <w:pPr>
        <w:numPr>
          <w:ilvl w:val="1"/>
          <w:numId w:val="8"/>
        </w:numPr>
      </w:pPr>
      <w:r>
        <w:rPr>
          <w:rFonts w:hint="eastAsia"/>
        </w:rPr>
        <w:lastRenderedPageBreak/>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3842206B" w14:textId="77777777" w:rsidR="001921D2"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5BE28BC6" w14:textId="77777777" w:rsidR="001921D2"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1D192225" w14:textId="77777777" w:rsidR="001921D2" w:rsidRDefault="00000000">
      <w:pPr>
        <w:pStyle w:val="FirstParagraph"/>
      </w:pPr>
      <w:r>
        <w:rPr>
          <w:rFonts w:hint="eastAsia"/>
        </w:rPr>
        <w:t>评价指标体系与优化方向见附录表</w:t>
      </w:r>
      <w:r>
        <w:t xml:space="preserve"> A</w:t>
      </w:r>
      <w:r>
        <w:t>。</w:t>
      </w:r>
    </w:p>
    <w:p w14:paraId="683F988A" w14:textId="77777777" w:rsidR="001921D2" w:rsidRDefault="00000000">
      <w:pPr>
        <w:pStyle w:val="a0"/>
      </w:pPr>
      <w:r>
        <w:rPr>
          <w:rFonts w:hint="eastAsia"/>
        </w:rPr>
        <w:t>（</w:t>
      </w:r>
      <w:r>
        <w:rPr>
          <w:rFonts w:hint="eastAsia"/>
        </w:rPr>
        <w:t>3</w:t>
      </w:r>
      <w:r>
        <w:rPr>
          <w:rFonts w:hint="eastAsia"/>
        </w:rPr>
        <w:t>）基线策略训练稳定性与模型选择</w:t>
      </w:r>
    </w:p>
    <w:p w14:paraId="6ACBE1B0" w14:textId="77777777" w:rsidR="001921D2" w:rsidRDefault="00000000">
      <w:pPr>
        <w:pStyle w:val="a0"/>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RBC</w:t>
      </w:r>
      <w:r>
        <w:t>、</w:t>
      </w:r>
      <w:r>
        <w:t xml:space="preserve">PID </w:t>
      </w:r>
      <w:r>
        <w:rPr>
          <w:rFonts w:hint="eastAsia"/>
        </w:rPr>
        <w:t>外，其余方法均基于该</w:t>
      </w:r>
      <w:r>
        <w:t xml:space="preserve"> TTC-RL </w:t>
      </w:r>
      <w:r>
        <w:rPr>
          <w:rFonts w:hint="eastAsia"/>
        </w:rPr>
        <w:t>训练模型，仅在动作更新时间调度与触发机制上存在差异。</w:t>
      </w:r>
    </w:p>
    <w:p w14:paraId="2A9E0AEF" w14:textId="77777777" w:rsidR="001921D2" w:rsidRDefault="00000000">
      <w:pPr>
        <w:pStyle w:val="CaptionedFigure"/>
      </w:pPr>
      <w:r>
        <w:rPr>
          <w:noProof/>
        </w:rPr>
        <w:drawing>
          <wp:inline distT="0" distB="0" distL="0" distR="0" wp14:anchorId="6A027819" wp14:editId="7BC64EAA">
            <wp:extent cx="2695575" cy="1971675"/>
            <wp:effectExtent l="0" t="0" r="0" b="0"/>
            <wp:docPr id="29" name="Picture" descr="图5 TTC-RL 基线训练奖励曲线"/>
            <wp:cNvGraphicFramePr/>
            <a:graphic xmlns:a="http://schemas.openxmlformats.org/drawingml/2006/main">
              <a:graphicData uri="http://schemas.openxmlformats.org/drawingml/2006/picture">
                <pic:pic xmlns:pic="http://schemas.openxmlformats.org/drawingml/2006/picture">
                  <pic:nvPicPr>
                    <pic:cNvPr id="30" name="Picture" descr="../pics/fig6_ttc_rl_training_curves.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2695575" cy="1971675"/>
                    </a:xfrm>
                    <a:prstGeom prst="rect">
                      <a:avLst/>
                    </a:prstGeom>
                    <a:noFill/>
                    <a:ln w="9525">
                      <a:noFill/>
                      <a:headEnd/>
                      <a:tailEnd/>
                    </a:ln>
                  </pic:spPr>
                </pic:pic>
              </a:graphicData>
            </a:graphic>
          </wp:inline>
        </w:drawing>
      </w:r>
    </w:p>
    <w:p w14:paraId="0C163F2E" w14:textId="77777777" w:rsidR="001921D2" w:rsidRDefault="00000000">
      <w:pPr>
        <w:pStyle w:val="ImageCaption"/>
      </w:pPr>
      <w:r>
        <w:rPr>
          <w:rFonts w:hint="eastAsia"/>
        </w:rPr>
        <w:t>图</w:t>
      </w:r>
      <w:r>
        <w:rPr>
          <w:rFonts w:hint="eastAsia"/>
        </w:rPr>
        <w:t>5</w:t>
      </w:r>
      <w:r>
        <w:t xml:space="preserve"> TTC-RL </w:t>
      </w:r>
      <w:r>
        <w:rPr>
          <w:rFonts w:hint="eastAsia"/>
        </w:rPr>
        <w:t>基线训练奖励曲线</w:t>
      </w:r>
    </w:p>
    <w:p w14:paraId="4C827EB5" w14:textId="77777777" w:rsidR="001921D2" w:rsidRDefault="00000000">
      <w:pPr>
        <w:pStyle w:val="a0"/>
      </w:pPr>
      <w:r>
        <w:rPr>
          <w:rFonts w:hint="eastAsia"/>
        </w:rPr>
        <w:t>图</w:t>
      </w:r>
      <w:r>
        <w:rPr>
          <w:rFonts w:hint="eastAsia"/>
        </w:rPr>
        <w:t>5</w:t>
      </w:r>
      <w:r>
        <w:t xml:space="preserve"> TTC-RL </w:t>
      </w:r>
      <w:r>
        <w:rPr>
          <w:rFonts w:hint="eastAsia"/>
        </w:rPr>
        <w:t>基线训练奖励曲线</w:t>
      </w:r>
    </w:p>
    <w:p w14:paraId="4543CC08" w14:textId="77777777" w:rsidR="001921D2" w:rsidRDefault="00000000">
      <w:pPr>
        <w:pStyle w:val="2"/>
      </w:pPr>
      <w:bookmarkStart w:id="14" w:name="实验结果分析"/>
      <w:bookmarkEnd w:id="13"/>
      <w:r>
        <w:t xml:space="preserve">5.2 </w:t>
      </w:r>
      <w:r>
        <w:rPr>
          <w:rFonts w:hint="eastAsia"/>
        </w:rPr>
        <w:t>实验结果分析</w:t>
      </w:r>
    </w:p>
    <w:p w14:paraId="54F7266C" w14:textId="77777777" w:rsidR="001921D2" w:rsidRDefault="00000000">
      <w:pPr>
        <w:pStyle w:val="FirstParagraph"/>
      </w:pPr>
      <w:r>
        <w:rPr>
          <w:rFonts w:hint="eastAsia"/>
        </w:rPr>
        <w:t>（</w:t>
      </w:r>
      <w:r>
        <w:rPr>
          <w:rFonts w:hint="eastAsia"/>
        </w:rPr>
        <w:t>1</w:t>
      </w:r>
      <w:r>
        <w:rPr>
          <w:rFonts w:hint="eastAsia"/>
        </w:rPr>
        <w:t>）整体性能分析</w:t>
      </w:r>
    </w:p>
    <w:p w14:paraId="2889DD12" w14:textId="77777777" w:rsidR="001921D2" w:rsidRDefault="00000000">
      <w:pPr>
        <w:pStyle w:val="a0"/>
      </w:pPr>
      <w:r>
        <w:rPr>
          <w:rFonts w:hint="eastAsia"/>
        </w:rPr>
        <w:t>本文在统一测试集与评估协议下比较六类策略，以分析控制稀疏性与能效之间的关系。各策略设置如下：</w:t>
      </w:r>
      <w:r>
        <w:rPr>
          <w:rFonts w:hint="eastAsia"/>
        </w:rPr>
        <w:t>PID</w:t>
      </w:r>
      <w:r>
        <w:t xml:space="preserve"> </w:t>
      </w:r>
      <w:r>
        <w:rPr>
          <w:rFonts w:hint="eastAsia"/>
        </w:rPr>
        <w:t>为基于供水温度误差闭环的离散控制，</w:t>
      </w:r>
      <w:r>
        <w:rPr>
          <w:rFonts w:hint="eastAsia"/>
        </w:rPr>
        <w:t>RBC</w:t>
      </w:r>
      <w:r>
        <w:t xml:space="preserve"> </w:t>
      </w:r>
      <w:r>
        <w:rPr>
          <w:rFonts w:hint="eastAsia"/>
        </w:rPr>
        <w:t>为固定供水</w:t>
      </w:r>
      <w:r>
        <w:rPr>
          <w:rFonts w:hint="eastAsia"/>
        </w:rPr>
        <w:lastRenderedPageBreak/>
        <w:t>设定值规则控制，</w:t>
      </w:r>
      <w:r>
        <w:rPr>
          <w:rFonts w:hint="eastAsia"/>
        </w:rPr>
        <w:t>TTC-RL-1</w:t>
      </w:r>
      <w:r>
        <w:t xml:space="preserve"> </w:t>
      </w:r>
      <w:r>
        <w:rPr>
          <w:rFonts w:hint="eastAsia"/>
        </w:rPr>
        <w:t>为每步更新，</w:t>
      </w:r>
      <w:r>
        <w:rPr>
          <w:rFonts w:hint="eastAsia"/>
        </w:rPr>
        <w:t>TTC-RL-2</w:t>
      </w:r>
      <w:r>
        <w:t xml:space="preserve"> </w:t>
      </w:r>
      <w:r>
        <w:rPr>
          <w:rFonts w:hint="eastAsia"/>
        </w:rPr>
        <w:t>为隔步更新，</w:t>
      </w:r>
      <w:r>
        <w:rPr>
          <w:rFonts w:hint="eastAsia"/>
        </w:rPr>
        <w:t>ST-ETC</w:t>
      </w:r>
      <w:r>
        <w:t xml:space="preserve"> </w:t>
      </w:r>
      <w:r>
        <w:rPr>
          <w:rFonts w:hint="eastAsia"/>
        </w:rPr>
        <w:t>为静态阈值事件触发更新，</w:t>
      </w:r>
      <w:r>
        <w:rPr>
          <w:rFonts w:hint="eastAsia"/>
        </w:rPr>
        <w:t>ET-PRL</w:t>
      </w:r>
      <w:r>
        <w:t xml:space="preserve"> </w:t>
      </w:r>
      <w:r>
        <w:rPr>
          <w:rFonts w:hint="eastAsia"/>
        </w:rPr>
        <w:t>为动态事件触发更新。综合对比结果见表</w:t>
      </w:r>
      <w:r>
        <w:t xml:space="preserve"> 5-3</w:t>
      </w:r>
      <w:r>
        <w:t>。</w:t>
      </w:r>
    </w:p>
    <w:p w14:paraId="4BF2BB3A" w14:textId="77777777" w:rsidR="001921D2" w:rsidRDefault="00000000">
      <w:pPr>
        <w:pStyle w:val="a0"/>
      </w:pPr>
      <w:r>
        <w:rPr>
          <w:rFonts w:hint="eastAsia"/>
        </w:rPr>
        <w:t>为保证跨方法比较的一致性，本文以</w:t>
      </w:r>
      <w:r>
        <w:t xml:space="preserve"> TTC-RL-1 </w:t>
      </w:r>
      <w:r>
        <w:rPr>
          <w:rFonts w:hint="eastAsia"/>
        </w:rPr>
        <w:t>作为统一比较基线，计算相对节能率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w:t>
      </w:r>
      <w:r>
        <w:rPr>
          <w:rFonts w:hint="eastAsia"/>
        </w:rPr>
        <w:t>ARR</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在正文中补充说明。由于</w:t>
      </w:r>
      <w:r>
        <w:t xml:space="preserve"> PID </w:t>
      </w:r>
      <w:r>
        <w:rPr>
          <w:rFonts w:hint="eastAsia"/>
        </w:rPr>
        <w:t>的优化目标为设定值跟踪而非最大化强化学习复合奖励，且其奖励定义与强化学习策略不一致，因此仅报告能耗、功率、动作频次与平滑度等可比指标。</w:t>
      </w:r>
    </w:p>
    <w:p w14:paraId="3A05890C" w14:textId="77777777" w:rsidR="001921D2" w:rsidRDefault="00000000">
      <w:pPr>
        <w:pStyle w:val="a0"/>
      </w:pPr>
      <w:r>
        <w:rPr>
          <w:rFonts w:hint="eastAsia"/>
        </w:rPr>
        <w:t>表</w:t>
      </w:r>
      <w:r>
        <w:t xml:space="preserve"> 5-3 </w:t>
      </w:r>
      <w:r>
        <w:rPr>
          <w:rFonts w:hint="eastAsia"/>
        </w:rPr>
        <w:t>多控制策略综合对比结果</w:t>
      </w:r>
    </w:p>
    <w:tbl>
      <w:tblPr>
        <w:tblStyle w:val="Table"/>
        <w:tblW w:w="5000" w:type="pct"/>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1921D2" w14:paraId="0BC46317" w14:textId="77777777" w:rsidTr="001921D2">
        <w:trPr>
          <w:cnfStyle w:val="100000000000" w:firstRow="1" w:lastRow="0" w:firstColumn="0" w:lastColumn="0" w:oddVBand="0" w:evenVBand="0" w:oddHBand="0" w:evenHBand="0" w:firstRowFirstColumn="0" w:firstRowLastColumn="0" w:lastRowFirstColumn="0" w:lastRowLastColumn="0"/>
          <w:tblHeader/>
        </w:trPr>
        <w:tc>
          <w:tcPr>
            <w:tcW w:w="792" w:type="dxa"/>
          </w:tcPr>
          <w:p w14:paraId="01675732" w14:textId="77777777" w:rsidR="001921D2" w:rsidRDefault="00000000">
            <w:pPr>
              <w:pStyle w:val="Compact"/>
            </w:pPr>
            <w:r>
              <w:rPr>
                <w:rFonts w:hint="eastAsia"/>
                <w:b/>
                <w:bCs/>
              </w:rPr>
              <w:t>策略</w:t>
            </w:r>
          </w:p>
        </w:tc>
        <w:tc>
          <w:tcPr>
            <w:tcW w:w="792" w:type="dxa"/>
          </w:tcPr>
          <w:p w14:paraId="7488D7BA" w14:textId="77777777" w:rsidR="001921D2"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792" w:type="dxa"/>
          </w:tcPr>
          <w:p w14:paraId="40C8EE1C" w14:textId="77777777" w:rsidR="001921D2"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792" w:type="dxa"/>
          </w:tcPr>
          <w:p w14:paraId="776390FE" w14:textId="77777777" w:rsidR="001921D2"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792" w:type="dxa"/>
          </w:tcPr>
          <w:p w14:paraId="41BE64E6" w14:textId="77777777" w:rsidR="001921D2"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792" w:type="dxa"/>
          </w:tcPr>
          <w:p w14:paraId="40319283" w14:textId="77777777" w:rsidR="001921D2" w:rsidRDefault="00000000">
            <w:pPr>
              <w:pStyle w:val="Compact"/>
            </w:pPr>
            <w:r>
              <w:rPr>
                <w:rFonts w:hint="eastAsia"/>
                <w:b/>
                <w:bCs/>
              </w:rPr>
              <w:t>动作减少率</w:t>
            </w:r>
            <w:r>
              <w:rPr>
                <w:b/>
                <w:bCs/>
              </w:rPr>
              <w:t xml:space="preserve"> ARR (%)</w:t>
            </w:r>
          </w:p>
        </w:tc>
        <w:tc>
          <w:tcPr>
            <w:tcW w:w="792" w:type="dxa"/>
          </w:tcPr>
          <w:p w14:paraId="48CE85F4" w14:textId="77777777" w:rsidR="001921D2"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792" w:type="dxa"/>
          </w:tcPr>
          <w:p w14:paraId="35F5BDBA" w14:textId="77777777" w:rsidR="001921D2"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792" w:type="dxa"/>
          </w:tcPr>
          <w:p w14:paraId="2F7C6B7A" w14:textId="77777777" w:rsidR="001921D2"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792" w:type="dxa"/>
          </w:tcPr>
          <w:p w14:paraId="5333F82B" w14:textId="77777777" w:rsidR="001921D2" w:rsidRDefault="00000000">
            <w:pPr>
              <w:pStyle w:val="Compact"/>
            </w:pPr>
            <w:r>
              <w:rPr>
                <w:b/>
                <w:bCs/>
              </w:rPr>
              <w:t>PPR (%)</w:t>
            </w:r>
          </w:p>
        </w:tc>
      </w:tr>
      <w:tr w:rsidR="001921D2" w14:paraId="21E70BC5" w14:textId="77777777">
        <w:tc>
          <w:tcPr>
            <w:tcW w:w="792" w:type="dxa"/>
          </w:tcPr>
          <w:p w14:paraId="081A1830" w14:textId="77777777" w:rsidR="001921D2" w:rsidRDefault="00000000">
            <w:pPr>
              <w:pStyle w:val="Compact"/>
            </w:pPr>
            <w:r>
              <w:t>PID</w:t>
            </w:r>
          </w:p>
        </w:tc>
        <w:tc>
          <w:tcPr>
            <w:tcW w:w="792" w:type="dxa"/>
          </w:tcPr>
          <w:p w14:paraId="6C1EB111" w14:textId="77777777" w:rsidR="001921D2" w:rsidRDefault="00000000">
            <w:pPr>
              <w:pStyle w:val="Compact"/>
            </w:pPr>
            <w:r>
              <w:t>8486.90</w:t>
            </w:r>
          </w:p>
        </w:tc>
        <w:tc>
          <w:tcPr>
            <w:tcW w:w="792" w:type="dxa"/>
          </w:tcPr>
          <w:p w14:paraId="707BCBE3" w14:textId="77777777" w:rsidR="001921D2" w:rsidRDefault="00000000">
            <w:pPr>
              <w:pStyle w:val="Compact"/>
            </w:pPr>
            <w:r>
              <w:t>-13.29</w:t>
            </w:r>
          </w:p>
        </w:tc>
        <w:tc>
          <w:tcPr>
            <w:tcW w:w="792" w:type="dxa"/>
          </w:tcPr>
          <w:p w14:paraId="5849C743" w14:textId="77777777" w:rsidR="001921D2" w:rsidRDefault="00000000">
            <w:pPr>
              <w:pStyle w:val="Compact"/>
            </w:pPr>
            <w:r>
              <w:t>353.62</w:t>
            </w:r>
          </w:p>
        </w:tc>
        <w:tc>
          <w:tcPr>
            <w:tcW w:w="792" w:type="dxa"/>
          </w:tcPr>
          <w:p w14:paraId="216E42AA" w14:textId="77777777" w:rsidR="001921D2" w:rsidRDefault="00000000">
            <w:pPr>
              <w:pStyle w:val="Compact"/>
            </w:pPr>
            <w:r>
              <w:t>-</w:t>
            </w:r>
          </w:p>
        </w:tc>
        <w:tc>
          <w:tcPr>
            <w:tcW w:w="792" w:type="dxa"/>
          </w:tcPr>
          <w:p w14:paraId="1E0027C3" w14:textId="77777777" w:rsidR="001921D2" w:rsidRDefault="00000000">
            <w:pPr>
              <w:pStyle w:val="Compact"/>
            </w:pPr>
            <w:r>
              <w:t>-</w:t>
            </w:r>
          </w:p>
        </w:tc>
        <w:tc>
          <w:tcPr>
            <w:tcW w:w="792" w:type="dxa"/>
          </w:tcPr>
          <w:p w14:paraId="07021991" w14:textId="77777777" w:rsidR="001921D2" w:rsidRDefault="00000000">
            <w:pPr>
              <w:pStyle w:val="Compact"/>
            </w:pPr>
            <w:r>
              <w:t>0.1669</w:t>
            </w:r>
          </w:p>
        </w:tc>
        <w:tc>
          <w:tcPr>
            <w:tcW w:w="792" w:type="dxa"/>
          </w:tcPr>
          <w:p w14:paraId="769B8C37" w14:textId="77777777" w:rsidR="001921D2" w:rsidRDefault="00000000">
            <w:pPr>
              <w:pStyle w:val="Compact"/>
            </w:pPr>
            <w:r>
              <w:t>-</w:t>
            </w:r>
          </w:p>
        </w:tc>
        <w:tc>
          <w:tcPr>
            <w:tcW w:w="792" w:type="dxa"/>
          </w:tcPr>
          <w:p w14:paraId="485F1131" w14:textId="77777777" w:rsidR="001921D2" w:rsidRDefault="00000000">
            <w:pPr>
              <w:pStyle w:val="Compact"/>
            </w:pPr>
            <w:r>
              <w:t>-</w:t>
            </w:r>
          </w:p>
        </w:tc>
        <w:tc>
          <w:tcPr>
            <w:tcW w:w="792" w:type="dxa"/>
          </w:tcPr>
          <w:p w14:paraId="02235E58" w14:textId="77777777" w:rsidR="001921D2" w:rsidRDefault="00000000">
            <w:pPr>
              <w:pStyle w:val="Compact"/>
            </w:pPr>
            <w:r>
              <w:t>-</w:t>
            </w:r>
          </w:p>
        </w:tc>
      </w:tr>
      <w:tr w:rsidR="001921D2" w14:paraId="504644A3" w14:textId="77777777">
        <w:tc>
          <w:tcPr>
            <w:tcW w:w="792" w:type="dxa"/>
          </w:tcPr>
          <w:p w14:paraId="37BB4814" w14:textId="77777777" w:rsidR="001921D2" w:rsidRDefault="00000000">
            <w:pPr>
              <w:pStyle w:val="Compact"/>
            </w:pPr>
            <w:r>
              <w:t>RBC</w:t>
            </w:r>
          </w:p>
        </w:tc>
        <w:tc>
          <w:tcPr>
            <w:tcW w:w="792" w:type="dxa"/>
          </w:tcPr>
          <w:p w14:paraId="26C90AFF" w14:textId="77777777" w:rsidR="001921D2" w:rsidRDefault="00000000">
            <w:pPr>
              <w:pStyle w:val="Compact"/>
            </w:pPr>
            <w:r>
              <w:t>8548.72</w:t>
            </w:r>
          </w:p>
        </w:tc>
        <w:tc>
          <w:tcPr>
            <w:tcW w:w="792" w:type="dxa"/>
          </w:tcPr>
          <w:p w14:paraId="09B7A96A" w14:textId="77777777" w:rsidR="001921D2" w:rsidRDefault="00000000">
            <w:pPr>
              <w:pStyle w:val="Compact"/>
            </w:pPr>
            <w:r>
              <w:t>-14.12</w:t>
            </w:r>
          </w:p>
        </w:tc>
        <w:tc>
          <w:tcPr>
            <w:tcW w:w="792" w:type="dxa"/>
          </w:tcPr>
          <w:p w14:paraId="65EAF3A3" w14:textId="77777777" w:rsidR="001921D2" w:rsidRDefault="00000000">
            <w:pPr>
              <w:pStyle w:val="Compact"/>
            </w:pPr>
            <w:r>
              <w:t>356.20</w:t>
            </w:r>
          </w:p>
        </w:tc>
        <w:tc>
          <w:tcPr>
            <w:tcW w:w="792" w:type="dxa"/>
          </w:tcPr>
          <w:p w14:paraId="0191B3E6" w14:textId="77777777" w:rsidR="001921D2" w:rsidRDefault="00000000">
            <w:pPr>
              <w:pStyle w:val="Compact"/>
            </w:pPr>
            <w:r>
              <w:t>-</w:t>
            </w:r>
          </w:p>
        </w:tc>
        <w:tc>
          <w:tcPr>
            <w:tcW w:w="792" w:type="dxa"/>
          </w:tcPr>
          <w:p w14:paraId="4DAF1F73" w14:textId="77777777" w:rsidR="001921D2" w:rsidRDefault="00000000">
            <w:pPr>
              <w:pStyle w:val="Compact"/>
            </w:pPr>
            <w:r>
              <w:t>-</w:t>
            </w:r>
          </w:p>
        </w:tc>
        <w:tc>
          <w:tcPr>
            <w:tcW w:w="792" w:type="dxa"/>
          </w:tcPr>
          <w:p w14:paraId="52564EA7" w14:textId="77777777" w:rsidR="001921D2" w:rsidRDefault="00000000">
            <w:pPr>
              <w:pStyle w:val="Compact"/>
            </w:pPr>
            <w:r>
              <w:t>-</w:t>
            </w:r>
          </w:p>
        </w:tc>
        <w:tc>
          <w:tcPr>
            <w:tcW w:w="792" w:type="dxa"/>
          </w:tcPr>
          <w:p w14:paraId="541433BC" w14:textId="77777777" w:rsidR="001921D2" w:rsidRDefault="00000000">
            <w:pPr>
              <w:pStyle w:val="Compact"/>
            </w:pPr>
            <w:r>
              <w:t>-</w:t>
            </w:r>
          </w:p>
        </w:tc>
        <w:tc>
          <w:tcPr>
            <w:tcW w:w="792" w:type="dxa"/>
          </w:tcPr>
          <w:p w14:paraId="26118FAF" w14:textId="77777777" w:rsidR="001921D2" w:rsidRDefault="00000000">
            <w:pPr>
              <w:pStyle w:val="Compact"/>
            </w:pPr>
            <w:r>
              <w:t>-</w:t>
            </w:r>
          </w:p>
        </w:tc>
        <w:tc>
          <w:tcPr>
            <w:tcW w:w="792" w:type="dxa"/>
          </w:tcPr>
          <w:p w14:paraId="0AC204FE" w14:textId="77777777" w:rsidR="001921D2" w:rsidRDefault="00000000">
            <w:pPr>
              <w:pStyle w:val="Compact"/>
            </w:pPr>
            <w:r>
              <w:t>-</w:t>
            </w:r>
          </w:p>
        </w:tc>
      </w:tr>
      <w:tr w:rsidR="001921D2" w14:paraId="0FBA84D4" w14:textId="77777777">
        <w:tc>
          <w:tcPr>
            <w:tcW w:w="792" w:type="dxa"/>
          </w:tcPr>
          <w:p w14:paraId="32C3FC2E" w14:textId="77777777" w:rsidR="001921D2" w:rsidRDefault="00000000">
            <w:pPr>
              <w:pStyle w:val="Compact"/>
            </w:pPr>
            <w:r>
              <w:t>TTC-RL-1</w:t>
            </w:r>
          </w:p>
        </w:tc>
        <w:tc>
          <w:tcPr>
            <w:tcW w:w="792" w:type="dxa"/>
          </w:tcPr>
          <w:p w14:paraId="23AE37D2" w14:textId="77777777" w:rsidR="001921D2" w:rsidRDefault="00000000">
            <w:pPr>
              <w:pStyle w:val="Compact"/>
            </w:pPr>
            <w:r>
              <w:t>7491.14</w:t>
            </w:r>
          </w:p>
        </w:tc>
        <w:tc>
          <w:tcPr>
            <w:tcW w:w="792" w:type="dxa"/>
          </w:tcPr>
          <w:p w14:paraId="6DA03539" w14:textId="77777777" w:rsidR="001921D2" w:rsidRDefault="00000000">
            <w:pPr>
              <w:pStyle w:val="Compact"/>
            </w:pPr>
            <w:r>
              <w:t>-</w:t>
            </w:r>
          </w:p>
        </w:tc>
        <w:tc>
          <w:tcPr>
            <w:tcW w:w="792" w:type="dxa"/>
          </w:tcPr>
          <w:p w14:paraId="3626C5EA" w14:textId="77777777" w:rsidR="001921D2" w:rsidRDefault="00000000">
            <w:pPr>
              <w:pStyle w:val="Compact"/>
            </w:pPr>
            <w:r>
              <w:t>312.13</w:t>
            </w:r>
          </w:p>
        </w:tc>
        <w:tc>
          <w:tcPr>
            <w:tcW w:w="792" w:type="dxa"/>
          </w:tcPr>
          <w:p w14:paraId="088385BE" w14:textId="77777777" w:rsidR="001921D2" w:rsidRDefault="00000000">
            <w:pPr>
              <w:pStyle w:val="Compact"/>
            </w:pPr>
            <w:r>
              <w:t>4404</w:t>
            </w:r>
          </w:p>
        </w:tc>
        <w:tc>
          <w:tcPr>
            <w:tcW w:w="792" w:type="dxa"/>
          </w:tcPr>
          <w:p w14:paraId="38AE746F" w14:textId="77777777" w:rsidR="001921D2" w:rsidRDefault="00000000">
            <w:pPr>
              <w:pStyle w:val="Compact"/>
            </w:pPr>
            <w:r>
              <w:t>-</w:t>
            </w:r>
          </w:p>
        </w:tc>
        <w:tc>
          <w:tcPr>
            <w:tcW w:w="792" w:type="dxa"/>
          </w:tcPr>
          <w:p w14:paraId="17B598D3" w14:textId="77777777" w:rsidR="001921D2" w:rsidRDefault="00000000">
            <w:pPr>
              <w:pStyle w:val="Compact"/>
            </w:pPr>
            <w:r>
              <w:t>0.8101</w:t>
            </w:r>
          </w:p>
        </w:tc>
        <w:tc>
          <w:tcPr>
            <w:tcW w:w="792" w:type="dxa"/>
          </w:tcPr>
          <w:p w14:paraId="2CB4899B" w14:textId="77777777" w:rsidR="001921D2" w:rsidRDefault="00000000">
            <w:pPr>
              <w:pStyle w:val="Compact"/>
            </w:pPr>
            <w:r>
              <w:t>2054.63</w:t>
            </w:r>
          </w:p>
        </w:tc>
        <w:tc>
          <w:tcPr>
            <w:tcW w:w="792" w:type="dxa"/>
          </w:tcPr>
          <w:p w14:paraId="250FC691" w14:textId="77777777" w:rsidR="001921D2" w:rsidRDefault="00000000">
            <w:pPr>
              <w:pStyle w:val="Compact"/>
            </w:pPr>
            <w:r>
              <w:t>0.4665</w:t>
            </w:r>
          </w:p>
        </w:tc>
        <w:tc>
          <w:tcPr>
            <w:tcW w:w="792" w:type="dxa"/>
          </w:tcPr>
          <w:p w14:paraId="6941788C" w14:textId="77777777" w:rsidR="001921D2" w:rsidRDefault="00000000">
            <w:pPr>
              <w:pStyle w:val="Compact"/>
            </w:pPr>
            <w:r>
              <w:t>-</w:t>
            </w:r>
          </w:p>
        </w:tc>
      </w:tr>
      <w:tr w:rsidR="001921D2" w14:paraId="00EE6DF7" w14:textId="77777777">
        <w:tc>
          <w:tcPr>
            <w:tcW w:w="792" w:type="dxa"/>
          </w:tcPr>
          <w:p w14:paraId="0186770F" w14:textId="77777777" w:rsidR="001921D2" w:rsidRDefault="00000000">
            <w:pPr>
              <w:pStyle w:val="Compact"/>
            </w:pPr>
            <w:r>
              <w:t>TTC-RL-2</w:t>
            </w:r>
          </w:p>
        </w:tc>
        <w:tc>
          <w:tcPr>
            <w:tcW w:w="792" w:type="dxa"/>
          </w:tcPr>
          <w:p w14:paraId="1E923D36" w14:textId="77777777" w:rsidR="001921D2" w:rsidRDefault="00000000">
            <w:pPr>
              <w:pStyle w:val="Compact"/>
            </w:pPr>
            <w:r>
              <w:t>7489.98</w:t>
            </w:r>
          </w:p>
        </w:tc>
        <w:tc>
          <w:tcPr>
            <w:tcW w:w="792" w:type="dxa"/>
          </w:tcPr>
          <w:p w14:paraId="6B431463" w14:textId="77777777" w:rsidR="001921D2" w:rsidRDefault="00000000">
            <w:pPr>
              <w:pStyle w:val="Compact"/>
            </w:pPr>
            <w:r>
              <w:t>0.02</w:t>
            </w:r>
          </w:p>
        </w:tc>
        <w:tc>
          <w:tcPr>
            <w:tcW w:w="792" w:type="dxa"/>
          </w:tcPr>
          <w:p w14:paraId="07720228" w14:textId="77777777" w:rsidR="001921D2" w:rsidRDefault="00000000">
            <w:pPr>
              <w:pStyle w:val="Compact"/>
            </w:pPr>
            <w:r>
              <w:t>312.08</w:t>
            </w:r>
          </w:p>
        </w:tc>
        <w:tc>
          <w:tcPr>
            <w:tcW w:w="792" w:type="dxa"/>
          </w:tcPr>
          <w:p w14:paraId="3BC96EDB" w14:textId="77777777" w:rsidR="001921D2" w:rsidRDefault="00000000">
            <w:pPr>
              <w:pStyle w:val="Compact"/>
            </w:pPr>
            <w:r>
              <w:t>2202</w:t>
            </w:r>
          </w:p>
        </w:tc>
        <w:tc>
          <w:tcPr>
            <w:tcW w:w="792" w:type="dxa"/>
          </w:tcPr>
          <w:p w14:paraId="39AE957C" w14:textId="77777777" w:rsidR="001921D2" w:rsidRDefault="00000000">
            <w:pPr>
              <w:pStyle w:val="Compact"/>
            </w:pPr>
            <w:r>
              <w:t>50.00</w:t>
            </w:r>
          </w:p>
        </w:tc>
        <w:tc>
          <w:tcPr>
            <w:tcW w:w="792" w:type="dxa"/>
          </w:tcPr>
          <w:p w14:paraId="79A98C49" w14:textId="77777777" w:rsidR="001921D2" w:rsidRDefault="00000000">
            <w:pPr>
              <w:pStyle w:val="Compact"/>
            </w:pPr>
            <w:r>
              <w:t>0.5617</w:t>
            </w:r>
          </w:p>
        </w:tc>
        <w:tc>
          <w:tcPr>
            <w:tcW w:w="792" w:type="dxa"/>
          </w:tcPr>
          <w:p w14:paraId="7877CF57" w14:textId="77777777" w:rsidR="001921D2" w:rsidRDefault="00000000">
            <w:pPr>
              <w:pStyle w:val="Compact"/>
            </w:pPr>
            <w:r>
              <w:t>2022.76</w:t>
            </w:r>
          </w:p>
        </w:tc>
        <w:tc>
          <w:tcPr>
            <w:tcW w:w="792" w:type="dxa"/>
          </w:tcPr>
          <w:p w14:paraId="275A4281" w14:textId="77777777" w:rsidR="001921D2" w:rsidRDefault="00000000">
            <w:pPr>
              <w:pStyle w:val="Compact"/>
            </w:pPr>
            <w:r>
              <w:t>0.9186</w:t>
            </w:r>
          </w:p>
        </w:tc>
        <w:tc>
          <w:tcPr>
            <w:tcW w:w="792" w:type="dxa"/>
          </w:tcPr>
          <w:p w14:paraId="4CB6191E" w14:textId="77777777" w:rsidR="001921D2" w:rsidRDefault="00000000">
            <w:pPr>
              <w:pStyle w:val="Compact"/>
            </w:pPr>
            <w:r>
              <w:t>98.45</w:t>
            </w:r>
          </w:p>
        </w:tc>
      </w:tr>
      <w:tr w:rsidR="001921D2" w14:paraId="29D6B1D8" w14:textId="77777777">
        <w:tc>
          <w:tcPr>
            <w:tcW w:w="792" w:type="dxa"/>
          </w:tcPr>
          <w:p w14:paraId="55FD5CF1" w14:textId="77777777" w:rsidR="001921D2" w:rsidRDefault="00000000">
            <w:pPr>
              <w:pStyle w:val="Compact"/>
            </w:pPr>
            <w:r>
              <w:t>ST-ETC</w:t>
            </w:r>
          </w:p>
        </w:tc>
        <w:tc>
          <w:tcPr>
            <w:tcW w:w="792" w:type="dxa"/>
          </w:tcPr>
          <w:p w14:paraId="73E37CF0" w14:textId="77777777" w:rsidR="001921D2" w:rsidRDefault="00000000">
            <w:pPr>
              <w:pStyle w:val="Compact"/>
            </w:pPr>
            <w:r>
              <w:t>7485.44</w:t>
            </w:r>
          </w:p>
        </w:tc>
        <w:tc>
          <w:tcPr>
            <w:tcW w:w="792" w:type="dxa"/>
          </w:tcPr>
          <w:p w14:paraId="793D045C" w14:textId="77777777" w:rsidR="001921D2" w:rsidRDefault="00000000">
            <w:pPr>
              <w:pStyle w:val="Compact"/>
            </w:pPr>
            <w:r>
              <w:t>0.08</w:t>
            </w:r>
          </w:p>
        </w:tc>
        <w:tc>
          <w:tcPr>
            <w:tcW w:w="792" w:type="dxa"/>
          </w:tcPr>
          <w:p w14:paraId="34DD4352" w14:textId="77777777" w:rsidR="001921D2" w:rsidRDefault="00000000">
            <w:pPr>
              <w:pStyle w:val="Compact"/>
            </w:pPr>
            <w:r>
              <w:t>311.89</w:t>
            </w:r>
          </w:p>
        </w:tc>
        <w:tc>
          <w:tcPr>
            <w:tcW w:w="792" w:type="dxa"/>
          </w:tcPr>
          <w:p w14:paraId="276C6B0B" w14:textId="77777777" w:rsidR="001921D2" w:rsidRDefault="00000000">
            <w:pPr>
              <w:pStyle w:val="Compact"/>
            </w:pPr>
            <w:r>
              <w:t>3525</w:t>
            </w:r>
          </w:p>
        </w:tc>
        <w:tc>
          <w:tcPr>
            <w:tcW w:w="792" w:type="dxa"/>
          </w:tcPr>
          <w:p w14:paraId="05535F10" w14:textId="77777777" w:rsidR="001921D2" w:rsidRDefault="00000000">
            <w:pPr>
              <w:pStyle w:val="Compact"/>
            </w:pPr>
            <w:r>
              <w:t>19.96</w:t>
            </w:r>
          </w:p>
        </w:tc>
        <w:tc>
          <w:tcPr>
            <w:tcW w:w="792" w:type="dxa"/>
          </w:tcPr>
          <w:p w14:paraId="6A72A906" w14:textId="77777777" w:rsidR="001921D2" w:rsidRDefault="00000000">
            <w:pPr>
              <w:pStyle w:val="Compact"/>
            </w:pPr>
            <w:r>
              <w:t>0.7711</w:t>
            </w:r>
          </w:p>
        </w:tc>
        <w:tc>
          <w:tcPr>
            <w:tcW w:w="792" w:type="dxa"/>
          </w:tcPr>
          <w:p w14:paraId="4BCB3E92" w14:textId="77777777" w:rsidR="001921D2" w:rsidRDefault="00000000">
            <w:pPr>
              <w:pStyle w:val="Compact"/>
            </w:pPr>
            <w:r>
              <w:t>2052.42</w:t>
            </w:r>
          </w:p>
        </w:tc>
        <w:tc>
          <w:tcPr>
            <w:tcW w:w="792" w:type="dxa"/>
          </w:tcPr>
          <w:p w14:paraId="4F2C3663" w14:textId="77777777" w:rsidR="001921D2" w:rsidRDefault="00000000">
            <w:pPr>
              <w:pStyle w:val="Compact"/>
            </w:pPr>
            <w:r>
              <w:t>0.5822</w:t>
            </w:r>
          </w:p>
        </w:tc>
        <w:tc>
          <w:tcPr>
            <w:tcW w:w="792" w:type="dxa"/>
          </w:tcPr>
          <w:p w14:paraId="6E2F5B83" w14:textId="77777777" w:rsidR="001921D2" w:rsidRDefault="00000000">
            <w:pPr>
              <w:pStyle w:val="Compact"/>
            </w:pPr>
            <w:r>
              <w:t>99.89</w:t>
            </w:r>
          </w:p>
        </w:tc>
      </w:tr>
      <w:tr w:rsidR="001921D2" w14:paraId="1A0C0D24" w14:textId="77777777">
        <w:tc>
          <w:tcPr>
            <w:tcW w:w="792" w:type="dxa"/>
          </w:tcPr>
          <w:p w14:paraId="2C716BAF" w14:textId="77777777" w:rsidR="001921D2" w:rsidRDefault="00000000">
            <w:pPr>
              <w:pStyle w:val="Compact"/>
            </w:pPr>
            <w:r>
              <w:t>ET-PRL</w:t>
            </w:r>
          </w:p>
        </w:tc>
        <w:tc>
          <w:tcPr>
            <w:tcW w:w="792" w:type="dxa"/>
          </w:tcPr>
          <w:p w14:paraId="163CE59A" w14:textId="77777777" w:rsidR="001921D2" w:rsidRDefault="00000000">
            <w:pPr>
              <w:pStyle w:val="Compact"/>
            </w:pPr>
            <w:r>
              <w:t>7331.85</w:t>
            </w:r>
          </w:p>
        </w:tc>
        <w:tc>
          <w:tcPr>
            <w:tcW w:w="792" w:type="dxa"/>
          </w:tcPr>
          <w:p w14:paraId="3941144C" w14:textId="77777777" w:rsidR="001921D2" w:rsidRDefault="00000000">
            <w:pPr>
              <w:pStyle w:val="Compact"/>
            </w:pPr>
            <w:r>
              <w:t>2.13</w:t>
            </w:r>
          </w:p>
        </w:tc>
        <w:tc>
          <w:tcPr>
            <w:tcW w:w="792" w:type="dxa"/>
          </w:tcPr>
          <w:p w14:paraId="10B468CD" w14:textId="77777777" w:rsidR="001921D2" w:rsidRDefault="00000000">
            <w:pPr>
              <w:pStyle w:val="Compact"/>
            </w:pPr>
            <w:r>
              <w:t>305.49</w:t>
            </w:r>
          </w:p>
        </w:tc>
        <w:tc>
          <w:tcPr>
            <w:tcW w:w="792" w:type="dxa"/>
          </w:tcPr>
          <w:p w14:paraId="742534FF" w14:textId="77777777" w:rsidR="001921D2" w:rsidRDefault="00000000">
            <w:pPr>
              <w:pStyle w:val="Compact"/>
            </w:pPr>
            <w:r>
              <w:t>2046</w:t>
            </w:r>
          </w:p>
        </w:tc>
        <w:tc>
          <w:tcPr>
            <w:tcW w:w="792" w:type="dxa"/>
          </w:tcPr>
          <w:p w14:paraId="526F0123" w14:textId="77777777" w:rsidR="001921D2" w:rsidRDefault="00000000">
            <w:pPr>
              <w:pStyle w:val="Compact"/>
            </w:pPr>
            <w:r>
              <w:t>53.54</w:t>
            </w:r>
          </w:p>
        </w:tc>
        <w:tc>
          <w:tcPr>
            <w:tcW w:w="792" w:type="dxa"/>
          </w:tcPr>
          <w:p w14:paraId="078B8824" w14:textId="77777777" w:rsidR="001921D2" w:rsidRDefault="00000000">
            <w:pPr>
              <w:pStyle w:val="Compact"/>
            </w:pPr>
            <w:r>
              <w:t>0.6014</w:t>
            </w:r>
          </w:p>
        </w:tc>
        <w:tc>
          <w:tcPr>
            <w:tcW w:w="792" w:type="dxa"/>
          </w:tcPr>
          <w:p w14:paraId="0EF27A30" w14:textId="77777777" w:rsidR="001921D2" w:rsidRDefault="00000000">
            <w:pPr>
              <w:pStyle w:val="Compact"/>
            </w:pPr>
            <w:r>
              <w:t>1939.74</w:t>
            </w:r>
          </w:p>
        </w:tc>
        <w:tc>
          <w:tcPr>
            <w:tcW w:w="792" w:type="dxa"/>
          </w:tcPr>
          <w:p w14:paraId="07464441" w14:textId="77777777" w:rsidR="001921D2" w:rsidRDefault="00000000">
            <w:pPr>
              <w:pStyle w:val="Compact"/>
            </w:pPr>
            <w:r>
              <w:t>0.9481</w:t>
            </w:r>
          </w:p>
        </w:tc>
        <w:tc>
          <w:tcPr>
            <w:tcW w:w="792" w:type="dxa"/>
          </w:tcPr>
          <w:p w14:paraId="2DB529A9" w14:textId="77777777" w:rsidR="001921D2" w:rsidRDefault="00000000">
            <w:pPr>
              <w:pStyle w:val="Compact"/>
            </w:pPr>
            <w:r>
              <w:t>94.41</w:t>
            </w:r>
          </w:p>
        </w:tc>
      </w:tr>
    </w:tbl>
    <w:p w14:paraId="5B60E243" w14:textId="77777777" w:rsidR="001921D2" w:rsidRDefault="00000000">
      <w:pPr>
        <w:pStyle w:val="a0"/>
      </w:pPr>
      <w:r>
        <w:rPr>
          <w:rFonts w:hint="eastAsia"/>
        </w:rPr>
        <w:t>由表</w:t>
      </w:r>
      <w:r>
        <w:t xml:space="preserve"> 5-3 </w:t>
      </w:r>
      <w:r>
        <w:rPr>
          <w:rFonts w:hint="eastAsia"/>
        </w:rPr>
        <w:t>可见，在以</w:t>
      </w:r>
      <w:r>
        <w:t xml:space="preserve"> TTC-RL-1 </w:t>
      </w:r>
      <w:r>
        <w:rPr>
          <w:rFonts w:hint="eastAsia"/>
        </w:rPr>
        <w:t>为统一基线的强化学习策略组内，</w:t>
      </w:r>
      <w:r>
        <w:rPr>
          <w:rFonts w:hint="eastAsia"/>
        </w:rPr>
        <w:t>ET-PRL</w:t>
      </w:r>
      <w:r>
        <w:t xml:space="preserve"> </w:t>
      </w:r>
      <w:r>
        <w:rPr>
          <w:rFonts w:hint="eastAsia"/>
        </w:rPr>
        <w:t>同时实现了更高的稀疏性与更低的能耗。具体而言，</w:t>
      </w:r>
      <w:r>
        <w:rPr>
          <w:rFonts w:hint="eastAsia"/>
        </w:rPr>
        <w:t>TTC-RL-2</w:t>
      </w:r>
      <w:r>
        <w:t xml:space="preserve"> </w:t>
      </w:r>
      <w:r>
        <w:rPr>
          <w:rFonts w:hint="eastAsia"/>
        </w:rPr>
        <w:t>将动作更新总次数由</w:t>
      </w:r>
      <w:r>
        <w:t xml:space="preserve"> 4404 </w:t>
      </w:r>
      <w:r>
        <w:rPr>
          <w:rFonts w:hint="eastAsia"/>
        </w:rPr>
        <w:t>降至</w:t>
      </w:r>
      <w:r>
        <w:t xml:space="preserve"> </w:t>
      </w:r>
      <w:r>
        <w:rPr>
          <w:rFonts w:hint="eastAsia"/>
        </w:rPr>
        <w:t>2202</w:t>
      </w:r>
      <w:r>
        <w:rPr>
          <w:rFonts w:hint="eastAsia"/>
        </w:rPr>
        <w:t>（</w:t>
      </w:r>
      <w:r>
        <w:rPr>
          <w:rFonts w:hint="eastAsia"/>
        </w:rPr>
        <w:t>ARR=50.00%</w:t>
      </w:r>
      <w:r>
        <w:rPr>
          <w:rFonts w:hint="eastAsia"/>
        </w:rPr>
        <w:t>），但相对节能率仅为</w:t>
      </w:r>
      <w:r>
        <w:t xml:space="preserve"> </w:t>
      </w:r>
      <w:r>
        <w:rPr>
          <w:rFonts w:hint="eastAsia"/>
        </w:rPr>
        <w:t>0.02%</w:t>
      </w:r>
      <w:r>
        <w:rPr>
          <w:rFonts w:hint="eastAsia"/>
        </w:rPr>
        <w:t>；</w:t>
      </w:r>
      <w:r>
        <w:rPr>
          <w:rFonts w:hint="eastAsia"/>
        </w:rPr>
        <w:t>ST-ETC</w:t>
      </w:r>
      <w:r>
        <w:t xml:space="preserve"> </w:t>
      </w:r>
      <w:r>
        <w:rPr>
          <w:rFonts w:hint="eastAsia"/>
        </w:rPr>
        <w:t>的</w:t>
      </w:r>
      <w:r>
        <w:t xml:space="preserve"> ARR </w:t>
      </w:r>
      <w:r>
        <w:rPr>
          <w:rFonts w:hint="eastAsia"/>
        </w:rPr>
        <w:t>为</w:t>
      </w:r>
      <w:r>
        <w:t xml:space="preserve"> </w:t>
      </w:r>
      <w:r>
        <w:rPr>
          <w:rFonts w:hint="eastAsia"/>
        </w:rPr>
        <w:t>19.96%</w:t>
      </w:r>
      <w:r>
        <w:rPr>
          <w:rFonts w:hint="eastAsia"/>
        </w:rPr>
        <w:t>，相对节能率为</w:t>
      </w:r>
      <w:r>
        <w:t xml:space="preserve"> </w:t>
      </w:r>
      <w:r>
        <w:rPr>
          <w:rFonts w:hint="eastAsia"/>
        </w:rPr>
        <w:t>0.08%</w:t>
      </w:r>
      <w:r>
        <w:rPr>
          <w:rFonts w:hint="eastAsia"/>
        </w:rPr>
        <w:t>。相比之下，</w:t>
      </w:r>
      <w:r>
        <w:rPr>
          <w:rFonts w:hint="eastAsia"/>
        </w:rPr>
        <w:t>ET-PRL</w:t>
      </w:r>
      <w:r>
        <w:t xml:space="preserve"> </w:t>
      </w:r>
      <w:r>
        <w:rPr>
          <w:rFonts w:hint="eastAsia"/>
        </w:rPr>
        <w:t>在动作更新总次数降至</w:t>
      </w:r>
      <w:r>
        <w:t xml:space="preserve"> </w:t>
      </w:r>
      <w:r>
        <w:rPr>
          <w:rFonts w:hint="eastAsia"/>
        </w:rPr>
        <w:t>2046</w:t>
      </w:r>
      <w:r>
        <w:rPr>
          <w:rFonts w:hint="eastAsia"/>
        </w:rPr>
        <w:t>（</w:t>
      </w:r>
      <w:r>
        <w:rPr>
          <w:rFonts w:hint="eastAsia"/>
        </w:rPr>
        <w:t>ARR=53.54%</w:t>
      </w:r>
      <w:r>
        <w:rPr>
          <w:rFonts w:hint="eastAsia"/>
        </w:rPr>
        <w:t>）的同时，相对节能率提升至</w:t>
      </w:r>
      <w:r>
        <w:t xml:space="preserve"> </w:t>
      </w:r>
      <w:r>
        <w:rPr>
          <w:rFonts w:hint="eastAsia"/>
        </w:rPr>
        <w:t>2.13%</w:t>
      </w:r>
      <w:r>
        <w:rPr>
          <w:rFonts w:hint="eastAsia"/>
        </w:rPr>
        <w:t>。按测试周期折算，</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288.00</w:t>
      </w:r>
      <w:r>
        <w:t>、</w:t>
      </w:r>
      <w:r>
        <w:t>144.00</w:t>
      </w:r>
      <w:r>
        <w:t>、</w:t>
      </w:r>
      <w:r>
        <w:t xml:space="preserve">230.51 </w:t>
      </w:r>
      <w:r>
        <w:rPr>
          <w:rFonts w:hint="eastAsia"/>
        </w:rPr>
        <w:t>与</w:t>
      </w:r>
      <w:r>
        <w:t xml:space="preserve"> 133.80 </w:t>
      </w:r>
      <w:r>
        <w:rPr>
          <w:rFonts w:hint="eastAsia"/>
        </w:rPr>
        <w:t>次</w:t>
      </w:r>
      <w:r>
        <w:rPr>
          <w:rFonts w:hint="eastAsia"/>
        </w:rPr>
        <w:t>/</w:t>
      </w:r>
      <w:r>
        <w:rPr>
          <w:rFonts w:hint="eastAsia"/>
        </w:rPr>
        <w:t>日；对应</w:t>
      </w:r>
      <w:r>
        <w:t xml:space="preserve"> ACR </w:t>
      </w:r>
      <w:r>
        <w:rPr>
          <w:rFonts w:hint="eastAsia"/>
        </w:rPr>
        <w:t>分别为</w:t>
      </w:r>
      <w:r>
        <w:t xml:space="preserve"> 1.0000</w:t>
      </w:r>
      <w:r>
        <w:t>、</w:t>
      </w:r>
      <w:r>
        <w:t>2.0000</w:t>
      </w:r>
      <w:r>
        <w:t>、</w:t>
      </w:r>
      <w:r>
        <w:t xml:space="preserve">1.2494 </w:t>
      </w:r>
      <w:r>
        <w:rPr>
          <w:rFonts w:hint="eastAsia"/>
        </w:rPr>
        <w:t>与</w:t>
      </w:r>
      <w:r>
        <w:t xml:space="preserve"> </w:t>
      </w:r>
      <w:r>
        <w:rPr>
          <w:rFonts w:hint="eastAsia"/>
        </w:rPr>
        <w:t>2.1525</w:t>
      </w:r>
      <w:r>
        <w:rPr>
          <w:rFonts w:hint="eastAsia"/>
        </w:rPr>
        <w:t>。该结果说明，性能改善并非仅由降频幅度决定，而与触发时机和高价值决策状态的匹配程度密切相关。</w:t>
      </w:r>
    </w:p>
    <w:p w14:paraId="2ED5096B" w14:textId="77777777" w:rsidR="001921D2" w:rsidRDefault="00000000">
      <w:pPr>
        <w:pStyle w:val="a0"/>
      </w:pPr>
      <w:r>
        <w:rPr>
          <w:rFonts w:hint="eastAsia"/>
        </w:rPr>
        <w:t>在传统控制策略对照下，</w:t>
      </w:r>
      <w:r>
        <w:rPr>
          <w:rFonts w:hint="eastAsia"/>
        </w:rPr>
        <w:t>PID</w:t>
      </w:r>
      <w:r>
        <w:t xml:space="preserve"> </w:t>
      </w:r>
      <w:r>
        <w:rPr>
          <w:rFonts w:hint="eastAsia"/>
        </w:rPr>
        <w:t>与</w:t>
      </w:r>
      <w:r>
        <w:t xml:space="preserve"> RBC </w:t>
      </w:r>
      <w:r>
        <w:rPr>
          <w:rFonts w:hint="eastAsia"/>
        </w:rPr>
        <w:t>的日均能耗分别为</w:t>
      </w:r>
      <w:r>
        <w:t xml:space="preserve"> 8486.90 </w:t>
      </w:r>
      <w:r>
        <w:rPr>
          <w:rFonts w:hint="eastAsia"/>
        </w:rPr>
        <w:t>与</w:t>
      </w:r>
      <w:r>
        <w:t xml:space="preserve"> 8548.72 </w:t>
      </w:r>
      <w:r>
        <w:rPr>
          <w:rFonts w:hint="eastAsia"/>
        </w:rPr>
        <w:t>kWh/day</w:t>
      </w:r>
      <w:r>
        <w:rPr>
          <w:rFonts w:hint="eastAsia"/>
        </w:rPr>
        <w:t>，均高于强化学习策略组（</w:t>
      </w:r>
      <w:r>
        <w:rPr>
          <w:rFonts w:hint="eastAsia"/>
        </w:rPr>
        <w:t>7331.85</w:t>
      </w:r>
      <w:r>
        <w:t xml:space="preserve"> </w:t>
      </w:r>
      <w:r>
        <w:rPr>
          <w:rFonts w:hint="eastAsia"/>
        </w:rPr>
        <w:t>至</w:t>
      </w:r>
      <w:r>
        <w:t xml:space="preserve"> 7491.14 </w:t>
      </w:r>
      <w:r>
        <w:rPr>
          <w:rFonts w:hint="eastAsia"/>
        </w:rPr>
        <w:t>kWh/day</w:t>
      </w:r>
      <w:r>
        <w:rPr>
          <w:rFonts w:hint="eastAsia"/>
        </w:rPr>
        <w:t>）。其中，</w:t>
      </w:r>
      <w:r>
        <w:rPr>
          <w:rFonts w:hint="eastAsia"/>
        </w:rPr>
        <w:t>ET-</w:t>
      </w:r>
      <w:r>
        <w:rPr>
          <w:rFonts w:hint="eastAsia"/>
        </w:rPr>
        <w:lastRenderedPageBreak/>
        <w:t>PRL</w:t>
      </w:r>
      <w:r>
        <w:t xml:space="preserve"> </w:t>
      </w:r>
      <w:r>
        <w:rPr>
          <w:rFonts w:hint="eastAsia"/>
        </w:rPr>
        <w:t>的日均能耗最低，为</w:t>
      </w:r>
      <w:r>
        <w:t xml:space="preserve"> 7331.85 </w:t>
      </w:r>
      <w:r>
        <w:rPr>
          <w:rFonts w:hint="eastAsia"/>
        </w:rPr>
        <w:t>kWh/day</w:t>
      </w:r>
      <w:r>
        <w:rPr>
          <w:rFonts w:hint="eastAsia"/>
        </w:rPr>
        <w:t>；相较于</w:t>
      </w:r>
      <w:r>
        <w:t xml:space="preserve"> PID </w:t>
      </w:r>
      <w:r>
        <w:rPr>
          <w:rFonts w:hint="eastAsia"/>
        </w:rPr>
        <w:t>与</w:t>
      </w:r>
      <w:r>
        <w:t xml:space="preserve"> </w:t>
      </w:r>
      <w:r>
        <w:rPr>
          <w:rFonts w:hint="eastAsia"/>
        </w:rPr>
        <w:t>RBC</w:t>
      </w:r>
      <w:r>
        <w:rPr>
          <w:rFonts w:hint="eastAsia"/>
        </w:rPr>
        <w:t>，分别降低</w:t>
      </w:r>
      <w:r>
        <w:t xml:space="preserve"> 1155.05 </w:t>
      </w:r>
      <w:r>
        <w:rPr>
          <w:rFonts w:hint="eastAsia"/>
        </w:rPr>
        <w:t>与</w:t>
      </w:r>
      <w:r>
        <w:t xml:space="preserve"> 1216.87 </w:t>
      </w:r>
      <w:r>
        <w:rPr>
          <w:rFonts w:hint="eastAsia"/>
        </w:rPr>
        <w:t>kWh/day</w:t>
      </w:r>
      <w:r>
        <w:rPr>
          <w:rFonts w:hint="eastAsia"/>
        </w:rPr>
        <w:t>，对应降幅为</w:t>
      </w:r>
      <w:r>
        <w:t xml:space="preserve"> 13.61% </w:t>
      </w:r>
      <w:r>
        <w:rPr>
          <w:rFonts w:hint="eastAsia"/>
        </w:rPr>
        <w:t>与</w:t>
      </w:r>
      <w:r>
        <w:t xml:space="preserve"> </w:t>
      </w:r>
      <w:r>
        <w:rPr>
          <w:rFonts w:hint="eastAsia"/>
        </w:rPr>
        <w:t>14.24%</w:t>
      </w:r>
      <w:r>
        <w:rPr>
          <w:rFonts w:hint="eastAsia"/>
        </w:rPr>
        <w:t>。在功率指标上，</w:t>
      </w:r>
      <w:r>
        <w:rPr>
          <w:rFonts w:hint="eastAsia"/>
        </w:rPr>
        <w:t>ET-PRL</w:t>
      </w:r>
      <w:r>
        <w:t xml:space="preserve"> </w:t>
      </w:r>
      <w:r>
        <w:rPr>
          <w:rFonts w:hint="eastAsia"/>
        </w:rPr>
        <w:t>的平均功率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m:t>
        </m:r>
      </m:oMath>
      <w:r>
        <w:t xml:space="preserve"> </w:t>
      </w:r>
      <w:r>
        <w:rPr>
          <w:rFonts w:hint="eastAsia"/>
        </w:rPr>
        <w:t>kW</w:t>
      </w:r>
      <w:r>
        <w:rPr>
          <w:rFonts w:hint="eastAsia"/>
        </w:rPr>
        <w:t>，也低于</w:t>
      </w:r>
      <w:r>
        <w:t xml:space="preserve"> </w:t>
      </w:r>
      <w:r>
        <w:rPr>
          <w:rFonts w:hint="eastAsia"/>
        </w:rPr>
        <w:t>PID</w:t>
      </w:r>
      <w:r>
        <w:rPr>
          <w:rFonts w:hint="eastAsia"/>
        </w:rPr>
        <w:t>（</w:t>
      </w:r>
      <w:r>
        <w:rPr>
          <w:rFonts w:hint="eastAsia"/>
        </w:rPr>
        <w:t>353.62</w:t>
      </w:r>
      <w:r>
        <w:t xml:space="preserve"> </w:t>
      </w:r>
      <w:r>
        <w:rPr>
          <w:rFonts w:hint="eastAsia"/>
        </w:rPr>
        <w:t>kW</w:t>
      </w:r>
      <w:r>
        <w:rPr>
          <w:rFonts w:hint="eastAsia"/>
        </w:rPr>
        <w:t>）与</w:t>
      </w:r>
      <w:r>
        <w:t xml:space="preserve"> </w:t>
      </w:r>
      <w:r>
        <w:rPr>
          <w:rFonts w:hint="eastAsia"/>
        </w:rPr>
        <w:t>RBC</w:t>
      </w:r>
      <w:r>
        <w:rPr>
          <w:rFonts w:hint="eastAsia"/>
        </w:rPr>
        <w:t>（</w:t>
      </w:r>
      <w:r>
        <w:rPr>
          <w:rFonts w:hint="eastAsia"/>
        </w:rPr>
        <w:t>356.20</w:t>
      </w:r>
      <w:r>
        <w:t xml:space="preserve"> </w:t>
      </w:r>
      <w:r>
        <w:rPr>
          <w:rFonts w:hint="eastAsia"/>
        </w:rPr>
        <w:t>kW</w:t>
      </w:r>
      <w:r>
        <w:rPr>
          <w:rFonts w:hint="eastAsia"/>
        </w:rPr>
        <w:t>），表明其在本测试集上表现出一致的能效优势。</w:t>
      </w:r>
    </w:p>
    <w:p w14:paraId="3DD728FC" w14:textId="77777777" w:rsidR="001921D2" w:rsidRDefault="00000000">
      <w:pPr>
        <w:pStyle w:val="a0"/>
      </w:pPr>
      <w:r>
        <w:rPr>
          <w:rFonts w:hint="eastAsia"/>
        </w:rPr>
        <w:t>在执行品质方面，</w:t>
      </w:r>
      <w:r>
        <w:rPr>
          <w:rFonts w:hint="eastAsia"/>
        </w:rPr>
        <w:t>ET-PRL</w:t>
      </w:r>
      <w:r>
        <w:t xml:space="preserve"> </w:t>
      </w:r>
      <w:r>
        <w:rPr>
          <w:rFonts w:hint="eastAsia"/>
        </w:rPr>
        <w:t>的动作平滑度</w:t>
      </w:r>
      <w: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r>
          <w:rPr>
            <w:rFonts w:ascii="Cambria Math" w:hAnsi="Cambria Math"/>
          </w:rPr>
          <m:t>0.6014</m:t>
        </m:r>
      </m:oMath>
      <w:r>
        <w:rPr>
          <w:rFonts w:hint="eastAsia"/>
        </w:rPr>
        <w:t>，较</w:t>
      </w:r>
      <w:r>
        <w:t xml:space="preserve"> </w:t>
      </w:r>
      <w:r>
        <w:rPr>
          <w:rFonts w:hint="eastAsia"/>
        </w:rPr>
        <w:t>TTC-RL-1</w:t>
      </w:r>
      <w:r>
        <w:rPr>
          <w:rFonts w:hint="eastAsia"/>
        </w:rPr>
        <w:t>（</w:t>
      </w:r>
      <w:r>
        <w:rPr>
          <w:rFonts w:hint="eastAsia"/>
        </w:rPr>
        <w:t>0.8101</w:t>
      </w:r>
      <w:r>
        <w:rPr>
          <w:rFonts w:hint="eastAsia"/>
        </w:rPr>
        <w:t>）下降</w:t>
      </w:r>
      <w:r>
        <w:t xml:space="preserve"> </w:t>
      </w:r>
      <w:r>
        <w:rPr>
          <w:rFonts w:hint="eastAsia"/>
        </w:rPr>
        <w:t>25.76%</w:t>
      </w:r>
      <w:r>
        <w:rPr>
          <w:rFonts w:hint="eastAsia"/>
        </w:rPr>
        <w:t>，较</w:t>
      </w:r>
      <w:r>
        <w:t xml:space="preserve"> </w:t>
      </w:r>
      <w:r>
        <w:rPr>
          <w:rFonts w:hint="eastAsia"/>
        </w:rPr>
        <w:t>ST-ETC</w:t>
      </w:r>
      <w:r>
        <w:rPr>
          <w:rFonts w:hint="eastAsia"/>
        </w:rPr>
        <w:t>（</w:t>
      </w:r>
      <w:r>
        <w:rPr>
          <w:rFonts w:hint="eastAsia"/>
        </w:rPr>
        <w:t>0.7711</w:t>
      </w:r>
      <w:r>
        <w:rPr>
          <w:rFonts w:hint="eastAsia"/>
        </w:rPr>
        <w:t>）下降</w:t>
      </w:r>
      <w:r>
        <w:t xml:space="preserve"> </w:t>
      </w:r>
      <w:r>
        <w:rPr>
          <w:rFonts w:hint="eastAsia"/>
        </w:rPr>
        <w:t>22.01%</w:t>
      </w:r>
      <w:r>
        <w:rPr>
          <w:rFonts w:hint="eastAsia"/>
        </w:rPr>
        <w:t>，说明其在抑制高频抖动、降低执行器频繁调节方面具有优势。该值略高于</w:t>
      </w:r>
      <w:r>
        <w:t xml:space="preserve"> </w:t>
      </w:r>
      <w:r>
        <w:rPr>
          <w:rFonts w:hint="eastAsia"/>
        </w:rPr>
        <w:t>TTC-RL-2</w:t>
      </w:r>
      <w:r>
        <w:rPr>
          <w:rFonts w:hint="eastAsia"/>
        </w:rPr>
        <w:t>（</w:t>
      </w:r>
      <w:r>
        <w:rPr>
          <w:rFonts w:hint="eastAsia"/>
        </w:rPr>
        <w:t>0.5617</w:t>
      </w:r>
      <w:r>
        <w:rPr>
          <w:rFonts w:hint="eastAsia"/>
        </w:rPr>
        <w:t>），反映</w:t>
      </w:r>
      <w:r>
        <w:t xml:space="preserve"> ET-PRL </w:t>
      </w:r>
      <w:r>
        <w:rPr>
          <w:rFonts w:hint="eastAsia"/>
        </w:rPr>
        <w:t>在保持必要动作调整与抑制无效更新之间实现了相对平衡的折中。</w:t>
      </w:r>
    </w:p>
    <w:p w14:paraId="024C2098" w14:textId="77777777" w:rsidR="001921D2" w:rsidRDefault="00000000">
      <w:pPr>
        <w:pStyle w:val="a0"/>
      </w:pPr>
      <w:r>
        <w:rPr>
          <w:rFonts w:hint="eastAsia"/>
        </w:rPr>
        <w:t>在奖励指标方面，应区分累计收益与单位更新收益两类口径。</w:t>
      </w:r>
      <w:r>
        <w:rPr>
          <w:rFonts w:hint="eastAsia"/>
        </w:rPr>
        <w:t>ET-PRL</w:t>
      </w:r>
      <w:r>
        <w:t xml:space="preserve"> </w:t>
      </w:r>
      <w:r>
        <w:rPr>
          <w:rFonts w:hint="eastAsia"/>
        </w:rPr>
        <w:t>的总奖励</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1939.74</w:t>
      </w:r>
      <w:r>
        <w:rPr>
          <w:rFonts w:hint="eastAsia"/>
        </w:rPr>
        <w:t>，低于</w:t>
      </w:r>
      <w:r>
        <w:t xml:space="preserve"> TTC-RL-1 </w:t>
      </w:r>
      <w:r>
        <w:rPr>
          <w:rFonts w:hint="eastAsia"/>
        </w:rPr>
        <w:t>的</w:t>
      </w:r>
      <w:r>
        <w:t xml:space="preserve"> </w:t>
      </w:r>
      <w:r>
        <w:rPr>
          <w:rFonts w:hint="eastAsia"/>
        </w:rPr>
        <w:t>2054.63</w:t>
      </w:r>
      <w:r>
        <w:rPr>
          <w:rFonts w:hint="eastAsia"/>
        </w:rPr>
        <w:t>，对应</w:t>
      </w:r>
      <w:r>
        <w:t xml:space="preserve"> PPR </w:t>
      </w:r>
      <w:r>
        <w:rPr>
          <w:rFonts w:hint="eastAsia"/>
        </w:rPr>
        <w:t>为</w:t>
      </w:r>
      <w:r>
        <w:t xml:space="preserve"> </w:t>
      </w:r>
      <w:r>
        <w:rPr>
          <w:rFonts w:hint="eastAsia"/>
        </w:rPr>
        <w:t>94.41%</w:t>
      </w:r>
      <w:r>
        <w:rPr>
          <w:rFonts w:hint="eastAsia"/>
        </w:rPr>
        <w:t>；但其平均步奖励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t xml:space="preserve"> </w:t>
      </w:r>
      <w:r>
        <w:rPr>
          <w:rFonts w:hint="eastAsia"/>
        </w:rPr>
        <w:t>为</w:t>
      </w:r>
      <w:r>
        <w:t xml:space="preserve"> </w:t>
      </w:r>
      <w:r>
        <w:rPr>
          <w:rFonts w:hint="eastAsia"/>
        </w:rPr>
        <w:t>0.9481</w:t>
      </w:r>
      <w:r>
        <w:rPr>
          <w:rFonts w:hint="eastAsia"/>
        </w:rPr>
        <w:t>，为强化学习策略中最高，较</w:t>
      </w:r>
      <w:r>
        <w:t xml:space="preserve"> </w:t>
      </w:r>
      <w:r>
        <w:rPr>
          <w:rFonts w:hint="eastAsia"/>
        </w:rPr>
        <w:t>TTC-RL-1</w:t>
      </w:r>
      <w:r>
        <w:rPr>
          <w:rFonts w:hint="eastAsia"/>
        </w:rPr>
        <w:t>（</w:t>
      </w:r>
      <w:r>
        <w:rPr>
          <w:rFonts w:hint="eastAsia"/>
        </w:rPr>
        <w:t>0.4665</w:t>
      </w:r>
      <w:r>
        <w:rPr>
          <w:rFonts w:hint="eastAsia"/>
        </w:rPr>
        <w:t>）提升约</w:t>
      </w:r>
      <w:r>
        <w:t xml:space="preserve"> </w:t>
      </w:r>
      <w:r>
        <w:rPr>
          <w:rFonts w:hint="eastAsia"/>
        </w:rPr>
        <w:t>103.24%</w:t>
      </w:r>
      <w:r>
        <w:rPr>
          <w:rFonts w:hint="eastAsia"/>
        </w:rPr>
        <w:t>，较</w:t>
      </w:r>
      <w:r>
        <w:t xml:space="preserve"> </w:t>
      </w:r>
      <w:r>
        <w:rPr>
          <w:rFonts w:hint="eastAsia"/>
        </w:rPr>
        <w:t>ST-ETC</w:t>
      </w:r>
      <w:r>
        <w:rPr>
          <w:rFonts w:hint="eastAsia"/>
        </w:rPr>
        <w:t>（</w:t>
      </w:r>
      <w:r>
        <w:rPr>
          <w:rFonts w:hint="eastAsia"/>
        </w:rPr>
        <w:t>0.5822</w:t>
      </w:r>
      <w:r>
        <w:rPr>
          <w:rFonts w:hint="eastAsia"/>
        </w:rPr>
        <w:t>）提升约</w:t>
      </w:r>
      <w:r>
        <w:t xml:space="preserve"> </w:t>
      </w:r>
      <w:r>
        <w:rPr>
          <w:rFonts w:hint="eastAsia"/>
        </w:rPr>
        <w:t>62.85%</w:t>
      </w:r>
      <w:r>
        <w:rPr>
          <w:rFonts w:hint="eastAsia"/>
        </w:rPr>
        <w:t>，也高于</w:t>
      </w:r>
      <w:r>
        <w:t xml:space="preserve"> </w:t>
      </w:r>
      <w:r>
        <w:rPr>
          <w:rFonts w:hint="eastAsia"/>
        </w:rPr>
        <w:t>TTC-RL-2</w:t>
      </w:r>
      <w:r>
        <w:rPr>
          <w:rFonts w:hint="eastAsia"/>
        </w:rPr>
        <w:t>（</w:t>
      </w:r>
      <w:r>
        <w:rPr>
          <w:rFonts w:hint="eastAsia"/>
        </w:rPr>
        <w:t>0.9186</w:t>
      </w:r>
      <w:r>
        <w:rPr>
          <w:rFonts w:hint="eastAsia"/>
        </w:rPr>
        <w:t>）。该结果表明，</w:t>
      </w:r>
      <w:r>
        <w:rPr>
          <w:rFonts w:hint="eastAsia"/>
        </w:rPr>
        <w:t>ET-PRL</w:t>
      </w:r>
      <w:r>
        <w:t xml:space="preserve"> </w:t>
      </w:r>
      <w:r>
        <w:rPr>
          <w:rFonts w:hint="eastAsia"/>
        </w:rPr>
        <w:t>将有限动作更新预算集中在更高价值的决策时刻，在仅损失部分累计收益的情况下显著提升了单位更新效率，这与事件驱动控制追求按需高效干预的设计目标一致。</w:t>
      </w:r>
    </w:p>
    <w:p w14:paraId="3D8B20EA" w14:textId="77777777" w:rsidR="001921D2" w:rsidRDefault="00000000">
      <w:pPr>
        <w:pStyle w:val="a0"/>
      </w:pPr>
      <w:r>
        <w:rPr>
          <w:rFonts w:hint="eastAsia"/>
        </w:rPr>
        <w:t>（</w:t>
      </w:r>
      <w:r>
        <w:rPr>
          <w:rFonts w:hint="eastAsia"/>
        </w:rPr>
        <w:t>2</w:t>
      </w:r>
      <w:r>
        <w:rPr>
          <w:rFonts w:hint="eastAsia"/>
        </w:rPr>
        <w:t>）冷冻水供水温度设定值策略行为分析</w:t>
      </w:r>
    </w:p>
    <w:p w14:paraId="1D7A859B" w14:textId="77777777" w:rsidR="001921D2" w:rsidRDefault="00000000">
      <w:pPr>
        <w:pStyle w:val="a0"/>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rPr>
          <w:rFonts w:hint="eastAsia"/>
        </w:rPr>
        <w:t>6</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00645890" w14:textId="77777777" w:rsidR="001921D2" w:rsidRDefault="00000000">
      <w:pPr>
        <w:pStyle w:val="CaptionedFigure"/>
      </w:pPr>
      <w:r>
        <w:rPr>
          <w:noProof/>
        </w:rPr>
        <w:drawing>
          <wp:inline distT="0" distB="0" distL="0" distR="0" wp14:anchorId="01C4CC11" wp14:editId="75D568D6">
            <wp:extent cx="5334000" cy="2714831"/>
            <wp:effectExtent l="0" t="0" r="0" b="0"/>
            <wp:docPr id="33" name="Picture" descr="图6 ET-PRL、TTC-RL-1 与 ST-ETC 的 T_{\mathrm{chws}} 窗口分布对比（每个柱表示 10 小时窗口内动作比例）"/>
            <wp:cNvGraphicFramePr/>
            <a:graphic xmlns:a="http://schemas.openxmlformats.org/drawingml/2006/main">
              <a:graphicData uri="http://schemas.openxmlformats.org/drawingml/2006/picture">
                <pic:pic xmlns:pic="http://schemas.openxmlformats.org/drawingml/2006/picture">
                  <pic:nvPicPr>
                    <pic:cNvPr id="34" name="Picture" descr="../pics/fig7_t_chws_macro_distribution.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714831"/>
                    </a:xfrm>
                    <a:prstGeom prst="rect">
                      <a:avLst/>
                    </a:prstGeom>
                    <a:noFill/>
                    <a:ln w="9525">
                      <a:noFill/>
                      <a:headEnd/>
                      <a:tailEnd/>
                    </a:ln>
                  </pic:spPr>
                </pic:pic>
              </a:graphicData>
            </a:graphic>
          </wp:inline>
        </w:drawing>
      </w:r>
    </w:p>
    <w:p w14:paraId="24A64A35" w14:textId="77777777" w:rsidR="001921D2" w:rsidRDefault="00000000">
      <w:pPr>
        <w:pStyle w:val="ImageCaption"/>
      </w:pPr>
      <w:r>
        <w:rPr>
          <w:rFonts w:hint="eastAsia"/>
        </w:rPr>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1A798815" w14:textId="77777777" w:rsidR="001921D2" w:rsidRDefault="00000000">
      <w:pPr>
        <w:pStyle w:val="a0"/>
      </w:pPr>
      <w:r>
        <w:rPr>
          <w:rFonts w:hint="eastAsia"/>
        </w:rPr>
        <w:lastRenderedPageBreak/>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436651AA" w14:textId="77777777" w:rsidR="001921D2" w:rsidRDefault="00000000">
      <w:pPr>
        <w:pStyle w:val="a0"/>
      </w:pPr>
      <w:r>
        <w:rPr>
          <w:rFonts w:hint="eastAsia"/>
        </w:rPr>
        <w:t>图</w:t>
      </w:r>
      <w:r>
        <w:rPr>
          <w:rFonts w:hint="eastAsia"/>
        </w:rPr>
        <w:t>6</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在离散动作空间高温端（</w:t>
      </w:r>
      <w:r>
        <w:rPr>
          <w:rFonts w:hint="eastAsia"/>
        </w:rPr>
        <w:t>15</w:t>
      </w:r>
      <w:r>
        <w:rPr>
          <w:rFonts w:hint="eastAsia"/>
        </w:rPr>
        <w:t>°</w:t>
      </w:r>
      <w:r>
        <w:rPr>
          <w:rFonts w:hint="eastAsia"/>
        </w:rPr>
        <w:t>C</w:t>
      </w:r>
      <w:r>
        <w:rPr>
          <w:rFonts w:hint="eastAsia"/>
        </w:rPr>
        <w:t>）对应区间的动作占比显著提升。该行为与冷水机组变工况热力学特性一致：当建筑冷量需求较弱时，上调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等效于提高蒸发温度，可降低压缩机压比并提升性能系数（</w:t>
      </w:r>
      <w:r>
        <w:rPr>
          <w:rFonts w:hint="eastAsia"/>
        </w:rPr>
        <w:t>COP</w:t>
      </w:r>
      <w:r>
        <w:rPr>
          <w:rFonts w:hint="eastAsia"/>
        </w:rPr>
        <w:t>），从而在不突破室内热舒适边界的前提下降低单位冷量耗电。需要指出的是，</w:t>
      </w:r>
      <w:r>
        <w:rPr>
          <w:rFonts w:hint="eastAsia"/>
        </w:rPr>
        <w:t>ST-ETC</w:t>
      </w:r>
      <w:r>
        <w:t xml:space="preserve"> </w:t>
      </w:r>
      <w:r>
        <w:rPr>
          <w:rFonts w:hint="eastAsia"/>
        </w:rPr>
        <w:t>与</w:t>
      </w:r>
      <w:r>
        <w:t xml:space="preserve"> ET-PRL </w:t>
      </w:r>
      <w:r>
        <w:rPr>
          <w:rFonts w:hint="eastAsia"/>
        </w:rPr>
        <w:t>复用同一</w:t>
      </w:r>
      <w:r>
        <w:t xml:space="preserve"> TTC-RL-1 </w:t>
      </w:r>
      <w:r>
        <w:rPr>
          <w:rFonts w:hint="eastAsia"/>
        </w:rPr>
        <w:t>预训练</w:t>
      </w:r>
      <w:r>
        <w:t xml:space="preserve"> Q </w:t>
      </w:r>
      <w:r>
        <w:rPr>
          <w:rFonts w:hint="eastAsia"/>
        </w:rPr>
        <w:t>网络与同一状态输入，因此二者均具备基于预测特征的价值评估能力。两者差异主要来自门控层：</w:t>
      </w:r>
      <w:r>
        <w:rPr>
          <w:rFonts w:hint="eastAsia"/>
        </w:rPr>
        <w:t>ST-ETC</w:t>
      </w:r>
      <w:r>
        <w:t xml:space="preserve"> </w:t>
      </w:r>
      <w:r>
        <w:rPr>
          <w:rFonts w:hint="eastAsia"/>
        </w:rPr>
        <w:t>的静态阈值在跨时段分布漂移下更易出现边界失配，在非关键时刻产生误触发并缩短高效设定值的连续保持时长；</w:t>
      </w:r>
      <w:r>
        <w:rPr>
          <w:rFonts w:hint="eastAsia"/>
        </w:rPr>
        <w:t>ET-PRL</w:t>
      </w:r>
      <w:r>
        <w:t xml:space="preserve"> </w:t>
      </w:r>
      <w:r>
        <w:rPr>
          <w:rFonts w:hint="eastAsia"/>
        </w:rPr>
        <w:t>的流式双层动态阈值可在线校正触发边界，过滤高频噪声触发，为高设定温度动作提供更连续的执行窗口，从而实现更显著的动作空间再分配。</w:t>
      </w:r>
    </w:p>
    <w:p w14:paraId="4757BDE6" w14:textId="77777777" w:rsidR="001921D2" w:rsidRDefault="00000000">
      <w:pPr>
        <w:pStyle w:val="CaptionedFigure"/>
      </w:pPr>
      <w:r>
        <w:rPr>
          <w:noProof/>
        </w:rPr>
        <w:drawing>
          <wp:inline distT="0" distB="0" distL="0" distR="0" wp14:anchorId="1723D095" wp14:editId="5405B1D4">
            <wp:extent cx="5334000" cy="2026919"/>
            <wp:effectExtent l="0" t="0" r="0" b="0"/>
            <wp:docPr id="36" name="Picture" descr="图7 事件触发局部响应与全局差值频次统计：面板(a)为 65h-85h 窗口内冷负荷与绝对设定值轨迹，面板(b)为 ST-ETC 与 ET-PRL 相对 TTC-RL-1 的 \Delta T_{\mathrm{chws}} 对数频次分布"/>
            <wp:cNvGraphicFramePr/>
            <a:graphic xmlns:a="http://schemas.openxmlformats.org/drawingml/2006/main">
              <a:graphicData uri="http://schemas.openxmlformats.org/drawingml/2006/picture">
                <pic:pic xmlns:pic="http://schemas.openxmlformats.org/drawingml/2006/picture">
                  <pic:nvPicPr>
                    <pic:cNvPr id="37" name="Picture" descr="../pics/fig8_t_chws_delta_analysis.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2026919"/>
                    </a:xfrm>
                    <a:prstGeom prst="rect">
                      <a:avLst/>
                    </a:prstGeom>
                    <a:noFill/>
                    <a:ln w="9525">
                      <a:noFill/>
                      <a:headEnd/>
                      <a:tailEnd/>
                    </a:ln>
                  </pic:spPr>
                </pic:pic>
              </a:graphicData>
            </a:graphic>
          </wp:inline>
        </w:drawing>
      </w:r>
    </w:p>
    <w:p w14:paraId="0C1D03EA" w14:textId="77777777" w:rsidR="001921D2" w:rsidRDefault="00000000">
      <w:pPr>
        <w:pStyle w:val="ImageCaption"/>
      </w:pPr>
      <w:r>
        <w:rPr>
          <w:rFonts w:hint="eastAsia"/>
        </w:rPr>
        <w:t>图</w:t>
      </w:r>
      <w:r>
        <w:rPr>
          <w:rFonts w:hint="eastAsia"/>
        </w:rPr>
        <w:t>7</w:t>
      </w:r>
      <w:r>
        <w:t xml:space="preserve">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对数频次分布</w:t>
      </w:r>
    </w:p>
    <w:p w14:paraId="502BD5F0" w14:textId="77777777" w:rsidR="001921D2" w:rsidRDefault="00000000">
      <w:pPr>
        <w:pStyle w:val="a0"/>
      </w:pPr>
      <w:r>
        <w:rPr>
          <w:rFonts w:hint="eastAsia"/>
        </w:rPr>
        <w:t>图</w:t>
      </w:r>
      <w:r>
        <w:rPr>
          <w:rFonts w:hint="eastAsia"/>
        </w:rPr>
        <w:t>7</w:t>
      </w:r>
      <w:r>
        <w:t xml:space="preserve"> </w:t>
      </w:r>
      <w:r>
        <w:rPr>
          <w:rFonts w:hint="eastAsia"/>
        </w:rPr>
        <w:t>事件触发局部响应与全局差值频次统计</w:t>
      </w:r>
    </w:p>
    <w:p w14:paraId="3CBB3F4A" w14:textId="77777777" w:rsidR="001921D2" w:rsidRDefault="00000000">
      <w:pPr>
        <w:pStyle w:val="a0"/>
      </w:pPr>
      <w:r>
        <w:rPr>
          <w:rFonts w:hint="eastAsia"/>
        </w:rPr>
        <w:t>在微观轨迹层面，图</w:t>
      </w:r>
      <w:r>
        <w:rPr>
          <w:rFonts w:hint="eastAsia"/>
        </w:rPr>
        <w:t>7(a)</w:t>
      </w:r>
      <w:r>
        <w:t xml:space="preserve">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则维持高频时间触发更新。结合同一预训练</w:t>
      </w:r>
      <w:r>
        <w:t xml:space="preserve"> Q </w:t>
      </w:r>
      <w:r>
        <w:rPr>
          <w:rFonts w:hint="eastAsia"/>
        </w:rPr>
        <w:t>网络这一前提可知，该差异并非源于策略网络能力差异，而是源于触发时机质量差异：</w:t>
      </w:r>
      <w:r>
        <w:rPr>
          <w:rFonts w:hint="eastAsia"/>
        </w:rPr>
        <w:t>ST-ETC</w:t>
      </w:r>
      <w:r>
        <w:t xml:space="preserve"> </w:t>
      </w:r>
      <w:r>
        <w:rPr>
          <w:rFonts w:hint="eastAsia"/>
        </w:rPr>
        <w:t>受静态边界约束，更易在边界附近误触发，导致控制序列被频繁打断并回退至与基线近似的保守输出；</w:t>
      </w:r>
      <w:r>
        <w:rPr>
          <w:rFonts w:hint="eastAsia"/>
        </w:rPr>
        <w:t>ET-PRL</w:t>
      </w:r>
      <w:r>
        <w:t xml:space="preserve"> </w:t>
      </w:r>
      <w:r>
        <w:rPr>
          <w:rFonts w:hint="eastAsia"/>
        </w:rPr>
        <w:t>通过双层动态阈值与最小触发间隔抑制噪声驱动更新，使预测型</w:t>
      </w:r>
      <w:r>
        <w:t xml:space="preserve"> Q </w:t>
      </w:r>
      <w:r>
        <w:rPr>
          <w:rFonts w:hint="eastAsia"/>
        </w:rPr>
        <w:t>网络能够在低负荷窗口稳定维持长周期高效设定。</w:t>
      </w:r>
    </w:p>
    <w:p w14:paraId="7677D152" w14:textId="77777777" w:rsidR="001921D2" w:rsidRDefault="00000000">
      <w:pPr>
        <w:pStyle w:val="a0"/>
      </w:pPr>
      <w:r>
        <w:rPr>
          <w:rFonts w:hint="eastAsia"/>
        </w:rPr>
        <w:t>在全局差值统计层面，图</w:t>
      </w:r>
      <w:r>
        <w:rPr>
          <w:rFonts w:hint="eastAsia"/>
        </w:rPr>
        <w:t>7(b)</w:t>
      </w:r>
      <w:r>
        <w:t xml:space="preserve">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w:t>
      </w:r>
      <m:oMath>
        <m:r>
          <w:rPr>
            <w:rFonts w:ascii="Cambria Math" w:hAnsi="Cambria Math"/>
          </w:rPr>
          <m:t>0.446</m:t>
        </m:r>
      </m:oMath>
      <w:r>
        <w:t xml:space="preserve"> </w:t>
      </w:r>
      <w:r>
        <w:rPr>
          <w:rFonts w:hint="eastAsia"/>
        </w:rPr>
        <w:lastRenderedPageBreak/>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6DA63604" w14:textId="77777777" w:rsidR="001921D2" w:rsidRDefault="00000000">
      <w:pPr>
        <w:pStyle w:val="a0"/>
      </w:pPr>
      <w:r>
        <w:rPr>
          <w:rFonts w:hint="eastAsia"/>
        </w:rPr>
        <w:t>（</w:t>
      </w:r>
      <w:r>
        <w:rPr>
          <w:rFonts w:hint="eastAsia"/>
        </w:rPr>
        <w:t>3</w:t>
      </w:r>
      <w:r>
        <w:rPr>
          <w:rFonts w:hint="eastAsia"/>
        </w:rPr>
        <w:t>）事件触发的控制稀疏性与时序动态分析</w:t>
      </w:r>
    </w:p>
    <w:p w14:paraId="1C7321C7" w14:textId="77777777" w:rsidR="001921D2" w:rsidRDefault="00000000">
      <w:pPr>
        <w:pStyle w:val="a0"/>
      </w:pPr>
      <w:r>
        <w:rPr>
          <w:rFonts w:hint="eastAsia"/>
        </w:rPr>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07E39F8B" w14:textId="77777777" w:rsidR="001921D2"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426C5F94" w14:textId="77777777" w:rsidR="001921D2" w:rsidRDefault="00000000">
      <w:pPr>
        <w:pStyle w:val="a0"/>
      </w:pPr>
      <w:r>
        <w:rPr>
          <w:rFonts w:hint="eastAsia"/>
        </w:rPr>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529B8090" w14:textId="77777777" w:rsidR="001921D2" w:rsidRDefault="00000000">
      <w:pPr>
        <w:pStyle w:val="CaptionedFigure"/>
      </w:pPr>
      <w:r>
        <w:rPr>
          <w:noProof/>
        </w:rPr>
        <w:lastRenderedPageBreak/>
        <w:drawing>
          <wp:inline distT="0" distB="0" distL="0" distR="0" wp14:anchorId="7983F9B7" wp14:editId="570FCA4E">
            <wp:extent cx="5334000" cy="3579627"/>
            <wp:effectExtent l="0" t="0" r="0" b="0"/>
            <wp:docPr id="39" name="Picture" descr="图8 不同控制策略下动作更新间隔分布（主图为离散类别分箱占比，插图为长尾区间放大）"/>
            <wp:cNvGraphicFramePr/>
            <a:graphic xmlns:a="http://schemas.openxmlformats.org/drawingml/2006/main">
              <a:graphicData uri="http://schemas.openxmlformats.org/drawingml/2006/picture">
                <pic:pic xmlns:pic="http://schemas.openxmlformats.org/drawingml/2006/picture">
                  <pic:nvPicPr>
                    <pic:cNvPr id="40" name="Picture" descr="../pics/fig9_action_update_interval_distribution.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579627"/>
                    </a:xfrm>
                    <a:prstGeom prst="rect">
                      <a:avLst/>
                    </a:prstGeom>
                    <a:noFill/>
                    <a:ln w="9525">
                      <a:noFill/>
                      <a:headEnd/>
                      <a:tailEnd/>
                    </a:ln>
                  </pic:spPr>
                </pic:pic>
              </a:graphicData>
            </a:graphic>
          </wp:inline>
        </w:drawing>
      </w:r>
    </w:p>
    <w:p w14:paraId="329FFF50" w14:textId="77777777" w:rsidR="001921D2" w:rsidRDefault="00000000">
      <w:pPr>
        <w:pStyle w:val="ImageCaption"/>
      </w:pPr>
      <w:r>
        <w:rPr>
          <w:rFonts w:hint="eastAsia"/>
        </w:rPr>
        <w:t>图</w:t>
      </w:r>
      <w:r>
        <w:rPr>
          <w:rFonts w:hint="eastAsia"/>
        </w:rPr>
        <w:t>8</w:t>
      </w:r>
      <w:r>
        <w:t xml:space="preserve"> </w:t>
      </w:r>
      <w:r>
        <w:rPr>
          <w:rFonts w:hint="eastAsia"/>
        </w:rPr>
        <w:t>不同控制策略下动作更新间隔分布（主图为离散类别分箱占比，插图为长尾区间放大）</w:t>
      </w:r>
    </w:p>
    <w:p w14:paraId="3F126239" w14:textId="77777777" w:rsidR="001921D2" w:rsidRDefault="00000000">
      <w:pPr>
        <w:pStyle w:val="a0"/>
      </w:pPr>
      <w:r>
        <w:rPr>
          <w:rFonts w:hint="eastAsia"/>
        </w:rPr>
        <w:t>图</w:t>
      </w:r>
      <w:r>
        <w:rPr>
          <w:rFonts w:hint="eastAsia"/>
        </w:rPr>
        <w:t>8</w:t>
      </w:r>
      <w:r>
        <w:t xml:space="preserve">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）在各离散类别区间中的更新间隔占比。插图给出了间隔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3F4F0D75" w14:textId="77777777" w:rsidR="001921D2" w:rsidRDefault="00000000">
      <w:pPr>
        <w:pStyle w:val="a0"/>
      </w:pPr>
      <w:r>
        <w:rPr>
          <w:rFonts w:hint="eastAsia"/>
        </w:rPr>
        <w:t>如图</w:t>
      </w:r>
      <w:r>
        <w:rPr>
          <w:rFonts w:hint="eastAsia"/>
        </w:rPr>
        <w:t>8</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w:t>
      </w:r>
      <w:r>
        <w:rPr>
          <w:rFonts w:hint="eastAsia"/>
        </w:rPr>
        <w:lastRenderedPageBreak/>
        <w:t>建筑热力系统接近稳态基载工况。结合在线流式事件门控判定逻辑，该行为实质上属于满足热力约束条件下的策略休眠，而非被动系统停滞。</w:t>
      </w:r>
    </w:p>
    <w:p w14:paraId="56C418CB" w14:textId="77777777" w:rsidR="001921D2" w:rsidRDefault="00000000">
      <w:pPr>
        <w:pStyle w:val="a0"/>
      </w:pPr>
      <w:r>
        <w:rPr>
          <w:rFonts w:hint="eastAsia"/>
        </w:rPr>
        <w:t>为揭示系统负荷动态变化与触发动作之间的时序映射关系，图</w:t>
      </w:r>
      <w:r>
        <w:rPr>
          <w:rFonts w:hint="eastAsia"/>
        </w:rPr>
        <w:t>9</w:t>
      </w:r>
      <w:r>
        <w:t xml:space="preserve"> </w:t>
      </w:r>
      <w:r>
        <w:rPr>
          <w:rFonts w:hint="eastAsia"/>
        </w:rPr>
        <w:t>进一步展示了典型单日工况（第</w:t>
      </w:r>
      <w:r>
        <w:t xml:space="preserve"> 5 </w:t>
      </w:r>
      <w:r>
        <w:rPr>
          <w:rFonts w:hint="eastAsia"/>
        </w:rPr>
        <w:t>天）下的时序对齐结果。</w:t>
      </w:r>
    </w:p>
    <w:p w14:paraId="3BF8150A" w14:textId="77777777" w:rsidR="001921D2" w:rsidRDefault="00000000">
      <w:pPr>
        <w:pStyle w:val="CaptionedFigure"/>
      </w:pPr>
      <w:r>
        <w:rPr>
          <w:noProof/>
        </w:rPr>
        <w:drawing>
          <wp:inline distT="0" distB="0" distL="0" distR="0" wp14:anchorId="13D0F0AC" wp14:editId="51ADC442">
            <wp:extent cx="5334000" cy="3230339"/>
            <wp:effectExtent l="0" t="0" r="0" b="0"/>
            <wp:docPr id="42" name="Picture" descr="图9 典型日负荷变化与触发时刻对齐关系（第5天，5 min采样）：面板(a)为冷负荷曲线，面板(b)为 ET-PRL、ST-ETC 与 TTC-RL-1 触发脉冲栅格，跨面板阴影带表示典型高负荷变化时段"/>
            <wp:cNvGraphicFramePr/>
            <a:graphic xmlns:a="http://schemas.openxmlformats.org/drawingml/2006/main">
              <a:graphicData uri="http://schemas.openxmlformats.org/drawingml/2006/picture">
                <pic:pic xmlns:pic="http://schemas.openxmlformats.org/drawingml/2006/picture">
                  <pic:nvPicPr>
                    <pic:cNvPr id="43" name="Picture" descr="../pics/fig10_trigger_load_alignment.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374BECB0" w14:textId="77777777" w:rsidR="001921D2" w:rsidRDefault="00000000">
      <w:pPr>
        <w:pStyle w:val="ImageCaption"/>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p>
    <w:p w14:paraId="76C3DD6C" w14:textId="77777777" w:rsidR="001921D2" w:rsidRDefault="00000000">
      <w:pPr>
        <w:pStyle w:val="a0"/>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53126EFF" w14:textId="77777777" w:rsidR="001921D2"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053902BC" w14:textId="77777777" w:rsidR="001921D2"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772A8E75" w14:textId="77777777" w:rsidR="001921D2" w:rsidRDefault="00000000">
      <w:pPr>
        <w:pStyle w:val="a0"/>
      </w:pPr>
      <w:r>
        <w:rPr>
          <w:rFonts w:hint="eastAsia"/>
        </w:rPr>
        <w:t>从系统能效优化的内在机理看，控制动作稀疏化带来的收益不仅体现在执行机构机械磨损的物理衰减，更体现在对冷水机组频繁调节所致瞬态能效惩罚的抑制。传统</w:t>
      </w:r>
      <w:r>
        <w:rPr>
          <w:rFonts w:hint="eastAsia"/>
        </w:rPr>
        <w:lastRenderedPageBreak/>
        <w:t>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36A80621" w14:textId="77777777" w:rsidR="001921D2" w:rsidRDefault="00000000">
      <w:pPr>
        <w:pStyle w:val="a0"/>
      </w:pPr>
      <w:r>
        <w:rPr>
          <w:rFonts w:hint="eastAsia"/>
        </w:rPr>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670001EB" w14:textId="77777777" w:rsidR="001921D2" w:rsidRDefault="00000000">
      <w:pPr>
        <w:pStyle w:val="a0"/>
      </w:pPr>
      <w:r>
        <w:rPr>
          <w:rFonts w:hint="eastAsia"/>
        </w:rPr>
        <w:t>（</w:t>
      </w:r>
      <w:r>
        <w:rPr>
          <w:rFonts w:hint="eastAsia"/>
        </w:rPr>
        <w:t>4</w:t>
      </w:r>
      <w:r>
        <w:rPr>
          <w:rFonts w:hint="eastAsia"/>
        </w:rPr>
        <w:t>）消融实验分析</w:t>
      </w:r>
    </w:p>
    <w:p w14:paraId="06567DB9" w14:textId="77777777" w:rsidR="001921D2" w:rsidRDefault="00000000">
      <w:pPr>
        <w:pStyle w:val="a0"/>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3F21E485" w14:textId="77777777" w:rsidR="001921D2" w:rsidRDefault="00000000">
      <w:pPr>
        <w:pStyle w:val="a0"/>
      </w:pPr>
      <w:r>
        <w:rPr>
          <w:rFonts w:hint="eastAsia"/>
        </w:rPr>
        <w:t>表</w:t>
      </w:r>
      <w:r>
        <w:t xml:space="preserve"> 5-4 </w:t>
      </w:r>
      <w:r>
        <w:rPr>
          <w:rFonts w:hint="eastAsia"/>
        </w:rPr>
        <w:t>关键模块消融实验结果</w:t>
      </w:r>
    </w:p>
    <w:tbl>
      <w:tblPr>
        <w:tblStyle w:val="Table"/>
        <w:tblW w:w="5000" w:type="pct"/>
        <w:tblLayout w:type="fixed"/>
        <w:tblLook w:val="0020" w:firstRow="1" w:lastRow="0" w:firstColumn="0" w:lastColumn="0" w:noHBand="0" w:noVBand="0"/>
      </w:tblPr>
      <w:tblGrid>
        <w:gridCol w:w="1266"/>
        <w:gridCol w:w="1265"/>
        <w:gridCol w:w="1265"/>
        <w:gridCol w:w="1265"/>
        <w:gridCol w:w="1265"/>
        <w:gridCol w:w="1265"/>
        <w:gridCol w:w="1265"/>
      </w:tblGrid>
      <w:tr w:rsidR="001921D2" w14:paraId="014E8B9B" w14:textId="77777777" w:rsidTr="001921D2">
        <w:trPr>
          <w:cnfStyle w:val="100000000000" w:firstRow="1" w:lastRow="0" w:firstColumn="0" w:lastColumn="0" w:oddVBand="0" w:evenVBand="0" w:oddHBand="0" w:evenHBand="0" w:firstRowFirstColumn="0" w:firstRowLastColumn="0" w:lastRowFirstColumn="0" w:lastRowLastColumn="0"/>
          <w:tblHeader/>
        </w:trPr>
        <w:tc>
          <w:tcPr>
            <w:tcW w:w="1131" w:type="dxa"/>
          </w:tcPr>
          <w:p w14:paraId="124892A5" w14:textId="77777777" w:rsidR="001921D2" w:rsidRDefault="00000000">
            <w:pPr>
              <w:pStyle w:val="Compact"/>
            </w:pPr>
            <w:r>
              <w:rPr>
                <w:rFonts w:hint="eastAsia"/>
                <w:b/>
                <w:bCs/>
              </w:rPr>
              <w:t>方法</w:t>
            </w:r>
          </w:p>
        </w:tc>
        <w:tc>
          <w:tcPr>
            <w:tcW w:w="1131" w:type="dxa"/>
          </w:tcPr>
          <w:p w14:paraId="052E6CA2" w14:textId="77777777" w:rsidR="001921D2"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Pr>
          <w:p w14:paraId="610A282A"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Pr>
          <w:p w14:paraId="5DB3BEA1"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Pr>
          <w:p w14:paraId="53A50B7E" w14:textId="77777777" w:rsidR="001921D2"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1131" w:type="dxa"/>
          </w:tcPr>
          <w:p w14:paraId="7DB6B4EA" w14:textId="77777777" w:rsidR="001921D2" w:rsidRDefault="00000000">
            <w:pPr>
              <w:pStyle w:val="Compact"/>
            </w:pPr>
            <w:r>
              <w:t>ACR</w:t>
            </w:r>
          </w:p>
        </w:tc>
        <w:tc>
          <w:tcPr>
            <w:tcW w:w="1131" w:type="dxa"/>
          </w:tcPr>
          <w:p w14:paraId="65477489" w14:textId="77777777" w:rsidR="001921D2" w:rsidRDefault="00000000">
            <w:pPr>
              <w:pStyle w:val="Compact"/>
            </w:pPr>
            <w:r>
              <w:t>PPR</w:t>
            </w:r>
          </w:p>
        </w:tc>
      </w:tr>
      <w:tr w:rsidR="001921D2" w14:paraId="28D0A1F0" w14:textId="77777777">
        <w:tc>
          <w:tcPr>
            <w:tcW w:w="1131" w:type="dxa"/>
          </w:tcPr>
          <w:p w14:paraId="3D4E7900" w14:textId="77777777" w:rsidR="001921D2" w:rsidRDefault="00000000">
            <w:pPr>
              <w:pStyle w:val="Compact"/>
            </w:pPr>
            <w:r>
              <w:t>TTC-RL-1 (Reference)</w:t>
            </w:r>
          </w:p>
        </w:tc>
        <w:tc>
          <w:tcPr>
            <w:tcW w:w="1131" w:type="dxa"/>
          </w:tcPr>
          <w:p w14:paraId="0684B79E" w14:textId="77777777" w:rsidR="001921D2" w:rsidRDefault="00000000">
            <w:pPr>
              <w:pStyle w:val="Compact"/>
            </w:pPr>
            <w:r>
              <w:t>2054.63</w:t>
            </w:r>
          </w:p>
        </w:tc>
        <w:tc>
          <w:tcPr>
            <w:tcW w:w="1131" w:type="dxa"/>
          </w:tcPr>
          <w:p w14:paraId="2C84D355" w14:textId="77777777" w:rsidR="001921D2" w:rsidRDefault="00000000">
            <w:pPr>
              <w:pStyle w:val="Compact"/>
            </w:pPr>
            <w:r>
              <w:t>4404</w:t>
            </w:r>
          </w:p>
        </w:tc>
        <w:tc>
          <w:tcPr>
            <w:tcW w:w="1131" w:type="dxa"/>
          </w:tcPr>
          <w:p w14:paraId="7EAC40C9" w14:textId="77777777" w:rsidR="001921D2" w:rsidRDefault="00000000">
            <w:pPr>
              <w:pStyle w:val="Compact"/>
            </w:pPr>
            <w:r>
              <w:t>288.00</w:t>
            </w:r>
          </w:p>
        </w:tc>
        <w:tc>
          <w:tcPr>
            <w:tcW w:w="1131" w:type="dxa"/>
          </w:tcPr>
          <w:p w14:paraId="313E6837" w14:textId="77777777" w:rsidR="001921D2" w:rsidRDefault="00000000">
            <w:pPr>
              <w:pStyle w:val="Compact"/>
            </w:pPr>
            <w:r>
              <w:t>7491.14</w:t>
            </w:r>
          </w:p>
        </w:tc>
        <w:tc>
          <w:tcPr>
            <w:tcW w:w="1131" w:type="dxa"/>
          </w:tcPr>
          <w:p w14:paraId="4230CFEF" w14:textId="77777777" w:rsidR="001921D2" w:rsidRDefault="00000000">
            <w:pPr>
              <w:pStyle w:val="Compact"/>
            </w:pPr>
            <w:r>
              <w:t>1.0000</w:t>
            </w:r>
          </w:p>
        </w:tc>
        <w:tc>
          <w:tcPr>
            <w:tcW w:w="1131" w:type="dxa"/>
          </w:tcPr>
          <w:p w14:paraId="65A5E860" w14:textId="77777777" w:rsidR="001921D2" w:rsidRDefault="00000000">
            <w:pPr>
              <w:pStyle w:val="Compact"/>
            </w:pPr>
            <w:r>
              <w:t>100.00%</w:t>
            </w:r>
          </w:p>
        </w:tc>
      </w:tr>
      <w:tr w:rsidR="001921D2" w14:paraId="734DB8AA" w14:textId="77777777">
        <w:tc>
          <w:tcPr>
            <w:tcW w:w="1131" w:type="dxa"/>
          </w:tcPr>
          <w:p w14:paraId="66E13FB7" w14:textId="77777777" w:rsidR="001921D2" w:rsidRDefault="00000000">
            <w:pPr>
              <w:pStyle w:val="Compact"/>
            </w:pPr>
            <w:r>
              <w:t>Local Threshold Only</w:t>
            </w:r>
          </w:p>
        </w:tc>
        <w:tc>
          <w:tcPr>
            <w:tcW w:w="1131" w:type="dxa"/>
          </w:tcPr>
          <w:p w14:paraId="6A562CEA" w14:textId="77777777" w:rsidR="001921D2" w:rsidRDefault="00000000">
            <w:pPr>
              <w:pStyle w:val="Compact"/>
            </w:pPr>
            <w:r>
              <w:t>1958.05</w:t>
            </w:r>
          </w:p>
        </w:tc>
        <w:tc>
          <w:tcPr>
            <w:tcW w:w="1131" w:type="dxa"/>
          </w:tcPr>
          <w:p w14:paraId="0705FA42" w14:textId="77777777" w:rsidR="001921D2" w:rsidRDefault="00000000">
            <w:pPr>
              <w:pStyle w:val="Compact"/>
            </w:pPr>
            <w:r>
              <w:t>2257</w:t>
            </w:r>
          </w:p>
        </w:tc>
        <w:tc>
          <w:tcPr>
            <w:tcW w:w="1131" w:type="dxa"/>
          </w:tcPr>
          <w:p w14:paraId="0B5E6303" w14:textId="77777777" w:rsidR="001921D2" w:rsidRDefault="00000000">
            <w:pPr>
              <w:pStyle w:val="Compact"/>
            </w:pPr>
            <w:r>
              <w:t>147.60</w:t>
            </w:r>
          </w:p>
        </w:tc>
        <w:tc>
          <w:tcPr>
            <w:tcW w:w="1131" w:type="dxa"/>
          </w:tcPr>
          <w:p w14:paraId="3F0923EF" w14:textId="77777777" w:rsidR="001921D2" w:rsidRDefault="00000000">
            <w:pPr>
              <w:pStyle w:val="Compact"/>
            </w:pPr>
            <w:r>
              <w:t>7367.57</w:t>
            </w:r>
          </w:p>
        </w:tc>
        <w:tc>
          <w:tcPr>
            <w:tcW w:w="1131" w:type="dxa"/>
          </w:tcPr>
          <w:p w14:paraId="5CB46A5A" w14:textId="77777777" w:rsidR="001921D2" w:rsidRDefault="00000000">
            <w:pPr>
              <w:pStyle w:val="Compact"/>
            </w:pPr>
            <w:r>
              <w:t>1.9513</w:t>
            </w:r>
          </w:p>
        </w:tc>
        <w:tc>
          <w:tcPr>
            <w:tcW w:w="1131" w:type="dxa"/>
          </w:tcPr>
          <w:p w14:paraId="1060F96E" w14:textId="77777777" w:rsidR="001921D2" w:rsidRDefault="00000000">
            <w:pPr>
              <w:pStyle w:val="Compact"/>
            </w:pPr>
            <w:r>
              <w:t>95.30%</w:t>
            </w:r>
          </w:p>
        </w:tc>
      </w:tr>
      <w:tr w:rsidR="001921D2" w14:paraId="1FF908B7" w14:textId="77777777">
        <w:tc>
          <w:tcPr>
            <w:tcW w:w="1131" w:type="dxa"/>
          </w:tcPr>
          <w:p w14:paraId="07B24B72" w14:textId="77777777" w:rsidR="001921D2" w:rsidRDefault="00000000">
            <w:pPr>
              <w:pStyle w:val="Compact"/>
            </w:pPr>
            <w:r>
              <w:t>Global Threshold Only</w:t>
            </w:r>
          </w:p>
        </w:tc>
        <w:tc>
          <w:tcPr>
            <w:tcW w:w="1131" w:type="dxa"/>
          </w:tcPr>
          <w:p w14:paraId="5E05074A" w14:textId="77777777" w:rsidR="001921D2" w:rsidRDefault="00000000">
            <w:pPr>
              <w:pStyle w:val="Compact"/>
            </w:pPr>
            <w:r>
              <w:t>1977.54</w:t>
            </w:r>
          </w:p>
        </w:tc>
        <w:tc>
          <w:tcPr>
            <w:tcW w:w="1131" w:type="dxa"/>
          </w:tcPr>
          <w:p w14:paraId="01F5888A" w14:textId="77777777" w:rsidR="001921D2" w:rsidRDefault="00000000">
            <w:pPr>
              <w:pStyle w:val="Compact"/>
            </w:pPr>
            <w:r>
              <w:t>2251</w:t>
            </w:r>
          </w:p>
        </w:tc>
        <w:tc>
          <w:tcPr>
            <w:tcW w:w="1131" w:type="dxa"/>
          </w:tcPr>
          <w:p w14:paraId="4383C3C4" w14:textId="77777777" w:rsidR="001921D2" w:rsidRDefault="00000000">
            <w:pPr>
              <w:pStyle w:val="Compact"/>
            </w:pPr>
            <w:r>
              <w:t>147.20</w:t>
            </w:r>
          </w:p>
        </w:tc>
        <w:tc>
          <w:tcPr>
            <w:tcW w:w="1131" w:type="dxa"/>
          </w:tcPr>
          <w:p w14:paraId="30FA016F" w14:textId="77777777" w:rsidR="001921D2" w:rsidRDefault="00000000">
            <w:pPr>
              <w:pStyle w:val="Compact"/>
            </w:pPr>
            <w:r>
              <w:t>7409.42</w:t>
            </w:r>
          </w:p>
        </w:tc>
        <w:tc>
          <w:tcPr>
            <w:tcW w:w="1131" w:type="dxa"/>
          </w:tcPr>
          <w:p w14:paraId="0215D7E5" w14:textId="77777777" w:rsidR="001921D2" w:rsidRDefault="00000000">
            <w:pPr>
              <w:pStyle w:val="Compact"/>
            </w:pPr>
            <w:r>
              <w:t>1.9565</w:t>
            </w:r>
          </w:p>
        </w:tc>
        <w:tc>
          <w:tcPr>
            <w:tcW w:w="1131" w:type="dxa"/>
          </w:tcPr>
          <w:p w14:paraId="1B081421" w14:textId="77777777" w:rsidR="001921D2" w:rsidRDefault="00000000">
            <w:pPr>
              <w:pStyle w:val="Compact"/>
            </w:pPr>
            <w:r>
              <w:t>96.25%</w:t>
            </w:r>
          </w:p>
        </w:tc>
      </w:tr>
      <w:tr w:rsidR="001921D2" w14:paraId="550FB15A" w14:textId="77777777">
        <w:tc>
          <w:tcPr>
            <w:tcW w:w="1131" w:type="dxa"/>
          </w:tcPr>
          <w:p w14:paraId="2FD00CFA" w14:textId="77777777" w:rsidR="001921D2" w:rsidRDefault="00000000">
            <w:pPr>
              <w:pStyle w:val="Compact"/>
            </w:pPr>
            <w:r>
              <w:t>Short-scale Only</w:t>
            </w:r>
          </w:p>
        </w:tc>
        <w:tc>
          <w:tcPr>
            <w:tcW w:w="1131" w:type="dxa"/>
          </w:tcPr>
          <w:p w14:paraId="5B8EAB02" w14:textId="77777777" w:rsidR="001921D2" w:rsidRDefault="00000000">
            <w:pPr>
              <w:pStyle w:val="Compact"/>
            </w:pPr>
            <w:r>
              <w:t>1951.74</w:t>
            </w:r>
          </w:p>
        </w:tc>
        <w:tc>
          <w:tcPr>
            <w:tcW w:w="1131" w:type="dxa"/>
          </w:tcPr>
          <w:p w14:paraId="0B4363EA" w14:textId="77777777" w:rsidR="001921D2" w:rsidRDefault="00000000">
            <w:pPr>
              <w:pStyle w:val="Compact"/>
            </w:pPr>
            <w:r>
              <w:t>2122</w:t>
            </w:r>
          </w:p>
        </w:tc>
        <w:tc>
          <w:tcPr>
            <w:tcW w:w="1131" w:type="dxa"/>
          </w:tcPr>
          <w:p w14:paraId="335CC8F9" w14:textId="77777777" w:rsidR="001921D2" w:rsidRDefault="00000000">
            <w:pPr>
              <w:pStyle w:val="Compact"/>
            </w:pPr>
            <w:r>
              <w:t>138.77</w:t>
            </w:r>
          </w:p>
        </w:tc>
        <w:tc>
          <w:tcPr>
            <w:tcW w:w="1131" w:type="dxa"/>
          </w:tcPr>
          <w:p w14:paraId="0996BE72" w14:textId="77777777" w:rsidR="001921D2" w:rsidRDefault="00000000">
            <w:pPr>
              <w:pStyle w:val="Compact"/>
            </w:pPr>
            <w:r>
              <w:t>7407.03</w:t>
            </w:r>
          </w:p>
        </w:tc>
        <w:tc>
          <w:tcPr>
            <w:tcW w:w="1131" w:type="dxa"/>
          </w:tcPr>
          <w:p w14:paraId="7714C18D" w14:textId="77777777" w:rsidR="001921D2" w:rsidRDefault="00000000">
            <w:pPr>
              <w:pStyle w:val="Compact"/>
            </w:pPr>
            <w:r>
              <w:t>2.0754</w:t>
            </w:r>
          </w:p>
        </w:tc>
        <w:tc>
          <w:tcPr>
            <w:tcW w:w="1131" w:type="dxa"/>
          </w:tcPr>
          <w:p w14:paraId="72522984" w14:textId="77777777" w:rsidR="001921D2" w:rsidRDefault="00000000">
            <w:pPr>
              <w:pStyle w:val="Compact"/>
            </w:pPr>
            <w:r>
              <w:t>94.99%</w:t>
            </w:r>
          </w:p>
        </w:tc>
      </w:tr>
      <w:tr w:rsidR="001921D2" w14:paraId="514A5C2E" w14:textId="77777777">
        <w:tc>
          <w:tcPr>
            <w:tcW w:w="1131" w:type="dxa"/>
          </w:tcPr>
          <w:p w14:paraId="5613A209" w14:textId="77777777" w:rsidR="001921D2" w:rsidRDefault="00000000">
            <w:pPr>
              <w:pStyle w:val="Compact"/>
            </w:pPr>
            <w:r>
              <w:t>Medium-scale Only</w:t>
            </w:r>
          </w:p>
        </w:tc>
        <w:tc>
          <w:tcPr>
            <w:tcW w:w="1131" w:type="dxa"/>
          </w:tcPr>
          <w:p w14:paraId="4A3C1307" w14:textId="77777777" w:rsidR="001921D2" w:rsidRDefault="00000000">
            <w:pPr>
              <w:pStyle w:val="Compact"/>
            </w:pPr>
            <w:r>
              <w:t>2041.96</w:t>
            </w:r>
          </w:p>
        </w:tc>
        <w:tc>
          <w:tcPr>
            <w:tcW w:w="1131" w:type="dxa"/>
          </w:tcPr>
          <w:p w14:paraId="7DB2D2A0" w14:textId="77777777" w:rsidR="001921D2" w:rsidRDefault="00000000">
            <w:pPr>
              <w:pStyle w:val="Compact"/>
            </w:pPr>
            <w:r>
              <w:t>3891</w:t>
            </w:r>
          </w:p>
        </w:tc>
        <w:tc>
          <w:tcPr>
            <w:tcW w:w="1131" w:type="dxa"/>
          </w:tcPr>
          <w:p w14:paraId="50473138" w14:textId="77777777" w:rsidR="001921D2" w:rsidRDefault="00000000">
            <w:pPr>
              <w:pStyle w:val="Compact"/>
            </w:pPr>
            <w:r>
              <w:t>254.45</w:t>
            </w:r>
          </w:p>
        </w:tc>
        <w:tc>
          <w:tcPr>
            <w:tcW w:w="1131" w:type="dxa"/>
          </w:tcPr>
          <w:p w14:paraId="56381D2A" w14:textId="77777777" w:rsidR="001921D2" w:rsidRDefault="00000000">
            <w:pPr>
              <w:pStyle w:val="Compact"/>
            </w:pPr>
            <w:r>
              <w:t>7484.70</w:t>
            </w:r>
          </w:p>
        </w:tc>
        <w:tc>
          <w:tcPr>
            <w:tcW w:w="1131" w:type="dxa"/>
          </w:tcPr>
          <w:p w14:paraId="41C3BCB5" w14:textId="77777777" w:rsidR="001921D2" w:rsidRDefault="00000000">
            <w:pPr>
              <w:pStyle w:val="Compact"/>
            </w:pPr>
            <w:r>
              <w:t>1.1318</w:t>
            </w:r>
          </w:p>
        </w:tc>
        <w:tc>
          <w:tcPr>
            <w:tcW w:w="1131" w:type="dxa"/>
          </w:tcPr>
          <w:p w14:paraId="0D2B4D8A" w14:textId="77777777" w:rsidR="001921D2" w:rsidRDefault="00000000">
            <w:pPr>
              <w:pStyle w:val="Compact"/>
            </w:pPr>
            <w:r>
              <w:t>99.38%</w:t>
            </w:r>
          </w:p>
        </w:tc>
      </w:tr>
      <w:tr w:rsidR="001921D2" w14:paraId="2E1C3A4A" w14:textId="77777777">
        <w:tc>
          <w:tcPr>
            <w:tcW w:w="1131" w:type="dxa"/>
          </w:tcPr>
          <w:p w14:paraId="2CBF41A1" w14:textId="77777777" w:rsidR="001921D2" w:rsidRDefault="00000000">
            <w:pPr>
              <w:pStyle w:val="Compact"/>
            </w:pPr>
            <w:r>
              <w:t>Long-scale Only</w:t>
            </w:r>
          </w:p>
        </w:tc>
        <w:tc>
          <w:tcPr>
            <w:tcW w:w="1131" w:type="dxa"/>
          </w:tcPr>
          <w:p w14:paraId="40458D10" w14:textId="77777777" w:rsidR="001921D2" w:rsidRDefault="00000000">
            <w:pPr>
              <w:pStyle w:val="Compact"/>
            </w:pPr>
            <w:r>
              <w:t>2032.01</w:t>
            </w:r>
          </w:p>
        </w:tc>
        <w:tc>
          <w:tcPr>
            <w:tcW w:w="1131" w:type="dxa"/>
          </w:tcPr>
          <w:p w14:paraId="474174E8" w14:textId="77777777" w:rsidR="001921D2" w:rsidRDefault="00000000">
            <w:pPr>
              <w:pStyle w:val="Compact"/>
            </w:pPr>
            <w:r>
              <w:t>4334</w:t>
            </w:r>
          </w:p>
        </w:tc>
        <w:tc>
          <w:tcPr>
            <w:tcW w:w="1131" w:type="dxa"/>
          </w:tcPr>
          <w:p w14:paraId="352EB6CF" w14:textId="77777777" w:rsidR="001921D2" w:rsidRDefault="00000000">
            <w:pPr>
              <w:pStyle w:val="Compact"/>
            </w:pPr>
            <w:r>
              <w:t>283.42</w:t>
            </w:r>
          </w:p>
        </w:tc>
        <w:tc>
          <w:tcPr>
            <w:tcW w:w="1131" w:type="dxa"/>
          </w:tcPr>
          <w:p w14:paraId="5C27E476" w14:textId="77777777" w:rsidR="001921D2" w:rsidRDefault="00000000">
            <w:pPr>
              <w:pStyle w:val="Compact"/>
            </w:pPr>
            <w:r>
              <w:t>7431.26</w:t>
            </w:r>
          </w:p>
        </w:tc>
        <w:tc>
          <w:tcPr>
            <w:tcW w:w="1131" w:type="dxa"/>
          </w:tcPr>
          <w:p w14:paraId="017464BA" w14:textId="77777777" w:rsidR="001921D2" w:rsidRDefault="00000000">
            <w:pPr>
              <w:pStyle w:val="Compact"/>
            </w:pPr>
            <w:r>
              <w:t>1.0162</w:t>
            </w:r>
          </w:p>
        </w:tc>
        <w:tc>
          <w:tcPr>
            <w:tcW w:w="1131" w:type="dxa"/>
          </w:tcPr>
          <w:p w14:paraId="6948EF96" w14:textId="77777777" w:rsidR="001921D2" w:rsidRDefault="00000000">
            <w:pPr>
              <w:pStyle w:val="Compact"/>
            </w:pPr>
            <w:r>
              <w:t>98.90%</w:t>
            </w:r>
          </w:p>
        </w:tc>
      </w:tr>
      <w:tr w:rsidR="001921D2" w14:paraId="16A9ACF8" w14:textId="77777777">
        <w:tc>
          <w:tcPr>
            <w:tcW w:w="1131" w:type="dxa"/>
          </w:tcPr>
          <w:p w14:paraId="0BF5044D" w14:textId="77777777" w:rsidR="001921D2" w:rsidRDefault="00000000">
            <w:pPr>
              <w:pStyle w:val="Compact"/>
            </w:pPr>
            <w:r>
              <w:rPr>
                <w:b/>
                <w:bCs/>
              </w:rPr>
              <w:t>Full ET-</w:t>
            </w:r>
            <w:r>
              <w:rPr>
                <w:b/>
                <w:bCs/>
              </w:rPr>
              <w:lastRenderedPageBreak/>
              <w:t>PRL (Ours)</w:t>
            </w:r>
          </w:p>
        </w:tc>
        <w:tc>
          <w:tcPr>
            <w:tcW w:w="1131" w:type="dxa"/>
          </w:tcPr>
          <w:p w14:paraId="51B2A22A" w14:textId="77777777" w:rsidR="001921D2" w:rsidRDefault="00000000">
            <w:pPr>
              <w:pStyle w:val="Compact"/>
            </w:pPr>
            <w:r>
              <w:rPr>
                <w:b/>
                <w:bCs/>
              </w:rPr>
              <w:lastRenderedPageBreak/>
              <w:t>1939.74</w:t>
            </w:r>
          </w:p>
        </w:tc>
        <w:tc>
          <w:tcPr>
            <w:tcW w:w="1131" w:type="dxa"/>
          </w:tcPr>
          <w:p w14:paraId="4D03F4D5" w14:textId="77777777" w:rsidR="001921D2" w:rsidRDefault="00000000">
            <w:pPr>
              <w:pStyle w:val="Compact"/>
            </w:pPr>
            <w:r>
              <w:rPr>
                <w:b/>
                <w:bCs/>
              </w:rPr>
              <w:t>2046</w:t>
            </w:r>
          </w:p>
        </w:tc>
        <w:tc>
          <w:tcPr>
            <w:tcW w:w="1131" w:type="dxa"/>
          </w:tcPr>
          <w:p w14:paraId="2BD46579" w14:textId="77777777" w:rsidR="001921D2" w:rsidRDefault="00000000">
            <w:pPr>
              <w:pStyle w:val="Compact"/>
            </w:pPr>
            <w:r>
              <w:rPr>
                <w:b/>
                <w:bCs/>
              </w:rPr>
              <w:t>133.80</w:t>
            </w:r>
          </w:p>
        </w:tc>
        <w:tc>
          <w:tcPr>
            <w:tcW w:w="1131" w:type="dxa"/>
          </w:tcPr>
          <w:p w14:paraId="0E45A17C" w14:textId="77777777" w:rsidR="001921D2" w:rsidRDefault="00000000">
            <w:pPr>
              <w:pStyle w:val="Compact"/>
            </w:pPr>
            <w:r>
              <w:rPr>
                <w:b/>
                <w:bCs/>
              </w:rPr>
              <w:t>7331.85</w:t>
            </w:r>
          </w:p>
        </w:tc>
        <w:tc>
          <w:tcPr>
            <w:tcW w:w="1131" w:type="dxa"/>
          </w:tcPr>
          <w:p w14:paraId="2050D350" w14:textId="77777777" w:rsidR="001921D2" w:rsidRDefault="00000000">
            <w:pPr>
              <w:pStyle w:val="Compact"/>
            </w:pPr>
            <w:r>
              <w:rPr>
                <w:b/>
                <w:bCs/>
              </w:rPr>
              <w:t>2.1525</w:t>
            </w:r>
          </w:p>
        </w:tc>
        <w:tc>
          <w:tcPr>
            <w:tcW w:w="1131" w:type="dxa"/>
          </w:tcPr>
          <w:p w14:paraId="57C75F8E" w14:textId="77777777" w:rsidR="001921D2" w:rsidRDefault="00000000">
            <w:pPr>
              <w:pStyle w:val="Compact"/>
            </w:pPr>
            <w:r>
              <w:rPr>
                <w:b/>
                <w:bCs/>
              </w:rPr>
              <w:t>94.41%</w:t>
            </w:r>
          </w:p>
        </w:tc>
      </w:tr>
    </w:tbl>
    <w:p w14:paraId="065D6C88" w14:textId="77777777" w:rsidR="001921D2" w:rsidRDefault="00000000">
      <w:pPr>
        <w:pStyle w:val="CaptionedFigure"/>
      </w:pPr>
      <w:r>
        <w:rPr>
          <w:noProof/>
        </w:rPr>
        <w:drawing>
          <wp:inline distT="0" distB="0" distL="0" distR="0" wp14:anchorId="124F06A6" wp14:editId="7CBECCA4">
            <wp:extent cx="5334000" cy="3823771"/>
            <wp:effectExtent l="0" t="0" r="0" b="0"/>
            <wp:docPr id="45" name="Picture" descr="图10 消融策略多目标权衡散点图"/>
            <wp:cNvGraphicFramePr/>
            <a:graphic xmlns:a="http://schemas.openxmlformats.org/drawingml/2006/main">
              <a:graphicData uri="http://schemas.openxmlformats.org/drawingml/2006/picture">
                <pic:pic xmlns:pic="http://schemas.openxmlformats.org/drawingml/2006/picture">
                  <pic:nvPicPr>
                    <pic:cNvPr id="46" name="Picture" descr="../pics/fig11_ablation_pareto_scatter.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823771"/>
                    </a:xfrm>
                    <a:prstGeom prst="rect">
                      <a:avLst/>
                    </a:prstGeom>
                    <a:noFill/>
                    <a:ln w="9525">
                      <a:noFill/>
                      <a:headEnd/>
                      <a:tailEnd/>
                    </a:ln>
                  </pic:spPr>
                </pic:pic>
              </a:graphicData>
            </a:graphic>
          </wp:inline>
        </w:drawing>
      </w:r>
    </w:p>
    <w:p w14:paraId="491946FE" w14:textId="77777777" w:rsidR="001921D2" w:rsidRDefault="00000000">
      <w:pPr>
        <w:pStyle w:val="ImageCaption"/>
      </w:pPr>
      <w:r>
        <w:rPr>
          <w:rFonts w:hint="eastAsia"/>
        </w:rPr>
        <w:t>图</w:t>
      </w:r>
      <w:r>
        <w:rPr>
          <w:rFonts w:hint="eastAsia"/>
        </w:rPr>
        <w:t>10</w:t>
      </w:r>
      <w:r>
        <w:t xml:space="preserve"> </w:t>
      </w:r>
      <w:r>
        <w:rPr>
          <w:rFonts w:hint="eastAsia"/>
        </w:rPr>
        <w:t>消融策略多目标权衡散点图</w:t>
      </w:r>
    </w:p>
    <w:p w14:paraId="69C550D8" w14:textId="77777777" w:rsidR="001921D2" w:rsidRDefault="00000000">
      <w:pPr>
        <w:pStyle w:val="a0"/>
      </w:pPr>
      <w:r>
        <w:rPr>
          <w:rFonts w:hint="eastAsia"/>
        </w:rPr>
        <w:t>图</w:t>
      </w:r>
      <w:r>
        <w:rPr>
          <w:rFonts w:hint="eastAsia"/>
        </w:rPr>
        <w:t>10</w:t>
      </w:r>
      <w:r>
        <w:t xml:space="preserve">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51BB4EC0" w14:textId="77777777" w:rsidR="001921D2" w:rsidRDefault="00000000">
      <w:pPr>
        <w:pStyle w:val="a0"/>
      </w:pPr>
      <w:r>
        <w:rPr>
          <w:rFonts w:hint="eastAsia"/>
        </w:rPr>
        <w:t>由图</w:t>
      </w:r>
      <w:r>
        <w:rPr>
          <w:rFonts w:hint="eastAsia"/>
        </w:rPr>
        <w:t>10</w:t>
      </w:r>
      <w:r>
        <w:t xml:space="preserve">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19C90540" w14:textId="77777777" w:rsidR="001921D2" w:rsidRDefault="00000000">
      <w:pPr>
        <w:pStyle w:val="a0"/>
      </w:pPr>
      <w:r>
        <w:rPr>
          <w:rFonts w:hint="eastAsia"/>
        </w:rPr>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w:t>
      </w:r>
      <w:r>
        <w:lastRenderedPageBreak/>
        <w:t xml:space="preserve">7431.26 </w:t>
      </w:r>
      <w:r>
        <w:rPr>
          <w:rFonts w:hint="eastAsia"/>
        </w:rPr>
        <w:t>kWh/day</w:t>
      </w:r>
      <w:r>
        <w:rPr>
          <w:rFonts w:hint="eastAsia"/>
        </w:rPr>
        <w:t>）。该组结果表明，单一尺度统计难以同时兼顾短时扰动响应与长期漂移纠偏。</w:t>
      </w:r>
    </w:p>
    <w:p w14:paraId="4FDB387F" w14:textId="77777777" w:rsidR="001921D2" w:rsidRDefault="00000000">
      <w:pPr>
        <w:pStyle w:val="a0"/>
      </w:pPr>
      <w:r>
        <w:rPr>
          <w:rFonts w:hint="eastAsia"/>
        </w:rPr>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附近），并使机组持续运行于偏离最优</w:t>
      </w:r>
      <w:r>
        <w:t xml:space="preserve"> COP </w:t>
      </w:r>
      <w:r>
        <w:rPr>
          <w:rFonts w:hint="eastAsia"/>
        </w:rPr>
        <w:t>的工况，最终表现为日均能耗上升。</w:t>
      </w:r>
      <w:r>
        <w:rPr>
          <w:rFonts w:hint="eastAsia"/>
        </w:rPr>
        <w:t>Full</w:t>
      </w:r>
      <w:r>
        <w:t xml:space="preserve"> ET-PRL </w:t>
      </w:r>
      <w:r>
        <w:rPr>
          <w:rFonts w:hint="eastAsia"/>
        </w:rPr>
        <w:t>通过引入中长尺度分数，为紧凑状态智能体提供隐式历史信息补偿，能够将慢性设备衰退与季节漂移重新识别为需干预事件，从而在季节尺度上维持全局能效下界。</w:t>
      </w:r>
    </w:p>
    <w:p w14:paraId="28134E95" w14:textId="77777777" w:rsidR="001921D2"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07BA79EE" w14:textId="77777777" w:rsidR="001921D2" w:rsidRDefault="00000000">
      <w:pPr>
        <w:pStyle w:val="a0"/>
      </w:pPr>
      <w:r>
        <w:rPr>
          <w:rFonts w:hint="eastAsia"/>
        </w:rPr>
        <w:t>（</w:t>
      </w:r>
      <w:r>
        <w:rPr>
          <w:rFonts w:hint="eastAsia"/>
        </w:rPr>
        <w:t>5</w:t>
      </w:r>
      <w:r>
        <w:rPr>
          <w:rFonts w:hint="eastAsia"/>
        </w:rPr>
        <w:t>）参数敏感性分析</w:t>
      </w:r>
    </w:p>
    <w:p w14:paraId="17E46419" w14:textId="77777777" w:rsidR="001921D2" w:rsidRDefault="00000000">
      <w:pPr>
        <w:pStyle w:val="a0"/>
      </w:pPr>
      <w:r>
        <w:rPr>
          <w:rFonts w:hint="eastAsia"/>
        </w:rPr>
        <w:t>为评估</w:t>
      </w:r>
      <w:r>
        <w:t xml:space="preserve"> ET-PRL </w:t>
      </w:r>
      <w:r>
        <w:rPr>
          <w:rFonts w:hint="eastAsia"/>
        </w:rPr>
        <w:t>门控机制对超参数扰动的稳健性，本文对在线异常门控关键参数开展敏感性分析。结合第</w:t>
      </w:r>
      <w:r>
        <w:t xml:space="preserve"> 3.1 </w:t>
      </w:r>
      <w:r>
        <w:rPr>
          <w:rFonts w:hint="eastAsia"/>
        </w:rPr>
        <w:t>节与第</w:t>
      </w:r>
      <w:r>
        <w:t xml:space="preserve"> 3.2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2FE0D53F" w14:textId="77777777" w:rsidR="001921D2"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5F619446" w14:textId="77777777" w:rsidR="001921D2" w:rsidRDefault="00000000">
      <w:pPr>
        <w:pStyle w:val="a0"/>
      </w:pPr>
      <w:r>
        <w:rPr>
          <w:rFonts w:hint="eastAsia"/>
        </w:rPr>
        <w:lastRenderedPageBreak/>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3D8218B9" w14:textId="77777777" w:rsidR="001921D2" w:rsidRDefault="00000000">
      <w:pPr>
        <w:pStyle w:val="a0"/>
      </w:pPr>
      <w:r>
        <w:rPr>
          <w:rFonts w:hint="eastAsia"/>
        </w:rPr>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42FB3C23" w14:textId="77777777" w:rsidR="001921D2"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3B3ED6C5" w14:textId="77777777" w:rsidR="001921D2" w:rsidRDefault="00000000">
      <w:pPr>
        <w:pStyle w:val="a0"/>
      </w:pPr>
      <w:r>
        <w:rPr>
          <w:rFonts w:hint="eastAsia"/>
        </w:rPr>
        <w:t>如图</w:t>
      </w:r>
      <w:r>
        <w:rPr>
          <w:rFonts w:hint="eastAsia"/>
        </w:rPr>
        <w:t>11</w:t>
      </w:r>
      <w:r>
        <w:t xml:space="preserve">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74C2050D" w14:textId="77777777" w:rsidR="001921D2" w:rsidRDefault="00000000">
      <w:pPr>
        <w:pStyle w:val="CaptionedFigure"/>
      </w:pPr>
      <w:r>
        <w:rPr>
          <w:noProof/>
        </w:rPr>
        <w:drawing>
          <wp:inline distT="0" distB="0" distL="0" distR="0" wp14:anchorId="3EBDB494" wp14:editId="0EC55521">
            <wp:extent cx="5334000" cy="2771472"/>
            <wp:effectExtent l="0" t="0" r="0" b="0"/>
            <wp:docPr id="48" name="Picture" descr="图11 门控关键参数敏感性与近最优解域"/>
            <wp:cNvGraphicFramePr/>
            <a:graphic xmlns:a="http://schemas.openxmlformats.org/drawingml/2006/main">
              <a:graphicData uri="http://schemas.openxmlformats.org/drawingml/2006/picture">
                <pic:pic xmlns:pic="http://schemas.openxmlformats.org/drawingml/2006/picture">
                  <pic:nvPicPr>
                    <pic:cNvPr id="49" name="Picture" descr="../pics/fig12_gate_key_parameter_sensitivity.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334000" cy="2771472"/>
                    </a:xfrm>
                    <a:prstGeom prst="rect">
                      <a:avLst/>
                    </a:prstGeom>
                    <a:noFill/>
                    <a:ln w="9525">
                      <a:noFill/>
                      <a:headEnd/>
                      <a:tailEnd/>
                    </a:ln>
                  </pic:spPr>
                </pic:pic>
              </a:graphicData>
            </a:graphic>
          </wp:inline>
        </w:drawing>
      </w:r>
    </w:p>
    <w:p w14:paraId="5248BA7C" w14:textId="77777777" w:rsidR="001921D2" w:rsidRDefault="00000000">
      <w:pPr>
        <w:pStyle w:val="ImageCaption"/>
      </w:pPr>
      <w:r>
        <w:rPr>
          <w:rFonts w:hint="eastAsia"/>
        </w:rPr>
        <w:t>图</w:t>
      </w:r>
      <w:r>
        <w:rPr>
          <w:rFonts w:hint="eastAsia"/>
        </w:rPr>
        <w:t>11</w:t>
      </w:r>
      <w:r>
        <w:t xml:space="preserve"> </w:t>
      </w:r>
      <w:r>
        <w:rPr>
          <w:rFonts w:hint="eastAsia"/>
        </w:rPr>
        <w:t>门控关键参数敏感性与近最优解域</w:t>
      </w:r>
    </w:p>
    <w:p w14:paraId="4B26FD24" w14:textId="77777777" w:rsidR="001921D2" w:rsidRDefault="00000000">
      <w:pPr>
        <w:pStyle w:val="a0"/>
      </w:pPr>
      <w:r>
        <w:rPr>
          <w:rFonts w:hint="eastAsia"/>
        </w:rPr>
        <w:t>图</w:t>
      </w:r>
      <w:r>
        <w:rPr>
          <w:rFonts w:hint="eastAsia"/>
        </w:rPr>
        <w:t>11</w:t>
      </w:r>
      <w:r>
        <w:t xml:space="preserve"> </w:t>
      </w:r>
      <w:r>
        <w:rPr>
          <w:rFonts w:hint="eastAsia"/>
        </w:rPr>
        <w:t>门控关键参数敏感性与近最优解域</w:t>
      </w:r>
    </w:p>
    <w:p w14:paraId="31CA1C9B" w14:textId="77777777" w:rsidR="001921D2"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w:t>
      </w:r>
      <w:r>
        <w:rPr>
          <w:rFonts w:hint="eastAsia"/>
        </w:rPr>
        <w:lastRenderedPageBreak/>
        <w:t>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31B82793" w14:textId="77777777" w:rsidR="001921D2" w:rsidRDefault="00000000">
      <w:pPr>
        <w:pStyle w:val="1"/>
      </w:pPr>
      <w:bookmarkStart w:id="15" w:name="总结"/>
      <w:bookmarkEnd w:id="12"/>
      <w:bookmarkEnd w:id="14"/>
      <w:r>
        <w:t xml:space="preserve">6. </w:t>
      </w:r>
      <w:r>
        <w:rPr>
          <w:rFonts w:hint="eastAsia"/>
        </w:rPr>
        <w:t>总结</w:t>
      </w:r>
    </w:p>
    <w:p w14:paraId="00D2EDE6" w14:textId="77777777" w:rsidR="001921D2" w:rsidRDefault="00000000">
      <w:pPr>
        <w:pStyle w:val="1"/>
      </w:pPr>
      <w:bookmarkStart w:id="16" w:name="附录-a-评价指标体系与优化方向"/>
      <w:bookmarkEnd w:id="15"/>
      <w:r>
        <w:rPr>
          <w:rFonts w:hint="eastAsia"/>
        </w:rPr>
        <w:t>附录</w:t>
      </w:r>
      <w:r>
        <w:t xml:space="preserve"> A </w:t>
      </w:r>
      <w:r>
        <w:rPr>
          <w:rFonts w:hint="eastAsia"/>
        </w:rPr>
        <w:t>评价指标体系与优化方向</w:t>
      </w:r>
    </w:p>
    <w:p w14:paraId="36FD4C93" w14:textId="77777777" w:rsidR="001921D2" w:rsidRDefault="00000000">
      <w:pPr>
        <w:pStyle w:val="FirstParagraph"/>
      </w:pPr>
      <w:r>
        <w:rPr>
          <w:rFonts w:hint="eastAsia"/>
        </w:rPr>
        <w:t>表</w:t>
      </w:r>
      <w:r>
        <w:t xml:space="preserve"> A </w:t>
      </w:r>
      <w:r>
        <w:rPr>
          <w:rFonts w:hint="eastAsia"/>
        </w:rPr>
        <w:t>评价指标体系与优化方向</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1921D2" w14:paraId="52CDEE63" w14:textId="77777777" w:rsidTr="001921D2">
        <w:trPr>
          <w:cnfStyle w:val="100000000000" w:firstRow="1" w:lastRow="0" w:firstColumn="0" w:lastColumn="0" w:oddVBand="0" w:evenVBand="0" w:oddHBand="0" w:evenHBand="0" w:firstRowFirstColumn="0" w:firstRowLastColumn="0" w:lastRowFirstColumn="0" w:lastRowLastColumn="0"/>
          <w:tblHeader/>
        </w:trPr>
        <w:tc>
          <w:tcPr>
            <w:tcW w:w="1584" w:type="dxa"/>
          </w:tcPr>
          <w:p w14:paraId="2E6F69D6" w14:textId="77777777" w:rsidR="001921D2" w:rsidRDefault="00000000">
            <w:pPr>
              <w:pStyle w:val="Compact"/>
            </w:pPr>
            <w:r>
              <w:rPr>
                <w:rFonts w:hint="eastAsia"/>
                <w:b/>
                <w:bCs/>
              </w:rPr>
              <w:t>类别</w:t>
            </w:r>
            <w:r>
              <w:rPr>
                <w:b/>
                <w:bCs/>
              </w:rPr>
              <w:t xml:space="preserve"> (Category)</w:t>
            </w:r>
          </w:p>
        </w:tc>
        <w:tc>
          <w:tcPr>
            <w:tcW w:w="1584" w:type="dxa"/>
          </w:tcPr>
          <w:p w14:paraId="033C1229" w14:textId="77777777" w:rsidR="001921D2" w:rsidRDefault="00000000">
            <w:pPr>
              <w:pStyle w:val="Compact"/>
            </w:pPr>
            <w:r>
              <w:rPr>
                <w:rFonts w:hint="eastAsia"/>
                <w:b/>
                <w:bCs/>
              </w:rPr>
              <w:t>指标名称</w:t>
            </w:r>
            <w:r>
              <w:rPr>
                <w:b/>
                <w:bCs/>
              </w:rPr>
              <w:t xml:space="preserve"> (Metric)</w:t>
            </w:r>
          </w:p>
        </w:tc>
        <w:tc>
          <w:tcPr>
            <w:tcW w:w="1584" w:type="dxa"/>
          </w:tcPr>
          <w:p w14:paraId="32915316" w14:textId="77777777" w:rsidR="001921D2" w:rsidRDefault="00000000">
            <w:pPr>
              <w:pStyle w:val="Compact"/>
            </w:pPr>
            <w:r>
              <w:rPr>
                <w:rFonts w:hint="eastAsia"/>
                <w:b/>
                <w:bCs/>
              </w:rPr>
              <w:t>符号</w:t>
            </w:r>
            <w:r>
              <w:rPr>
                <w:b/>
                <w:bCs/>
              </w:rPr>
              <w:t xml:space="preserve"> (Symbol)</w:t>
            </w:r>
          </w:p>
        </w:tc>
        <w:tc>
          <w:tcPr>
            <w:tcW w:w="1584" w:type="dxa"/>
          </w:tcPr>
          <w:p w14:paraId="0C2D4292" w14:textId="77777777" w:rsidR="001921D2" w:rsidRDefault="00000000">
            <w:pPr>
              <w:pStyle w:val="Compact"/>
            </w:pPr>
            <w:r>
              <w:rPr>
                <w:rFonts w:hint="eastAsia"/>
                <w:b/>
                <w:bCs/>
              </w:rPr>
              <w:t>单位</w:t>
            </w:r>
            <w:r>
              <w:rPr>
                <w:b/>
                <w:bCs/>
              </w:rPr>
              <w:t xml:space="preserve"> (Unit)</w:t>
            </w:r>
          </w:p>
        </w:tc>
        <w:tc>
          <w:tcPr>
            <w:tcW w:w="1584" w:type="dxa"/>
          </w:tcPr>
          <w:p w14:paraId="3F5FA1C6" w14:textId="77777777" w:rsidR="001921D2" w:rsidRDefault="00000000">
            <w:pPr>
              <w:pStyle w:val="Compact"/>
            </w:pPr>
            <w:r>
              <w:rPr>
                <w:rFonts w:hint="eastAsia"/>
                <w:b/>
                <w:bCs/>
              </w:rPr>
              <w:t>优化目标</w:t>
            </w:r>
            <w:r>
              <w:rPr>
                <w:b/>
                <w:bCs/>
              </w:rPr>
              <w:t xml:space="preserve"> (Goal)</w:t>
            </w:r>
          </w:p>
        </w:tc>
      </w:tr>
      <w:tr w:rsidR="001921D2" w14:paraId="4A7E3379" w14:textId="77777777">
        <w:tc>
          <w:tcPr>
            <w:tcW w:w="1584" w:type="dxa"/>
          </w:tcPr>
          <w:p w14:paraId="413F346A" w14:textId="77777777" w:rsidR="001921D2" w:rsidRDefault="00000000">
            <w:pPr>
              <w:pStyle w:val="Compact"/>
            </w:pPr>
            <w:r>
              <w:rPr>
                <w:rFonts w:hint="eastAsia"/>
                <w:b/>
                <w:bCs/>
              </w:rPr>
              <w:t>能耗效率</w:t>
            </w:r>
          </w:p>
        </w:tc>
        <w:tc>
          <w:tcPr>
            <w:tcW w:w="1584" w:type="dxa"/>
          </w:tcPr>
          <w:p w14:paraId="30CAA84A" w14:textId="77777777" w:rsidR="001921D2" w:rsidRDefault="00000000">
            <w:pPr>
              <w:pStyle w:val="Compact"/>
            </w:pPr>
            <w:r>
              <w:rPr>
                <w:rFonts w:hint="eastAsia"/>
              </w:rPr>
              <w:t>日均能耗</w:t>
            </w:r>
          </w:p>
        </w:tc>
        <w:tc>
          <w:tcPr>
            <w:tcW w:w="1584" w:type="dxa"/>
          </w:tcPr>
          <w:p w14:paraId="69A6FA4B" w14:textId="77777777" w:rsidR="001921D2"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Pr>
          <w:p w14:paraId="45DD002A" w14:textId="77777777" w:rsidR="001921D2" w:rsidRDefault="00000000">
            <w:pPr>
              <w:pStyle w:val="Compact"/>
            </w:pPr>
            <w:r>
              <w:t>kWh/day</w:t>
            </w:r>
          </w:p>
        </w:tc>
        <w:tc>
          <w:tcPr>
            <w:tcW w:w="1584" w:type="dxa"/>
          </w:tcPr>
          <w:p w14:paraId="4A5C1AD5" w14:textId="77777777" w:rsidR="001921D2" w:rsidRDefault="00000000">
            <w:pPr>
              <w:pStyle w:val="Compact"/>
            </w:pPr>
            <w:r>
              <w:t>Minimize</w:t>
            </w:r>
          </w:p>
        </w:tc>
      </w:tr>
      <w:tr w:rsidR="001921D2" w14:paraId="450E64FE" w14:textId="77777777">
        <w:tc>
          <w:tcPr>
            <w:tcW w:w="1584" w:type="dxa"/>
          </w:tcPr>
          <w:p w14:paraId="6689777B" w14:textId="77777777" w:rsidR="001921D2" w:rsidRDefault="001921D2">
            <w:pPr>
              <w:pStyle w:val="Compact"/>
            </w:pPr>
          </w:p>
        </w:tc>
        <w:tc>
          <w:tcPr>
            <w:tcW w:w="1584" w:type="dxa"/>
          </w:tcPr>
          <w:p w14:paraId="42B9914F" w14:textId="77777777" w:rsidR="001921D2" w:rsidRDefault="00000000">
            <w:pPr>
              <w:pStyle w:val="Compact"/>
            </w:pPr>
            <w:r>
              <w:rPr>
                <w:rFonts w:hint="eastAsia"/>
              </w:rPr>
              <w:t>相对节能率</w:t>
            </w:r>
          </w:p>
        </w:tc>
        <w:tc>
          <w:tcPr>
            <w:tcW w:w="1584" w:type="dxa"/>
          </w:tcPr>
          <w:p w14:paraId="6408658E" w14:textId="77777777" w:rsidR="001921D2"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Pr>
          <w:p w14:paraId="312CDAF8" w14:textId="77777777" w:rsidR="001921D2" w:rsidRDefault="00000000">
            <w:pPr>
              <w:pStyle w:val="Compact"/>
            </w:pPr>
            <w:r>
              <w:t>%</w:t>
            </w:r>
          </w:p>
        </w:tc>
        <w:tc>
          <w:tcPr>
            <w:tcW w:w="1584" w:type="dxa"/>
          </w:tcPr>
          <w:p w14:paraId="20D92287" w14:textId="77777777" w:rsidR="001921D2" w:rsidRDefault="00000000">
            <w:pPr>
              <w:pStyle w:val="Compact"/>
            </w:pPr>
            <w:r>
              <w:t>Maximize</w:t>
            </w:r>
          </w:p>
        </w:tc>
      </w:tr>
      <w:tr w:rsidR="001921D2" w14:paraId="610A67ED" w14:textId="77777777">
        <w:tc>
          <w:tcPr>
            <w:tcW w:w="1584" w:type="dxa"/>
          </w:tcPr>
          <w:p w14:paraId="544536D8" w14:textId="77777777" w:rsidR="001921D2" w:rsidRDefault="001921D2">
            <w:pPr>
              <w:pStyle w:val="Compact"/>
            </w:pPr>
          </w:p>
        </w:tc>
        <w:tc>
          <w:tcPr>
            <w:tcW w:w="1584" w:type="dxa"/>
          </w:tcPr>
          <w:p w14:paraId="7E55DCC0" w14:textId="77777777" w:rsidR="001921D2" w:rsidRDefault="00000000">
            <w:pPr>
              <w:pStyle w:val="Compact"/>
            </w:pPr>
            <w:r>
              <w:rPr>
                <w:rFonts w:hint="eastAsia"/>
              </w:rPr>
              <w:t>平均冷机功率</w:t>
            </w:r>
          </w:p>
        </w:tc>
        <w:tc>
          <w:tcPr>
            <w:tcW w:w="1584" w:type="dxa"/>
          </w:tcPr>
          <w:p w14:paraId="3F029B40" w14:textId="77777777" w:rsidR="001921D2"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Pr>
          <w:p w14:paraId="620AB67F" w14:textId="77777777" w:rsidR="001921D2" w:rsidRDefault="00000000">
            <w:pPr>
              <w:pStyle w:val="Compact"/>
            </w:pPr>
            <w:r>
              <w:t>kW</w:t>
            </w:r>
          </w:p>
        </w:tc>
        <w:tc>
          <w:tcPr>
            <w:tcW w:w="1584" w:type="dxa"/>
          </w:tcPr>
          <w:p w14:paraId="50081495" w14:textId="77777777" w:rsidR="001921D2" w:rsidRDefault="00000000">
            <w:pPr>
              <w:pStyle w:val="Compact"/>
            </w:pPr>
            <w:r>
              <w:t>Minimize</w:t>
            </w:r>
          </w:p>
        </w:tc>
      </w:tr>
      <w:tr w:rsidR="001921D2" w14:paraId="0B6D14C5" w14:textId="77777777">
        <w:tc>
          <w:tcPr>
            <w:tcW w:w="1584" w:type="dxa"/>
          </w:tcPr>
          <w:p w14:paraId="6741DA18" w14:textId="77777777" w:rsidR="001921D2" w:rsidRDefault="00000000">
            <w:pPr>
              <w:pStyle w:val="Compact"/>
            </w:pPr>
            <w:r>
              <w:rPr>
                <w:rFonts w:hint="eastAsia"/>
                <w:b/>
                <w:bCs/>
              </w:rPr>
              <w:t>温度控制</w:t>
            </w:r>
          </w:p>
        </w:tc>
        <w:tc>
          <w:tcPr>
            <w:tcW w:w="1584" w:type="dxa"/>
          </w:tcPr>
          <w:p w14:paraId="6458B33E" w14:textId="77777777" w:rsidR="001921D2" w:rsidRDefault="00000000">
            <w:pPr>
              <w:pStyle w:val="Compact"/>
            </w:pPr>
            <w:r>
              <w:rPr>
                <w:rFonts w:hint="eastAsia"/>
              </w:rPr>
              <w:t>动作平滑度</w:t>
            </w:r>
          </w:p>
        </w:tc>
        <w:tc>
          <w:tcPr>
            <w:tcW w:w="1584" w:type="dxa"/>
          </w:tcPr>
          <w:p w14:paraId="39E13A46" w14:textId="77777777" w:rsidR="001921D2"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1584" w:type="dxa"/>
          </w:tcPr>
          <w:p w14:paraId="108566B9" w14:textId="77777777" w:rsidR="001921D2" w:rsidRDefault="00000000">
            <w:pPr>
              <w:pStyle w:val="Compact"/>
            </w:pPr>
            <w:r>
              <w:t>-</w:t>
            </w:r>
          </w:p>
        </w:tc>
        <w:tc>
          <w:tcPr>
            <w:tcW w:w="1584" w:type="dxa"/>
          </w:tcPr>
          <w:p w14:paraId="68C29222" w14:textId="77777777" w:rsidR="001921D2" w:rsidRDefault="00000000">
            <w:pPr>
              <w:pStyle w:val="Compact"/>
            </w:pPr>
            <w:r>
              <w:t>Minimize</w:t>
            </w:r>
          </w:p>
        </w:tc>
      </w:tr>
      <w:tr w:rsidR="001921D2" w14:paraId="1DB6FBE6" w14:textId="77777777">
        <w:tc>
          <w:tcPr>
            <w:tcW w:w="1584" w:type="dxa"/>
          </w:tcPr>
          <w:p w14:paraId="72C28B0D" w14:textId="77777777" w:rsidR="001921D2" w:rsidRDefault="001921D2">
            <w:pPr>
              <w:pStyle w:val="Compact"/>
            </w:pPr>
          </w:p>
        </w:tc>
        <w:tc>
          <w:tcPr>
            <w:tcW w:w="1584" w:type="dxa"/>
          </w:tcPr>
          <w:p w14:paraId="2C5D687C" w14:textId="77777777" w:rsidR="001921D2" w:rsidRDefault="00000000">
            <w:pPr>
              <w:pStyle w:val="Compact"/>
            </w:pPr>
            <w:r>
              <w:rPr>
                <w:rFonts w:hint="eastAsia"/>
              </w:rPr>
              <w:t>性能保持率</w:t>
            </w:r>
          </w:p>
        </w:tc>
        <w:tc>
          <w:tcPr>
            <w:tcW w:w="1584" w:type="dxa"/>
          </w:tcPr>
          <w:p w14:paraId="167E3324" w14:textId="77777777" w:rsidR="001921D2" w:rsidRDefault="00000000">
            <w:pPr>
              <w:pStyle w:val="Compact"/>
            </w:pPr>
            <w:r>
              <w:t>PPR</w:t>
            </w:r>
          </w:p>
        </w:tc>
        <w:tc>
          <w:tcPr>
            <w:tcW w:w="1584" w:type="dxa"/>
          </w:tcPr>
          <w:p w14:paraId="027CBA9B" w14:textId="77777777" w:rsidR="001921D2" w:rsidRDefault="00000000">
            <w:pPr>
              <w:pStyle w:val="Compact"/>
            </w:pPr>
            <w:r>
              <w:t>%</w:t>
            </w:r>
          </w:p>
        </w:tc>
        <w:tc>
          <w:tcPr>
            <w:tcW w:w="1584" w:type="dxa"/>
          </w:tcPr>
          <w:p w14:paraId="060F8D93" w14:textId="77777777" w:rsidR="001921D2" w:rsidRDefault="00000000">
            <w:pPr>
              <w:pStyle w:val="Compact"/>
            </w:pPr>
            <w:r>
              <w:t>Maximize</w:t>
            </w:r>
          </w:p>
        </w:tc>
      </w:tr>
      <w:tr w:rsidR="001921D2" w14:paraId="34D3F897" w14:textId="77777777">
        <w:tc>
          <w:tcPr>
            <w:tcW w:w="1584" w:type="dxa"/>
          </w:tcPr>
          <w:p w14:paraId="0FEA7992" w14:textId="77777777" w:rsidR="001921D2" w:rsidRDefault="00000000">
            <w:pPr>
              <w:pStyle w:val="Compact"/>
            </w:pPr>
            <w:r>
              <w:rPr>
                <w:rFonts w:hint="eastAsia"/>
                <w:b/>
                <w:bCs/>
              </w:rPr>
              <w:t>控制稀疏性</w:t>
            </w:r>
          </w:p>
        </w:tc>
        <w:tc>
          <w:tcPr>
            <w:tcW w:w="1584" w:type="dxa"/>
          </w:tcPr>
          <w:p w14:paraId="31468429" w14:textId="77777777" w:rsidR="001921D2" w:rsidRDefault="00000000">
            <w:pPr>
              <w:pStyle w:val="Compact"/>
            </w:pPr>
            <w:r>
              <w:rPr>
                <w:rFonts w:hint="eastAsia"/>
              </w:rPr>
              <w:t>日均触发次数</w:t>
            </w:r>
          </w:p>
        </w:tc>
        <w:tc>
          <w:tcPr>
            <w:tcW w:w="1584" w:type="dxa"/>
          </w:tcPr>
          <w:p w14:paraId="7948D7DE"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Pr>
          <w:p w14:paraId="7A8E6654" w14:textId="77777777" w:rsidR="001921D2" w:rsidRDefault="00000000">
            <w:pPr>
              <w:pStyle w:val="Compact"/>
            </w:pPr>
            <w:r>
              <w:t>count/day</w:t>
            </w:r>
          </w:p>
        </w:tc>
        <w:tc>
          <w:tcPr>
            <w:tcW w:w="1584" w:type="dxa"/>
          </w:tcPr>
          <w:p w14:paraId="43F8A4B8" w14:textId="77777777" w:rsidR="001921D2" w:rsidRDefault="00000000">
            <w:pPr>
              <w:pStyle w:val="Compact"/>
            </w:pPr>
            <w:r>
              <w:t>Minimize</w:t>
            </w:r>
          </w:p>
        </w:tc>
      </w:tr>
      <w:tr w:rsidR="001921D2" w14:paraId="773F38A7" w14:textId="77777777">
        <w:tc>
          <w:tcPr>
            <w:tcW w:w="1584" w:type="dxa"/>
          </w:tcPr>
          <w:p w14:paraId="42F49937" w14:textId="77777777" w:rsidR="001921D2" w:rsidRDefault="001921D2">
            <w:pPr>
              <w:pStyle w:val="Compact"/>
            </w:pPr>
          </w:p>
        </w:tc>
        <w:tc>
          <w:tcPr>
            <w:tcW w:w="1584" w:type="dxa"/>
          </w:tcPr>
          <w:p w14:paraId="3CA69D16" w14:textId="77777777" w:rsidR="001921D2" w:rsidRDefault="00000000">
            <w:pPr>
              <w:pStyle w:val="Compact"/>
            </w:pPr>
            <w:r>
              <w:rPr>
                <w:rFonts w:hint="eastAsia"/>
              </w:rPr>
              <w:t>动作更新总次数</w:t>
            </w:r>
          </w:p>
        </w:tc>
        <w:tc>
          <w:tcPr>
            <w:tcW w:w="1584" w:type="dxa"/>
          </w:tcPr>
          <w:p w14:paraId="5EE5211E" w14:textId="77777777" w:rsidR="001921D2"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Pr>
          <w:p w14:paraId="17346AB8" w14:textId="77777777" w:rsidR="001921D2" w:rsidRDefault="00000000">
            <w:pPr>
              <w:pStyle w:val="Compact"/>
            </w:pPr>
            <w:r>
              <w:t>count</w:t>
            </w:r>
          </w:p>
        </w:tc>
        <w:tc>
          <w:tcPr>
            <w:tcW w:w="1584" w:type="dxa"/>
          </w:tcPr>
          <w:p w14:paraId="50EEE11F" w14:textId="77777777" w:rsidR="001921D2" w:rsidRDefault="00000000">
            <w:pPr>
              <w:pStyle w:val="Compact"/>
            </w:pPr>
            <w:r>
              <w:t>Minimize</w:t>
            </w:r>
          </w:p>
        </w:tc>
      </w:tr>
      <w:tr w:rsidR="001921D2" w14:paraId="059C7FAF" w14:textId="77777777">
        <w:tc>
          <w:tcPr>
            <w:tcW w:w="1584" w:type="dxa"/>
          </w:tcPr>
          <w:p w14:paraId="4F6D4911" w14:textId="77777777" w:rsidR="001921D2" w:rsidRDefault="001921D2">
            <w:pPr>
              <w:pStyle w:val="Compact"/>
            </w:pPr>
          </w:p>
        </w:tc>
        <w:tc>
          <w:tcPr>
            <w:tcW w:w="1584" w:type="dxa"/>
          </w:tcPr>
          <w:p w14:paraId="2E98E852" w14:textId="77777777" w:rsidR="001921D2" w:rsidRDefault="00000000">
            <w:pPr>
              <w:pStyle w:val="Compact"/>
            </w:pPr>
            <w:r>
              <w:rPr>
                <w:rFonts w:hint="eastAsia"/>
              </w:rPr>
              <w:t>动作压缩比</w:t>
            </w:r>
          </w:p>
        </w:tc>
        <w:tc>
          <w:tcPr>
            <w:tcW w:w="1584" w:type="dxa"/>
          </w:tcPr>
          <w:p w14:paraId="3B154EC8" w14:textId="77777777" w:rsidR="001921D2" w:rsidRDefault="00000000">
            <w:pPr>
              <w:pStyle w:val="Compact"/>
            </w:pPr>
            <w:r>
              <w:t>ACR</w:t>
            </w:r>
          </w:p>
        </w:tc>
        <w:tc>
          <w:tcPr>
            <w:tcW w:w="1584" w:type="dxa"/>
          </w:tcPr>
          <w:p w14:paraId="3B7C22F4" w14:textId="77777777" w:rsidR="001921D2" w:rsidRDefault="00000000">
            <w:pPr>
              <w:pStyle w:val="Compact"/>
            </w:pPr>
            <w:r>
              <w:t>-</w:t>
            </w:r>
          </w:p>
        </w:tc>
        <w:tc>
          <w:tcPr>
            <w:tcW w:w="1584" w:type="dxa"/>
          </w:tcPr>
          <w:p w14:paraId="2455AB61" w14:textId="77777777" w:rsidR="001921D2" w:rsidRDefault="00000000">
            <w:pPr>
              <w:pStyle w:val="Compact"/>
            </w:pPr>
            <w:r>
              <w:t>Maximize</w:t>
            </w:r>
          </w:p>
        </w:tc>
      </w:tr>
      <w:tr w:rsidR="001921D2" w14:paraId="039AD721" w14:textId="77777777">
        <w:tc>
          <w:tcPr>
            <w:tcW w:w="1584" w:type="dxa"/>
          </w:tcPr>
          <w:p w14:paraId="5FDB0F13" w14:textId="77777777" w:rsidR="001921D2" w:rsidRDefault="001921D2">
            <w:pPr>
              <w:pStyle w:val="Compact"/>
            </w:pPr>
          </w:p>
        </w:tc>
        <w:tc>
          <w:tcPr>
            <w:tcW w:w="1584" w:type="dxa"/>
          </w:tcPr>
          <w:p w14:paraId="71DE3613" w14:textId="77777777" w:rsidR="001921D2" w:rsidRDefault="00000000">
            <w:pPr>
              <w:pStyle w:val="Compact"/>
            </w:pPr>
            <w:r>
              <w:rPr>
                <w:rFonts w:hint="eastAsia"/>
              </w:rPr>
              <w:t>动作减少率</w:t>
            </w:r>
          </w:p>
        </w:tc>
        <w:tc>
          <w:tcPr>
            <w:tcW w:w="1584" w:type="dxa"/>
          </w:tcPr>
          <w:p w14:paraId="74CD5F80" w14:textId="77777777" w:rsidR="001921D2" w:rsidRDefault="00000000">
            <w:pPr>
              <w:pStyle w:val="Compact"/>
            </w:pPr>
            <w:r>
              <w:t>ARR</w:t>
            </w:r>
          </w:p>
        </w:tc>
        <w:tc>
          <w:tcPr>
            <w:tcW w:w="1584" w:type="dxa"/>
          </w:tcPr>
          <w:p w14:paraId="05D5A139" w14:textId="77777777" w:rsidR="001921D2" w:rsidRDefault="00000000">
            <w:pPr>
              <w:pStyle w:val="Compact"/>
            </w:pPr>
            <w:r>
              <w:t>%</w:t>
            </w:r>
          </w:p>
        </w:tc>
        <w:tc>
          <w:tcPr>
            <w:tcW w:w="1584" w:type="dxa"/>
          </w:tcPr>
          <w:p w14:paraId="6F96B496" w14:textId="77777777" w:rsidR="001921D2" w:rsidRDefault="00000000">
            <w:pPr>
              <w:pStyle w:val="Compact"/>
            </w:pPr>
            <w:r>
              <w:t>Maximize</w:t>
            </w:r>
          </w:p>
        </w:tc>
      </w:tr>
      <w:tr w:rsidR="001921D2" w14:paraId="66FA1DD7" w14:textId="77777777">
        <w:tc>
          <w:tcPr>
            <w:tcW w:w="1584" w:type="dxa"/>
          </w:tcPr>
          <w:p w14:paraId="663BD18C" w14:textId="77777777" w:rsidR="001921D2" w:rsidRDefault="00000000">
            <w:pPr>
              <w:pStyle w:val="Compact"/>
            </w:pPr>
            <w:r>
              <w:rPr>
                <w:rFonts w:hint="eastAsia"/>
                <w:b/>
                <w:bCs/>
              </w:rPr>
              <w:t>机制与执行效率</w:t>
            </w:r>
          </w:p>
        </w:tc>
        <w:tc>
          <w:tcPr>
            <w:tcW w:w="1584" w:type="dxa"/>
          </w:tcPr>
          <w:p w14:paraId="1FE2C96B" w14:textId="77777777" w:rsidR="001921D2" w:rsidRDefault="00000000">
            <w:pPr>
              <w:pStyle w:val="Compact"/>
            </w:pPr>
            <w:r>
              <w:rPr>
                <w:rFonts w:hint="eastAsia"/>
              </w:rPr>
              <w:t>总奖励</w:t>
            </w:r>
          </w:p>
        </w:tc>
        <w:tc>
          <w:tcPr>
            <w:tcW w:w="1584" w:type="dxa"/>
          </w:tcPr>
          <w:p w14:paraId="5A55D461" w14:textId="77777777" w:rsidR="001921D2"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Pr>
          <w:p w14:paraId="29C16428" w14:textId="77777777" w:rsidR="001921D2" w:rsidRDefault="00000000">
            <w:pPr>
              <w:pStyle w:val="Compact"/>
            </w:pPr>
            <w:r>
              <w:t>-</w:t>
            </w:r>
          </w:p>
        </w:tc>
        <w:tc>
          <w:tcPr>
            <w:tcW w:w="1584" w:type="dxa"/>
          </w:tcPr>
          <w:p w14:paraId="7B2C20FA" w14:textId="77777777" w:rsidR="001921D2" w:rsidRDefault="00000000">
            <w:pPr>
              <w:pStyle w:val="Compact"/>
            </w:pPr>
            <w:r>
              <w:t>Maximize</w:t>
            </w:r>
          </w:p>
        </w:tc>
      </w:tr>
      <w:tr w:rsidR="001921D2" w14:paraId="7C3EFBB2" w14:textId="77777777">
        <w:tc>
          <w:tcPr>
            <w:tcW w:w="1584" w:type="dxa"/>
          </w:tcPr>
          <w:p w14:paraId="2457A73C" w14:textId="77777777" w:rsidR="001921D2" w:rsidRDefault="00000000">
            <w:pPr>
              <w:pStyle w:val="Compact"/>
            </w:pPr>
            <w:r>
              <w:rPr>
                <w:rFonts w:hint="eastAsia"/>
                <w:b/>
                <w:bCs/>
              </w:rPr>
              <w:t>机制与执行效率</w:t>
            </w:r>
          </w:p>
        </w:tc>
        <w:tc>
          <w:tcPr>
            <w:tcW w:w="1584" w:type="dxa"/>
          </w:tcPr>
          <w:p w14:paraId="51B77260" w14:textId="77777777" w:rsidR="001921D2" w:rsidRDefault="00000000">
            <w:pPr>
              <w:pStyle w:val="Compact"/>
            </w:pPr>
            <w:r>
              <w:rPr>
                <w:rFonts w:hint="eastAsia"/>
              </w:rPr>
              <w:t>平均步奖励</w:t>
            </w:r>
          </w:p>
        </w:tc>
        <w:tc>
          <w:tcPr>
            <w:tcW w:w="1584" w:type="dxa"/>
          </w:tcPr>
          <w:p w14:paraId="05ABB4F4" w14:textId="77777777" w:rsidR="001921D2"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1584" w:type="dxa"/>
          </w:tcPr>
          <w:p w14:paraId="2749B395" w14:textId="77777777" w:rsidR="001921D2" w:rsidRDefault="00000000">
            <w:pPr>
              <w:pStyle w:val="Compact"/>
            </w:pPr>
            <w:r>
              <w:t>-</w:t>
            </w:r>
          </w:p>
        </w:tc>
        <w:tc>
          <w:tcPr>
            <w:tcW w:w="1584" w:type="dxa"/>
          </w:tcPr>
          <w:p w14:paraId="517B24C8" w14:textId="77777777" w:rsidR="001921D2" w:rsidRDefault="00000000">
            <w:pPr>
              <w:pStyle w:val="Compact"/>
            </w:pPr>
            <w:r>
              <w:t>Maximize</w:t>
            </w:r>
          </w:p>
        </w:tc>
      </w:tr>
    </w:tbl>
    <w:p w14:paraId="174AE336" w14:textId="77777777" w:rsidR="001921D2" w:rsidRDefault="00000000">
      <w:pPr>
        <w:pStyle w:val="1"/>
      </w:pPr>
      <w:bookmarkStart w:id="17" w:name="references"/>
      <w:bookmarkEnd w:id="16"/>
      <w:r>
        <w:t>References</w:t>
      </w:r>
    </w:p>
    <w:p w14:paraId="2EFB58B9" w14:textId="77777777" w:rsidR="001921D2" w:rsidRDefault="00000000">
      <w:pPr>
        <w:pStyle w:val="FirstParagraph"/>
      </w:pPr>
      <w:r>
        <w:t>[1] Arghand, Taha, et al. “Individually controlled localized chilled beam combined with chilled ceiling: Thermal environment.” Building and Environment 282 (2025): 113322.</w:t>
      </w:r>
    </w:p>
    <w:p w14:paraId="7B877D55" w14:textId="77777777" w:rsidR="001921D2" w:rsidRDefault="00000000">
      <w:pPr>
        <w:pStyle w:val="a0"/>
      </w:pPr>
      <w:r>
        <w:t>[2] Wu, Zeqing, et al. “AE-TD3 with adaptive expert guidance: towards responsive deep reinforcement learning for building HVAC control systems.” Energy and Buildings (2025): 116744.</w:t>
      </w:r>
    </w:p>
    <w:p w14:paraId="17E014B3" w14:textId="77777777" w:rsidR="001921D2" w:rsidRDefault="00000000">
      <w:pPr>
        <w:pStyle w:val="a0"/>
      </w:pPr>
      <w:r>
        <w:lastRenderedPageBreak/>
        <w:t>[3] Xia, Yihan, et al. “Federated accelerated deep reinforcement learning for multi-zone HVAC control in commercial buildings.” IEEE Transactions on Smart Grid 16.3 (2025): 2599-2610.</w:t>
      </w:r>
    </w:p>
    <w:p w14:paraId="0A86E362" w14:textId="77777777" w:rsidR="001921D2" w:rsidRDefault="00000000">
      <w:pPr>
        <w:pStyle w:val="a0"/>
      </w:pPr>
      <w:r>
        <w:t>[4] Wu, Zeqing, et al. “AE-TD3 with adaptive expert guidance: towards responsive deep reinforcement learning for building HVAC control systems.” Energy and Buildings (2025): 116744.</w:t>
      </w:r>
    </w:p>
    <w:p w14:paraId="73CDDD99" w14:textId="77777777" w:rsidR="001921D2"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3BBB1CDC" w14:textId="77777777" w:rsidR="001921D2" w:rsidRDefault="00000000">
      <w:pPr>
        <w:pStyle w:val="a0"/>
      </w:pPr>
      <w:r>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144EFB84" w14:textId="77777777" w:rsidR="001921D2" w:rsidRDefault="00000000">
      <w:pPr>
        <w:pStyle w:val="a0"/>
      </w:pPr>
      <w:r>
        <w:t>[7] Gu, Zhou, Ruiyan Cao, and Engang Tian. “Reinforcement learning-based event-triggered optimal control of power systems with control input saturation.” IEEE Transactions on Industrial Informatics 21.2 (2024): 1528-1536.</w:t>
      </w:r>
    </w:p>
    <w:p w14:paraId="3513B764" w14:textId="77777777" w:rsidR="001921D2" w:rsidRDefault="00000000">
      <w:pPr>
        <w:pStyle w:val="a0"/>
      </w:pPr>
      <w:r>
        <w:t>[8] Wang, Ke, Zhuo Tang, and Chaoxu Mu. “Dynamic event-triggered model-free reinforcement learning for cooperative control of multiagent systems.” IEEE Transactions on Reliability 74.3 (2024): 3166-3179.</w:t>
      </w:r>
    </w:p>
    <w:p w14:paraId="506F5942" w14:textId="77777777" w:rsidR="001921D2" w:rsidRDefault="00000000">
      <w:pPr>
        <w:pStyle w:val="a0"/>
      </w:pPr>
      <w:r>
        <w:t>[9] Fu, Qiming, et al. “ED-DQN: An event-driven deep reinforcement learning control method for multi-zone residential buildings.” Building and Environment 242 (2023): 110546.</w:t>
      </w:r>
    </w:p>
    <w:p w14:paraId="5AC02253" w14:textId="77777777" w:rsidR="001921D2" w:rsidRDefault="00000000">
      <w:pPr>
        <w:pStyle w:val="a0"/>
      </w:pPr>
      <w:r>
        <w:t>[10] Li, Wenzhuo, Hangxin Li, and Shengwei Wang. “An event-driven multi-agent based distributed optimal control strategy for HVAC systems in IoT-enabled smart buildings.” Automation in Construction 132 (2021): 103919.</w:t>
      </w:r>
    </w:p>
    <w:p w14:paraId="17F1B2D4" w14:textId="77777777" w:rsidR="001921D2"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2E663F57" w14:textId="77777777" w:rsidR="001921D2" w:rsidRDefault="00000000">
      <w:pPr>
        <w:pStyle w:val="a0"/>
      </w:pPr>
      <w:r>
        <w:t>[12] Chaya, P., et al. “Human-Centric Smart Energy Optimization and Automation System.” 2025 3rd International Conference on Intelligent Cyber Physical Systems and Internet of Things (ICoICI). IEEE, 2025.</w:t>
      </w:r>
    </w:p>
    <w:p w14:paraId="2398BBA8" w14:textId="77777777" w:rsidR="001921D2" w:rsidRDefault="00000000">
      <w:pPr>
        <w:pStyle w:val="a0"/>
      </w:pPr>
      <w:r>
        <w:t>[13] Choi, Youngsik, et al. “Optimization-informed rule extraction for HVAC system: A case study of dedicated outdoor air system control in a mixed-humid climate zone.” Energy and Buildings 295 (2023): 113295.</w:t>
      </w:r>
    </w:p>
    <w:p w14:paraId="3563E7B6" w14:textId="77777777" w:rsidR="001921D2" w:rsidRDefault="00000000">
      <w:pPr>
        <w:pStyle w:val="a0"/>
      </w:pPr>
      <w:r>
        <w:lastRenderedPageBreak/>
        <w:t>[14] Lee, Dongkyu, Jinhwa Jeong, and Young Tae Chae. “Application of deep reinforcement learning for proportional–integral–derivative controller tuning on air handling unit system in existing commercial building.” Buildings 14.1 (2023): 66.</w:t>
      </w:r>
    </w:p>
    <w:p w14:paraId="54BCF620" w14:textId="77777777" w:rsidR="001921D2"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703B0EA0" w14:textId="77777777" w:rsidR="001921D2" w:rsidRDefault="00000000">
      <w:pPr>
        <w:pStyle w:val="a0"/>
      </w:pPr>
      <w:r>
        <w:t>[16] Tang, Lingfeng, et al. “Deeply flexible commercial building HVAC system control: A physics-aware deep learning-embedded MPC approach.” Applied Energy 388 (2025): 125631.</w:t>
      </w:r>
    </w:p>
    <w:p w14:paraId="24AD0AA2" w14:textId="77777777" w:rsidR="001921D2" w:rsidRDefault="00000000">
      <w:pPr>
        <w:pStyle w:val="a0"/>
      </w:pPr>
      <w:r>
        <w:t>[17] Lu, Shengze, et al. “Exploring the comprehensive integration of artificial intelligence in optimizing HVAC system operations: A review and future outlook.” Results in Engineering 25 (2025): 103765.</w:t>
      </w:r>
    </w:p>
    <w:p w14:paraId="1D7DC218" w14:textId="77777777" w:rsidR="001921D2" w:rsidRDefault="00000000">
      <w:pPr>
        <w:pStyle w:val="a0"/>
      </w:pPr>
      <w:r>
        <w:t>[18] Fu, Qiming, et al. “Applications of reinforcement learning for building energy efficiency control: A review.” Journal of Building Engineering 50 (2022): 104165.</w:t>
      </w:r>
    </w:p>
    <w:p w14:paraId="7C8BD301" w14:textId="77777777" w:rsidR="001921D2" w:rsidRDefault="00000000">
      <w:pPr>
        <w:pStyle w:val="a0"/>
      </w:pPr>
      <w:r>
        <w:t>[19] Savino, Sabrina, et al. “Deploying deep reinforcement learning for low-level HVAC control in multi-zone buildings: A comparative study with ASHRAE G36 sequences.” Energy and Buildings (2025): 116456.</w:t>
      </w:r>
    </w:p>
    <w:p w14:paraId="1B2AC7B9" w14:textId="77777777" w:rsidR="001921D2"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533CCF82" w14:textId="77777777" w:rsidR="001921D2" w:rsidRDefault="00000000">
      <w:pPr>
        <w:pStyle w:val="a0"/>
      </w:pPr>
      <w:r>
        <w:t>[21] Zhuang, Dian, et al. “Data-driven predictive control for smart HVAC system in IoT-integrated buildings with time-series forecasting and reinforcement learning.” Applied Energy 338 (2023): 120936.</w:t>
      </w:r>
    </w:p>
    <w:p w14:paraId="5EF19D1E" w14:textId="77777777" w:rsidR="001921D2" w:rsidRDefault="00000000">
      <w:pPr>
        <w:pStyle w:val="a0"/>
      </w:pPr>
      <w:r>
        <w:t>[22] Manjavacas, Antonio, et al. “An experimental evaluation of deep reinforcement learning algorithms for HVAC control.” Artificial Intelligence Review 57.7 (2024): 173.</w:t>
      </w:r>
    </w:p>
    <w:p w14:paraId="76258181" w14:textId="77777777" w:rsidR="001921D2"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17E62A80" w14:textId="77777777" w:rsidR="001921D2" w:rsidRDefault="00000000">
      <w:pPr>
        <w:pStyle w:val="a0"/>
      </w:pPr>
      <w:r>
        <w:t>[24] Al Sayed, Khalil, et al. “Reinforcement learning for HVAC control in intelligent buildings: A technical and conceptual review.” Journal of Building Engineering 95 (2024): 110085.</w:t>
      </w:r>
    </w:p>
    <w:p w14:paraId="73F9350E" w14:textId="77777777" w:rsidR="001921D2" w:rsidRDefault="00000000">
      <w:pPr>
        <w:pStyle w:val="a0"/>
      </w:pPr>
      <w:r>
        <w:t>[25] He, Kun, et al. “Predictive control optimization of chiller plants based on deep reinforcement learning.” Journal of Building Engineering 76 (2023): 107158.</w:t>
      </w:r>
    </w:p>
    <w:p w14:paraId="3A756202" w14:textId="77777777" w:rsidR="001921D2" w:rsidRDefault="00000000">
      <w:pPr>
        <w:pStyle w:val="a0"/>
      </w:pPr>
      <w:r>
        <w:t>[26] Liu, Xinghua, et al. “Event-triggered load frequency control of smart grids under deception attacks.” IET Control Theory &amp; Applications 15.10 (2021): 1335-1345.</w:t>
      </w:r>
    </w:p>
    <w:p w14:paraId="443DAD62" w14:textId="77777777" w:rsidR="001921D2" w:rsidRDefault="00000000">
      <w:pPr>
        <w:pStyle w:val="a0"/>
      </w:pPr>
      <w:r>
        <w:lastRenderedPageBreak/>
        <w:t>[27] Xue, Zhouzhou, Zhaoxu Yu, and Shugang Li. “Event-triggered adaptive neural control for uncertain nontriangular nonlinear systems with time-varying delays.” International Journal of Control, Automation and Systems 20.12 (2022): 4090-4099.</w:t>
      </w:r>
    </w:p>
    <w:p w14:paraId="0D316D75" w14:textId="77777777" w:rsidR="001921D2" w:rsidRDefault="00000000">
      <w:pPr>
        <w:pStyle w:val="a0"/>
      </w:pPr>
      <w:r>
        <w:t>[28] Liu, Derong, et al. “Adaptive dynamic programming for control: A survey and recent advances.” IEEE Transactions on Systems, Man, and Cybernetics: Systems 51.1 (2020): 142-160.</w:t>
      </w:r>
    </w:p>
    <w:p w14:paraId="3C40E7B6" w14:textId="77777777" w:rsidR="001921D2" w:rsidRDefault="00000000">
      <w:pPr>
        <w:pStyle w:val="a0"/>
      </w:pPr>
      <w:r>
        <w:t>[29] Wang, Yuan, et al. “Dynamic event-triggered control for persistent dwell-time switched nonlinear multiagent systems with random packet loss.” IEEE Transactions on Systems, Man, and Cybernetics: Systems 54.4 (2023): 2045-2054.</w:t>
      </w:r>
      <w:bookmarkEnd w:id="17"/>
    </w:p>
    <w:sectPr w:rsidR="001921D2">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5-14T16:28:00Z" w:initials="MT">
    <w:p w14:paraId="3190CEA5" w14:textId="77777777" w:rsidR="00BA75FB" w:rsidRDefault="00BA75FB" w:rsidP="00BA75FB">
      <w:pPr>
        <w:pStyle w:val="af5"/>
      </w:pPr>
      <w:r>
        <w:rPr>
          <w:rStyle w:val="af4"/>
        </w:rPr>
        <w:annotationRef/>
      </w:r>
      <w:r>
        <w:rPr>
          <w:rFonts w:hint="eastAsia"/>
        </w:rPr>
        <w:t>修改示意图的描述</w:t>
      </w:r>
    </w:p>
  </w:comment>
  <w:comment w:id="6" w:author="Microsoft Tang" w:date="2026-05-14T16:31:00Z" w:initials="MT">
    <w:p w14:paraId="21B2FD6B" w14:textId="77777777" w:rsidR="00BA75FB" w:rsidRDefault="00BA75FB" w:rsidP="00BA75FB">
      <w:pPr>
        <w:pStyle w:val="af5"/>
      </w:pPr>
      <w:r>
        <w:rPr>
          <w:rStyle w:val="af4"/>
        </w:rPr>
        <w:annotationRef/>
      </w:r>
      <w:r>
        <w:rPr>
          <w:rFonts w:hint="eastAsia"/>
        </w:rPr>
        <w:t>从这里开始到</w:t>
      </w:r>
      <w:r>
        <w:t>3.3</w:t>
      </w:r>
      <w:r>
        <w:rPr>
          <w:rFonts w:hint="eastAsia"/>
        </w:rPr>
        <w:t>结束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90CEA5" w15:done="0"/>
  <w15:commentEx w15:paraId="21B2FD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5C5B2" w16cex:dateUtc="2026-05-14T08:28:00Z"/>
  <w16cex:commentExtensible w16cex:durableId="31DBF0DE" w16cex:dateUtc="2026-05-14T0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90CEA5" w16cid:durableId="4175C5B2"/>
  <w16cid:commentId w16cid:paraId="21B2FD6B" w16cid:durableId="31DBF0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E8140" w14:textId="77777777" w:rsidR="001E7F14" w:rsidRDefault="001E7F14" w:rsidP="00BA75FB">
      <w:pPr>
        <w:spacing w:after="0"/>
      </w:pPr>
      <w:r>
        <w:separator/>
      </w:r>
    </w:p>
  </w:endnote>
  <w:endnote w:type="continuationSeparator" w:id="0">
    <w:p w14:paraId="321340B7" w14:textId="77777777" w:rsidR="001E7F14" w:rsidRDefault="001E7F14" w:rsidP="00BA75F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4D7E9" w14:textId="77777777" w:rsidR="001E7F14" w:rsidRDefault="001E7F14" w:rsidP="00BA75FB">
      <w:pPr>
        <w:spacing w:after="0"/>
      </w:pPr>
      <w:r>
        <w:separator/>
      </w:r>
    </w:p>
  </w:footnote>
  <w:footnote w:type="continuationSeparator" w:id="0">
    <w:p w14:paraId="1A4EE73F" w14:textId="77777777" w:rsidR="001E7F14" w:rsidRDefault="001E7F14" w:rsidP="00BA75F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4D2FB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DA52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5A475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08655173">
    <w:abstractNumId w:val="0"/>
  </w:num>
  <w:num w:numId="2" w16cid:durableId="1814591974">
    <w:abstractNumId w:val="1"/>
  </w:num>
  <w:num w:numId="3" w16cid:durableId="141703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08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711093">
    <w:abstractNumId w:val="1"/>
  </w:num>
  <w:num w:numId="6" w16cid:durableId="894899587">
    <w:abstractNumId w:val="1"/>
  </w:num>
  <w:num w:numId="7" w16cid:durableId="908460294">
    <w:abstractNumId w:val="1"/>
  </w:num>
  <w:num w:numId="8" w16cid:durableId="81619316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921D2"/>
    <w:rsid w:val="001921D2"/>
    <w:rsid w:val="001E7F14"/>
    <w:rsid w:val="00713FB5"/>
    <w:rsid w:val="00BA75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1D1DAD"/>
  <w15:docId w15:val="{EF3FF311-9B3C-4476-A308-DE52FB9B0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BA75FB"/>
    <w:pPr>
      <w:tabs>
        <w:tab w:val="center" w:pos="4153"/>
        <w:tab w:val="right" w:pos="8306"/>
      </w:tabs>
      <w:snapToGrid w:val="0"/>
      <w:jc w:val="center"/>
    </w:pPr>
    <w:rPr>
      <w:sz w:val="18"/>
      <w:szCs w:val="18"/>
    </w:rPr>
  </w:style>
  <w:style w:type="character" w:customStyle="1" w:styleId="af1">
    <w:name w:val="页眉 字符"/>
    <w:basedOn w:val="a1"/>
    <w:link w:val="af0"/>
    <w:rsid w:val="00BA75FB"/>
    <w:rPr>
      <w:sz w:val="18"/>
      <w:szCs w:val="18"/>
    </w:rPr>
  </w:style>
  <w:style w:type="paragraph" w:styleId="af2">
    <w:name w:val="footer"/>
    <w:basedOn w:val="a"/>
    <w:link w:val="af3"/>
    <w:rsid w:val="00BA75FB"/>
    <w:pPr>
      <w:tabs>
        <w:tab w:val="center" w:pos="4153"/>
        <w:tab w:val="right" w:pos="8306"/>
      </w:tabs>
      <w:snapToGrid w:val="0"/>
    </w:pPr>
    <w:rPr>
      <w:sz w:val="18"/>
      <w:szCs w:val="18"/>
    </w:rPr>
  </w:style>
  <w:style w:type="character" w:customStyle="1" w:styleId="af3">
    <w:name w:val="页脚 字符"/>
    <w:basedOn w:val="a1"/>
    <w:link w:val="af2"/>
    <w:rsid w:val="00BA75FB"/>
    <w:rPr>
      <w:sz w:val="18"/>
      <w:szCs w:val="18"/>
    </w:rPr>
  </w:style>
  <w:style w:type="character" w:styleId="af4">
    <w:name w:val="annotation reference"/>
    <w:basedOn w:val="a1"/>
    <w:rsid w:val="00BA75FB"/>
    <w:rPr>
      <w:sz w:val="21"/>
      <w:szCs w:val="21"/>
    </w:rPr>
  </w:style>
  <w:style w:type="paragraph" w:styleId="af5">
    <w:name w:val="annotation text"/>
    <w:basedOn w:val="a"/>
    <w:link w:val="af6"/>
    <w:rsid w:val="00BA75FB"/>
  </w:style>
  <w:style w:type="character" w:customStyle="1" w:styleId="af6">
    <w:name w:val="批注文字 字符"/>
    <w:basedOn w:val="a1"/>
    <w:link w:val="af5"/>
    <w:rsid w:val="00BA75FB"/>
  </w:style>
  <w:style w:type="paragraph" w:styleId="af7">
    <w:name w:val="annotation subject"/>
    <w:basedOn w:val="af5"/>
    <w:next w:val="af5"/>
    <w:link w:val="af8"/>
    <w:rsid w:val="00BA75FB"/>
    <w:rPr>
      <w:b/>
      <w:bCs/>
    </w:rPr>
  </w:style>
  <w:style w:type="character" w:customStyle="1" w:styleId="af8">
    <w:name w:val="批注主题 字符"/>
    <w:basedOn w:val="af6"/>
    <w:link w:val="af7"/>
    <w:rsid w:val="00BA7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44</Pages>
  <Words>19764</Words>
  <Characters>49413</Characters>
  <Application>Microsoft Office Word</Application>
  <DocSecurity>0</DocSecurity>
  <Lines>1411</Lines>
  <Paragraphs>728</Paragraphs>
  <ScaleCrop>false</ScaleCrop>
  <Company/>
  <LinksUpToDate>false</LinksUpToDate>
  <CharactersWithSpaces>68449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2026-05-14T08:27:00Z</dcterms:created>
  <dcterms:modified xsi:type="dcterms:W3CDTF">2026-05-14T08:31:00Z</dcterms:modified>
</cp:coreProperties>
</file>