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svg" ContentType="image/svg+xml"/>
  <Override PartName="/word/media/rId21.svg" ContentType="image/svg+xml"/>
  <Override PartName="/word/media/rId26.svg" ContentType="image/svg+xml"/>
  <Override PartName="/word/media/rId30.svg" ContentType="image/svg+xml"/>
  <Override PartName="/word/media/rId33.svg" ContentType="image/svg+xml"/>
  <Override PartName="/word/media/rId36.svg" ContentType="image/svg+xml"/>
  <Override PartName="/word/media/rId39.svg" ContentType="image/svg+xml"/>
  <Override PartName="/word/media/rId42.svg" ContentType="image/svg+xml"/>
  <Override PartName="/word/media/rId4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动态事件触发的-hvac-强化学习预测控制方法"/>
    <w:p>
      <w:pPr>
        <w:pStyle w:val="Heading1"/>
      </w:pPr>
      <w:r>
        <w:rPr>
          <w:rFonts w:hint="eastAsia"/>
        </w:rPr>
        <w:t xml:space="preserve">基于动态事件触发的</w:t>
      </w:r>
      <w:r>
        <w:t xml:space="preserve"> HVAC </w:t>
      </w:r>
      <w:r>
        <w:rPr>
          <w:rFonts w:hint="eastAsia"/>
        </w:rPr>
        <w:t xml:space="preserve">强化学习预测控制方法</w:t>
      </w:r>
    </w:p>
    <w:bookmarkEnd w:id="9"/>
    <w:bookmarkStart w:id="10" w:name="引言"/>
    <w:p>
      <w:pPr>
        <w:pStyle w:val="Heading1"/>
      </w:pPr>
      <w:r>
        <w:t xml:space="preserve">1. </w:t>
      </w:r>
      <w:r>
        <w:rPr>
          <w:rFonts w:hint="eastAsia"/>
        </w:rPr>
        <w:t xml:space="preserve">引言</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50%，也是电力需求侧响应的关键调节资源。在中央空调系统中，冷水机组作为核心耗能部件，其运行效率直接决定了系统的整体性能。优化冷冻水供水温度（</w:t>
      </w:r>
      <m:oMath>
        <m:sSub>
          <m:e>
            <m:r>
              <m:t>T</m:t>
            </m:r>
          </m:e>
          <m:sub>
            <m:r>
              <m:rPr>
                <m:nor/>
                <m:sty m:val="p"/>
              </m:rPr>
              <m:t>chws</m:t>
            </m:r>
          </m:sub>
        </m:sSub>
      </m:oMath>
      <w:r>
        <w:rPr>
          <w:rFonts w:hint="eastAsia"/>
        </w:rPr>
        <w:t xml:space="preserve">）已被证明是平衡能耗与室内热舒适度的有效手段之一。然而，实际工程中的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However, in real engineering settings, building thermal load is affected by several changing factors, including outdoor weather, occupant activity, and equipment heat release, while the HVAC system is nonlinear, changes over time, and has strong thermal inertia with delayed response, which make HVAC control challenging.</w:t>
      </w:r>
    </w:p>
    <w:p>
      <w:pPr>
        <w:pStyle w:val="BodyText"/>
      </w:pPr>
      <w:r>
        <w:rPr>
          <w:rFonts w:hint="eastAsia"/>
        </w:rPr>
        <w:t xml:space="preserve">针对上述挑战，工业界与学术界长期依赖基于显式先验知识的控制范式。具体而言，以基于规则的控制（RBC）和比例</w:t>
      </w:r>
      <w:r>
        <w:t xml:space="preserve"> - </w:t>
      </w:r>
      <w:r>
        <w:rPr>
          <w:rFonts w:hint="eastAsia"/>
        </w:rPr>
        <w:t xml:space="preserve">积分</w:t>
      </w:r>
      <w:r>
        <w:t xml:space="preserve"> - </w:t>
      </w:r>
      <w:r>
        <w:rPr>
          <w:rFonts w:hint="eastAsia"/>
        </w:rPr>
        <w:t xml:space="preserve">微分（PID）为代表的传统方法，高度依赖工程师人工标定的静态参数与经验规则；而以模型预测控制（MPC）为代表的全局优化算法，则要求针对目标建筑构建高精度的机理或灰盒模型。尽管上述基于模型或显式规则的方法在特定稳态工况下表现良好，但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pPr>
        <w:pStyle w:val="BodyText"/>
      </w:pPr>
      <w:r>
        <w:t xml:space="preserve">For HVAC control optimization, both industry and academia have long relied on paradigms built on explicit prior knowledge. Traditional methods such as rule-based control (RBC) and proportional-integral-derivative (PID) control depend heavily on static parameters and empirical rules tuned by engineers. Although these methods can perform well under assumed steady conditions in the short term, they often degrade during long term operation in complex and changing environments. Model predictive control (MPC), in contrast, relies on accurate physical or gray box models tailored to each building. Developing and maintaining such models for individual buildings is time consuming and costly. As equipment ages and building thermal behavior shifts across seasons, fixed parameter models also become less reliable, which can reduce MPC effectiveness. Overall, both categories of traditional methods struggle to adapt to changing operating conditions.</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能够通过与复杂时变环境的直接交互，自主学习并适应非线性工况；结合时序特征的预测型</w:t>
      </w:r>
      <w:r>
        <w:t xml:space="preserve"> DRL </w:t>
      </w:r>
      <w:r>
        <w:rPr>
          <w:rFonts w:hint="eastAsia"/>
        </w:rPr>
        <w:t xml:space="preserve">进一步提升了智能体的前瞻预测能力，有效缓解了建筑大热惯性带来的控制滞后。然而，现有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这种固定频率驱动方式导致了响应速度与控制代价之间的固有矛盾：高频控制虽能迅速响应环境扰动，却会带来显著的计算开销与执行器机械磨损；低频控制虽能降低硬件损耗，却易造成控温精度下降。</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Predictive DRL further advances by using temporal features, which improves the agent’s ability to anticipate future changes and helps reduce the control lag caused by the large thermal inertia of buildings.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As a result, there is an inherent trade-off between response speed and control cost: frequent updates can react quickly to disturbances, but they also increase computation cost and actuator wear, while infrequent updates reduce wear but often hurt temperature control accuracy.</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ETC）机制应运而生。ETC</w:t>
      </w:r>
      <w:r>
        <w:t xml:space="preserve"> </w:t>
      </w:r>
      <w:r>
        <w:rPr>
          <w:rFonts w:hint="eastAsia"/>
        </w:rPr>
        <w:t xml:space="preserve">基于按需决策理念，仅在系统状态发生显著偏离时激活控制更新。这种稀疏控制机制有效突破了时间步长的硬性约束，为平衡响应速度与控制代价提供了可行途径。然而，现有</w:t>
      </w:r>
      <w:r>
        <w:t xml:space="preserve"> ETC </w:t>
      </w:r>
      <w:r>
        <w:rPr>
          <w:rFonts w:hint="eastAsia"/>
        </w:rPr>
        <w:t xml:space="preserve">方案主要依赖基于专家经验的静态规则，例如设定固定的温度死区或负荷波动阈值。静态触发机制在面对高度非线性且时变的真实建筑环境时缺乏动态适应能力，难以适应不同建筑的热惯性差异以及设备老化后的性能漂移，极易导致频繁误触发或控制响应迟滞现象。</w:t>
      </w:r>
    </w:p>
    <w:p>
      <w:pPr>
        <w:pStyle w:val="BodyText"/>
      </w:pPr>
      <w:r>
        <w:t xml:space="preserve">The event triggered control (ETC) mechanism was developed to reduce the extra computation and equipment wear caused by TTC. By following an on-demand decision making approach that updates the control system only when the system state changes significantly, ETC overcomes the constraint of TTC and provides a practical way to balance response speed and control cost. However, most existing ETC methods still rely on static rules set by experts, such as fixed temperature deadbands or load fluctuation thresholds. Such static triggering schemes cannot adapt well to real building environments that are highly nonlinear and time varying. They also struggle to handle differences in thermal inertia across buildings and performance drift caused by equipment aging leading to frequent false triggers or delayed control responses.</w:t>
      </w:r>
    </w:p>
    <w:p>
      <w:pPr>
        <w:pStyle w:val="BodyText"/>
      </w:pPr>
      <w:r>
        <w:rPr>
          <w:rFonts w:hint="eastAsia"/>
        </w:rPr>
        <w:t xml:space="preserve">基于上述动机，本文提出了一种结合时序预测与无监督动态事件触发的新型</w:t>
      </w:r>
      <w:r>
        <w:t xml:space="preserve"> HVAC </w:t>
      </w:r>
      <w:r>
        <w:rPr>
          <w:rFonts w:hint="eastAsia"/>
        </w:rPr>
        <w:t xml:space="preserve">控制框架（ET-PRL）。本文的主要贡献如下：</w:t>
      </w:r>
    </w:p>
    <w:p>
      <w:pPr>
        <w:pStyle w:val="BodyText"/>
      </w:pPr>
      <w:r>
        <w:t xml:space="preserve">Driven by these motivations, this paper proposes a new HVAC control framework that combines time series prediction with unsupervised dynamic event triggering (ET-PRL). ET-PRL employs a data-driven approach to dynamically learn triggering rules from operational data, enabling adaptive sensitivity across diverse building characteristics and operating conditions. By seamlessly integrating predictive features with an adaptive gating mechanism, the framework maintains full control capability during critical disturbances while suppressing redundant updates during stable periods.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框架中构建了融合多尺度异常追踪与双层自适应阈值的门控模块，摆脱了对静态人工规则的依赖，实现了对时变工况下非平稳扰动的自适应感知。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The ET-PRL framework builds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的深度耦合，有效克服了稀疏按需执行带来的状态观测盲区与预测能力缺失。</w:t>
      </w:r>
    </w:p>
    <w:p>
      <w:pPr>
        <w:numPr>
          <w:ilvl w:val="0"/>
          <w:numId w:val="1001"/>
        </w:numPr>
      </w:pPr>
      <w:r>
        <w:rPr>
          <w:b/>
          <w:bCs/>
        </w:rPr>
        <w:t xml:space="preserve">We construct a time decoupled, event driven predictive control architecture</w:t>
      </w:r>
      <w:r>
        <w:t xml:space="preserve">: The event gating mechanism is smoothly integrated into the predictive reinforcement learning framework. The policy network only turns on during critical disturbances and uses a zero order hold (ZOH) to maintain the control output during stable periods. By closely connecting with predictive state features, this design effectively solves the problems of observation blind spots and lost prediction ability caused by sparse, on demand execution.</w:t>
      </w:r>
    </w:p>
    <w:p>
      <w:pPr>
        <w:numPr>
          <w:ilvl w:val="0"/>
          <w:numId w:val="1001"/>
        </w:numPr>
      </w:pPr>
      <w:r>
        <w:rPr>
          <w:rFonts w:hint="eastAsia"/>
          <w:b/>
          <w:bCs/>
        </w:rPr>
        <w:t xml:space="preserve">实现控制精度与系统执行代价的有效折衷</w:t>
      </w:r>
      <w:r>
        <w:rPr>
          <w:rFonts w:hint="eastAsia"/>
        </w:rPr>
        <w:t xml:space="preserve">：基于真实冷水机组运行数据的综合评估表明，本文所提框架能够在可量化性能折衷范围内有效抑制平稳工况下的高频无效调节，并获得一定的节能收益。该实证结果不仅验证了按需控制机制在复杂非线性热力系统中的有效性，也为深度强化学习算法在实际工程中的低损耗边缘部署提供了可行的方案。</w:t>
      </w:r>
    </w:p>
    <w:p>
      <w:pPr>
        <w:numPr>
          <w:ilvl w:val="0"/>
          <w:numId w:val="1001"/>
        </w:numPr>
      </w:pPr>
      <w:r>
        <w:rPr>
          <w:b/>
          <w:bCs/>
        </w:rPr>
        <w:t xml:space="preserve">We achieve an effective balance between control accuracy and system execution cost</w:t>
      </w:r>
      <w:r>
        <w:t xml:space="preserve">: A thorough evaluation using real chiller operation data shows that our proposed framework can effectively stop high frequency, useless adjustments during stable conditions. It does this within a measurable performance range while also achieving noticeable energy savings. These real world results prove that on demand control mechanisms work well in complex nonlinear thermal systems. They also offer a practical way to deploy deep reinforcement learning algorithms with low equipment wear in real engineering projects.</w:t>
      </w:r>
    </w:p>
    <w:bookmarkEnd w:id="10"/>
    <w:bookmarkStart w:id="11" w:name="相关工作"/>
    <w:p>
      <w:pPr>
        <w:pStyle w:val="Heading1"/>
      </w:pPr>
      <w:r>
        <w:t xml:space="preserve">2. </w:t>
      </w:r>
      <w:r>
        <w:rPr>
          <w:rFonts w:hint="eastAsia"/>
        </w:rPr>
        <w:t xml:space="preserve">相关工作</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系统在能效优化与热舒适保障之间的协同控制长期面临工程挑战。为应对建筑能耗增长与运行稳定性要求，传统研究主要采用基于规则的控制（RBC）与比例</w:t>
      </w:r>
      <w:r>
        <w:t xml:space="preserve"> - </w:t>
      </w:r>
      <w:r>
        <w:rPr>
          <w:rFonts w:hint="eastAsia"/>
        </w:rPr>
        <w:t xml:space="preserve">积分</w:t>
      </w:r>
      <w:r>
        <w:t xml:space="preserve"> - </w:t>
      </w:r>
      <w:r>
        <w:rPr>
          <w:rFonts w:hint="eastAsia"/>
        </w:rPr>
        <w:t xml:space="preserve">微分（PID）等经典方法</w:t>
      </w:r>
      <w:r>
        <w:t xml:space="preserve"> </w:t>
      </w:r>
      <w:r>
        <w:rPr>
          <w:rFonts w:hint="eastAsia"/>
        </w:rPr>
        <w:t xml:space="preserve">[1]。其中，Choi</w:t>
      </w:r>
      <w:r>
        <w:t xml:space="preserve"> </w:t>
      </w:r>
      <w:r>
        <w:rPr>
          <w:rFonts w:hint="eastAsia"/>
        </w:rPr>
        <w:t xml:space="preserve">等</w:t>
      </w:r>
      <w:r>
        <w:t xml:space="preserve"> [2]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[3]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[4] </w:t>
      </w:r>
      <w:r>
        <w:rPr>
          <w:rFonts w:hint="eastAsia"/>
        </w:rPr>
        <w:t xml:space="preserve">进一步引入模糊控制思想，增强了传统控制器在特定工况下的适应能力。尽管这类方法在工业场景中部署便捷、可靠性高，但其核心仍依赖静态规则或线性反馈假设，难以充分刻画建筑热环境中的非线性耦合、时变扰动与大滞后特征，因而在复杂运维条件下往往难以同时兼顾节能与舒适性</w:t>
      </w:r>
      <w:r>
        <w:t xml:space="preserve"> [5]。</w:t>
      </w:r>
    </w:p>
    <w:p>
      <w:pPr>
        <w:pStyle w:val="BodyText"/>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 Choi et al. [2] improved the practicality of HVAC rule-based control through optimization-informed rule extraction. Lee et al. [3] used deep reinforcement learning to tune PID parameters and improve tracking performance. Chojecki et al. [4] further introduced fuzzy control to improve adaptability under specific operating conditions. Although these methods are easy to deploy and reliable in industrial settings, they still depend on static rules or linear feedback assumptions. As a result, they have limited ability to represent nonlinear coupling, time-varying disturbances, and long thermal delays in buildings, and they often struggle to maintain both energy savings and comfort under complex operation and maintenance conditions [5].</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智能控制的重要方向。Savino</w:t>
      </w:r>
      <w:r>
        <w:t xml:space="preserve"> </w:t>
      </w:r>
      <w:r>
        <w:rPr>
          <w:rFonts w:hint="eastAsia"/>
        </w:rPr>
        <w:t xml:space="preserve">等</w:t>
      </w:r>
      <w:r>
        <w:t xml:space="preserve"> [6] </w:t>
      </w:r>
      <w:r>
        <w:rPr>
          <w:rFonts w:hint="eastAsia"/>
        </w:rPr>
        <w:t xml:space="preserve">系统展示了深度强化学习在多区域底层控制中的应用潜力；Wang</w:t>
      </w:r>
      <w:r>
        <w:t xml:space="preserve"> </w:t>
      </w:r>
      <w:r>
        <w:rPr>
          <w:rFonts w:hint="eastAsia"/>
        </w:rPr>
        <w:t xml:space="preserve">与</w:t>
      </w:r>
      <w:r>
        <w:t xml:space="preserve"> Lin [7] </w:t>
      </w:r>
      <w:r>
        <w:rPr>
          <w:rFonts w:hint="eastAsia"/>
        </w:rPr>
        <w:t xml:space="preserve">以及</w:t>
      </w:r>
      <w:r>
        <w:t xml:space="preserve"> Zhuang </w:t>
      </w:r>
      <w:r>
        <w:rPr>
          <w:rFonts w:hint="eastAsia"/>
        </w:rPr>
        <w:t xml:space="preserve">等</w:t>
      </w:r>
      <w:r>
        <w:t xml:space="preserve"> [8] </w:t>
      </w:r>
      <w:r>
        <w:rPr>
          <w:rFonts w:hint="eastAsia"/>
        </w:rPr>
        <w:t xml:space="preserve">分别基于</w:t>
      </w:r>
      <w:r>
        <w:t xml:space="preserve"> DQN/DDPG </w:t>
      </w:r>
      <w:r>
        <w:rPr>
          <w:rFonts w:hint="eastAsia"/>
        </w:rPr>
        <w:t xml:space="preserve">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 xml:space="preserve">[9]。为此，Li</w:t>
      </w:r>
      <w:r>
        <w:t xml:space="preserve"> </w:t>
      </w:r>
      <w:r>
        <w:rPr>
          <w:rFonts w:hint="eastAsia"/>
        </w:rPr>
        <w:t xml:space="preserve">等</w:t>
      </w:r>
      <w:r>
        <w:t xml:space="preserve"> [10] </w:t>
      </w:r>
      <w:r>
        <w:rPr>
          <w:rFonts w:hint="eastAsia"/>
        </w:rPr>
        <w:t xml:space="preserve">将</w:t>
      </w:r>
      <w:r>
        <w:t xml:space="preserve"> LSTM </w:t>
      </w:r>
      <w:r>
        <w:rPr>
          <w:rFonts w:hint="eastAsia"/>
        </w:rPr>
        <w:t xml:space="preserve">等时序模型融入决策过程，通过引入前瞻预测信息增强了策略对环境演化的感知能力，并在一定程度上改善了控制平稳性。</w:t>
      </w:r>
    </w:p>
    <w:p>
      <w:pPr>
        <w:pStyle w:val="BodyText"/>
      </w:pPr>
      <w:r>
        <w:t xml:space="preserve">To overcome the modeling and adaptability limits of traditional control, data-driven methods have become an important direction for intelligent HVAC control. Savino et al. [6] demonstrated the potential of deep reinforcement learning for low-level control in multi-zone buildings. Wang et al. [7] and Zhuang et al. [8] used DQN- and DDPG-based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[9]. To mitigate this issue, Li et al. [10] integrated temporal models such as LSTM into the decision process improving awareness of system evolution and partially improved control stability.</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[11] </w:t>
      </w:r>
      <w:r>
        <w:rPr>
          <w:rFonts w:hint="eastAsia"/>
        </w:rPr>
        <w:t xml:space="preserve">与</w:t>
      </w:r>
      <w:r>
        <w:t xml:space="preserve"> Xue </w:t>
      </w:r>
      <w:r>
        <w:rPr>
          <w:rFonts w:hint="eastAsia"/>
        </w:rPr>
        <w:t xml:space="preserve">等</w:t>
      </w:r>
      <w:r>
        <w:t xml:space="preserve"> [12] </w:t>
      </w:r>
      <w:r>
        <w:rPr>
          <w:rFonts w:hint="eastAsia"/>
        </w:rPr>
        <w:t xml:space="preserve">的研究表明，事件驱动控制（ETC）通过“按需更新”机制，能够在状态越限或事件发生时才触发控制与通信，从而有效减少时间触发控制中的无效更新。与此同时，Liu</w:t>
      </w:r>
      <w:r>
        <w:t xml:space="preserve"> </w:t>
      </w:r>
      <w:r>
        <w:rPr>
          <w:rFonts w:hint="eastAsia"/>
        </w:rPr>
        <w:t xml:space="preserve">等</w:t>
      </w:r>
      <w:r>
        <w:t xml:space="preserve"> [13]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[14]。</w:t>
      </w:r>
    </w:p>
    <w:p>
      <w:pPr>
        <w:pStyle w:val="BodyText"/>
      </w:pPr>
      <w:r>
        <w:t xml:space="preserve">As control strategies have evolved from rule-driven to data-driven methods, reducing redundant computation and actuator wear has become another key issue. Liu et al. [11] and Xue et al. [12] showed that event-triggered control (ETC) updates control and communication only when the state exceeds a threshold or a defined event occurs, thereby reducing unnecessary updates in TTC. At the same time, Liu et al. [13]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[14].</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事件触发过程重构为在线无监督异常检测问题，并提出耦合动态门控与预测型强化学习的按需控制框架（ET-PRL）。与依赖静态规则的传统方法及现有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概念漂移的适应性。与固定步长强化学习不同，该框架进一步以事件驱动方式解耦决策时序，在削减冗余推理与设备磨损的同时，利用预测特征弥补稀疏控制下的观测盲区，最终在真实建筑非平稳工况中实现控制性能与执行代价的有效折衷。</w:t>
      </w:r>
    </w:p>
    <w:p>
      <w:pPr>
        <w:pStyle w:val="BodyText"/>
      </w:pPr>
      <w:r>
        <w:t xml:space="preserve">Building on these studies, this paper reformulates HVAC event triggering as an online unsupervised anomaly detection problem and proposes ET-PRL, an on-demand framework that combines dynamic gating with predictive reinforcement learning. Compared with fixed-step reinforcement learning, ET-PRL decouples decision timing through event-driven execution, thereby reducing redundant inference and equipment wear. ET-PRL also introduces streaming feature tracking and adaptive thresholding to update triggering conditions, making it less dependent on manual tuning and more robust to long-term concept drift than existing ETC schemes and traditional static-rule methods. By further incorporating predictive features to alleviate observation blind spots under sparse control, the framework achieves a practical balance between control performance and execution cost under non-stationary building operating conditions.</w:t>
      </w:r>
    </w:p>
    <w:p>
      <w:pPr>
        <w:pStyle w:val="BlockText"/>
      </w:pPr>
      <w:r>
        <w:t xml:space="preserve">[1]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lockText"/>
      </w:pPr>
      <w:r>
        <w:t xml:space="preserve">[2] Choi, Youngsik, et al. </w:t>
      </w:r>
      <w:r>
        <w:t xml:space="preserve">“Optimization-informed rule extraction for HVAC system: A case study of dedicated outdoor air system control in a mixed-humid climate zone.”</w:t>
      </w:r>
      <w:r>
        <w:t xml:space="preserve"> </w:t>
      </w:r>
      <w:r>
        <w:rPr>
          <w:i/>
          <w:iCs/>
        </w:rPr>
        <w:t xml:space="preserve">Energy and Buildings</w:t>
      </w:r>
      <w:r>
        <w:t xml:space="preserve"> </w:t>
      </w:r>
      <w:r>
        <w:t xml:space="preserve">295 (2023): 113295.</w:t>
      </w:r>
    </w:p>
    <w:p>
      <w:pPr>
        <w:pStyle w:val="BlockText"/>
      </w:pPr>
      <w:r>
        <w:t xml:space="preserve">[3]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rPr>
          <w:i/>
          <w:iCs/>
        </w:rPr>
        <w:t xml:space="preserve">Buildings</w:t>
      </w:r>
      <w:r>
        <w:t xml:space="preserve"> </w:t>
      </w:r>
      <w:r>
        <w:t xml:space="preserve">14.1 (2023): 66.</w:t>
      </w:r>
    </w:p>
    <w:p>
      <w:pPr>
        <w:pStyle w:val="BlockText"/>
      </w:pPr>
      <w:r>
        <w:t xml:space="preserve">[4]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rPr>
          <w:i/>
          <w:iCs/>
        </w:rPr>
        <w:t xml:space="preserve">Energies</w:t>
      </w:r>
      <w:r>
        <w:t xml:space="preserve"> </w:t>
      </w:r>
      <w:r>
        <w:t xml:space="preserve">16.7 (2023): 2967.</w:t>
      </w:r>
    </w:p>
    <w:p>
      <w:pPr>
        <w:pStyle w:val="BlockText"/>
      </w:pPr>
      <w:r>
        <w:t xml:space="preserve">[5] Lu, Shengze, et al. </w:t>
      </w:r>
      <w:r>
        <w:t xml:space="preserve">“Exploring the comprehensive integration of artificial intelligence in optimizing HVAC system operations: A review and future outlook.”</w:t>
      </w:r>
      <w:r>
        <w:t xml:space="preserve"> </w:t>
      </w:r>
      <w:r>
        <w:rPr>
          <w:i/>
          <w:iCs/>
        </w:rPr>
        <w:t xml:space="preserve">Results in Engineering</w:t>
      </w:r>
      <w:r>
        <w:t xml:space="preserve"> </w:t>
      </w:r>
      <w:r>
        <w:t xml:space="preserve">25 (2025): 103765.</w:t>
      </w:r>
    </w:p>
    <w:p>
      <w:pPr>
        <w:pStyle w:val="BlockText"/>
      </w:pPr>
      <w:r>
        <w:t xml:space="preserve">[6] Savino, Sabrina, et al. </w:t>
      </w:r>
      <w:r>
        <w:t xml:space="preserve">“Deploying deep reinforcement learning for low-level HVAC control in multi-zone buildings: A comparative study with ASHRAE G36 sequences.”</w:t>
      </w:r>
      <w:r>
        <w:t xml:space="preserve"> </w:t>
      </w:r>
      <w:r>
        <w:rPr>
          <w:i/>
          <w:iCs/>
        </w:rPr>
        <w:t xml:space="preserve">Energy and Buildings</w:t>
      </w:r>
      <w:r>
        <w:t xml:space="preserve"> </w:t>
      </w:r>
      <w:r>
        <w:t xml:space="preserve">(2025): 116456.</w:t>
      </w:r>
    </w:p>
    <w:p>
      <w:pPr>
        <w:pStyle w:val="BlockText"/>
      </w:pPr>
      <w:r>
        <w:t xml:space="preserve">[7] Wang, Man, and Borong Lin.</w:t>
      </w:r>
      <w:r>
        <w:t xml:space="preserve"> </w:t>
      </w:r>
      <w:r>
        <w:t xml:space="preserve">“MF^ 2: Model-free reinforcement learning for modeling-free building HVAC control with data-driven environment construction in a residential building.”</w:t>
      </w:r>
      <w:r>
        <w:t xml:space="preserve"> </w:t>
      </w:r>
      <w:r>
        <w:rPr>
          <w:i/>
          <w:iCs/>
        </w:rPr>
        <w:t xml:space="preserve">Building and Environment</w:t>
      </w:r>
      <w:r>
        <w:t xml:space="preserve"> </w:t>
      </w:r>
      <w:r>
        <w:t xml:space="preserve">244 (2023): 110816.</w:t>
      </w:r>
    </w:p>
    <w:p>
      <w:pPr>
        <w:pStyle w:val="BlockText"/>
      </w:pPr>
      <w:r>
        <w:t xml:space="preserve">[8] Zhuang, Dian, et al. </w:t>
      </w:r>
      <w:r>
        <w:t xml:space="preserve">“Data-driven predictive control for smart HVAC system in IoT-integrated buildings with time-series forecasting and reinforcement learning.”</w:t>
      </w:r>
      <w:r>
        <w:t xml:space="preserve"> </w:t>
      </w:r>
      <w:r>
        <w:rPr>
          <w:i/>
          <w:iCs/>
        </w:rPr>
        <w:t xml:space="preserve">Applied Energy</w:t>
      </w:r>
      <w:r>
        <w:t xml:space="preserve"> </w:t>
      </w:r>
      <w:r>
        <w:t xml:space="preserve">338 (2023): 120936.</w:t>
      </w:r>
    </w:p>
    <w:p>
      <w:pPr>
        <w:pStyle w:val="BlockText"/>
      </w:pPr>
      <w:r>
        <w:t xml:space="preserve">[9] Kondath, Namitha, et al. </w:t>
      </w:r>
      <w:r>
        <w:t xml:space="preserve">“Enhancing Day-Ahead Cooling Load Prediction in Tropical Commercial Buildings Using Advanced Deep Learning Models: A Case Study in Singapore.”</w:t>
      </w:r>
      <w:r>
        <w:t xml:space="preserve"> </w:t>
      </w:r>
      <w:r>
        <w:rPr>
          <w:i/>
          <w:iCs/>
        </w:rPr>
        <w:t xml:space="preserve">Buildings</w:t>
      </w:r>
      <w:r>
        <w:t xml:space="preserve"> </w:t>
      </w:r>
      <w:r>
        <w:t xml:space="preserve">14.2 (2024): 397.</w:t>
      </w:r>
    </w:p>
    <w:p>
      <w:pPr>
        <w:pStyle w:val="BlockText"/>
      </w:pPr>
      <w:r>
        <w:t xml:space="preserve">[10] Li, Kai, Wei Ni, and Falko Dressler.</w:t>
      </w:r>
      <w:r>
        <w:t xml:space="preserve"> </w:t>
      </w:r>
      <w:r>
        <w:t xml:space="preserve">“LSTM-characterized deep reinforcement learning for continuous flight control and resource allocation in UAV-assisted sensor network.”</w:t>
      </w:r>
      <w:r>
        <w:t xml:space="preserve"> </w:t>
      </w:r>
      <w:r>
        <w:rPr>
          <w:i/>
          <w:iCs/>
        </w:rPr>
        <w:t xml:space="preserve">IEEE Internet of Things Journal</w:t>
      </w:r>
      <w:r>
        <w:t xml:space="preserve"> </w:t>
      </w:r>
      <w:r>
        <w:t xml:space="preserve">9.6 (2021): 4179-4189.</w:t>
      </w:r>
    </w:p>
    <w:p>
      <w:pPr>
        <w:pStyle w:val="BlockText"/>
      </w:pPr>
      <w:r>
        <w:t xml:space="preserve">[11] Liu, Xinghua, et al. </w:t>
      </w:r>
      <w:r>
        <w:t xml:space="preserve">“Event‐triggered load frequency control of smart grids under deception attacks.”</w:t>
      </w:r>
      <w:r>
        <w:t xml:space="preserve"> </w:t>
      </w:r>
      <w:r>
        <w:rPr>
          <w:i/>
          <w:iCs/>
        </w:rPr>
        <w:t xml:space="preserve">IET Control Theory &amp; Applications</w:t>
      </w:r>
      <w:r>
        <w:t xml:space="preserve"> </w:t>
      </w:r>
      <w:r>
        <w:t xml:space="preserve">15.10 (2021): 1335-1345.</w:t>
      </w:r>
    </w:p>
    <w:p>
      <w:pPr>
        <w:pStyle w:val="BlockText"/>
      </w:pPr>
      <w:r>
        <w:t xml:space="preserve">[12] Xue, Zhouzhou, Zhaoxu Yu, and Shugang Li.</w:t>
      </w:r>
      <w:r>
        <w:t xml:space="preserve"> </w:t>
      </w:r>
      <w:r>
        <w:t xml:space="preserve">“Event-triggered adaptive neural control for uncertain nontriangular nonlinear systems with time-varying delays.”</w:t>
      </w:r>
      <w:r>
        <w:t xml:space="preserve"> </w:t>
      </w:r>
      <w:r>
        <w:rPr>
          <w:i/>
          <w:iCs/>
        </w:rPr>
        <w:t xml:space="preserve">International Journal of Control, Automation and Systems</w:t>
      </w:r>
      <w:r>
        <w:t xml:space="preserve"> </w:t>
      </w:r>
      <w:r>
        <w:t xml:space="preserve">20.12 (2022): 4090-4099.</w:t>
      </w:r>
    </w:p>
    <w:p>
      <w:pPr>
        <w:pStyle w:val="BlockText"/>
      </w:pPr>
      <w:r>
        <w:t xml:space="preserve">[13] Liu, Derong, et al. </w:t>
      </w:r>
      <w:r>
        <w:t xml:space="preserve">“Adaptive dynamic programming for control: A survey and recent advances.”</w:t>
      </w:r>
      <w:r>
        <w:t xml:space="preserve"> </w:t>
      </w:r>
      <w:r>
        <w:rPr>
          <w:i/>
          <w:iCs/>
        </w:rPr>
        <w:t xml:space="preserve">IEEE Transactions on Systems, Man, and Cybernetics: Systems</w:t>
      </w:r>
      <w:r>
        <w:t xml:space="preserve"> </w:t>
      </w:r>
      <w:r>
        <w:t xml:space="preserve">51.1 (2020): 142-160.</w:t>
      </w:r>
    </w:p>
    <w:p>
      <w:pPr>
        <w:pStyle w:val="BlockText"/>
      </w:pPr>
      <w:r>
        <w:t xml:space="preserve">[14] Heer, Philipp, et al. </w:t>
      </w:r>
      <w:r>
        <w:t xml:space="preserve">“Comprehensive energy demand and usage data for building automation.”</w:t>
      </w:r>
      <w:r>
        <w:t xml:space="preserve"> </w:t>
      </w:r>
      <w:r>
        <w:rPr>
          <w:i/>
          <w:iCs/>
        </w:rPr>
        <w:t xml:space="preserve">Scientific Data</w:t>
      </w:r>
      <w:r>
        <w:t xml:space="preserve"> </w:t>
      </w:r>
      <w:r>
        <w:t xml:space="preserve">11.1 (2024): 469.</w:t>
      </w:r>
    </w:p>
    <w:bookmarkEnd w:id="11"/>
    <w:bookmarkStart w:id="16" w:name="方法"/>
    <w:p>
      <w:pPr>
        <w:pStyle w:val="Heading1"/>
      </w:pPr>
      <w:r>
        <w:t xml:space="preserve">3. </w:t>
      </w:r>
      <w:r>
        <w:rPr>
          <w:rFonts w:hint="eastAsia"/>
        </w:rPr>
        <w:t xml:space="preserve">方法</w:t>
      </w:r>
    </w:p>
    <w:bookmarkStart w:id="12" w:name="总体框架"/>
    <w:p>
      <w:pPr>
        <w:pStyle w:val="Heading2"/>
      </w:pPr>
      <w:r>
        <w:t xml:space="preserve">3.1 </w:t>
      </w:r>
      <w:r>
        <w:rPr>
          <w:rFonts w:hint="eastAsia"/>
        </w:rPr>
        <w:t xml:space="preserve">总体框架</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rPr>
          <w:rFonts w:hint="eastAsia"/>
        </w:rPr>
        <w:t xml:space="preserve">如图</w:t>
      </w:r>
      <w:r>
        <w:t xml:space="preserve"> 3 </w:t>
      </w:r>
      <w:r>
        <w:rPr>
          <w:rFonts w:hint="eastAsia"/>
        </w:rPr>
        <w:t xml:space="preserve">所示，ET-PRL</w:t>
      </w:r>
      <w:r>
        <w:t xml:space="preserve"> </w:t>
      </w:r>
      <w:r>
        <w:rPr>
          <w:rFonts w:hint="eastAsia"/>
        </w:rPr>
        <w:t xml:space="preserve">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pPr>
        <w:pStyle w:val="Compact"/>
        <w:numPr>
          <w:ilvl w:val="0"/>
          <w:numId w:val="1002"/>
        </w:numPr>
      </w:pPr>
      <w:r>
        <w:rPr>
          <w:rFonts w:hint="eastAsia"/>
          <w:b/>
          <w:bCs/>
        </w:rPr>
        <w:t xml:space="preserve">在线流式异常门控机制</w:t>
      </w:r>
      <w:r>
        <w:rPr>
          <w:rFonts w:hint="eastAsia"/>
        </w:rPr>
        <w:t xml:space="preserve">：面向长期运行中的概念漂移，构建无需离线训练的异常检测门控模块。该模块在线追踪状态的多尺度统计特征，并结合流式隔离深度与自适应阈值策略输出事件触发信号，实现控制事件的在线标定。</w:t>
      </w:r>
    </w:p>
    <w:p>
      <w:pPr>
        <w:pStyle w:val="Compact"/>
        <w:numPr>
          <w:ilvl w:val="0"/>
          <w:numId w:val="1002"/>
        </w:numPr>
      </w:pPr>
      <w:r>
        <w:rPr>
          <w:rFonts w:hint="eastAsia"/>
          <w:b/>
          <w:bCs/>
        </w:rPr>
        <w:t xml:space="preserve">预测型全局强化学习网络</w:t>
      </w:r>
      <w:r>
        <w:rPr>
          <w:rFonts w:hint="eastAsia"/>
        </w:rPr>
        <w:t xml:space="preserve">：面向系统级能效优化与动作选择，采用轻量级深度</w:t>
      </w:r>
      <w:r>
        <w:t xml:space="preserve"> Q </w:t>
      </w:r>
      <w:r>
        <w:rPr>
          <w:rFonts w:hint="eastAsia"/>
        </w:rPr>
        <w:t xml:space="preserve">网络（DQN）学习控制策略。该网络仅在门控机制判定发生关键动态事件时被激活，以减少平稳阶段的冗余推理计算。</w:t>
      </w:r>
    </w:p>
    <w:p>
      <w:pPr>
        <w:pStyle w:val="Compact"/>
        <w:numPr>
          <w:ilvl w:val="0"/>
          <w:numId w:val="1002"/>
        </w:numPr>
      </w:pPr>
      <w:r>
        <w:rPr>
          <w:rFonts w:hint="eastAsia"/>
          <w:b/>
          <w:bCs/>
        </w:rPr>
        <w:t xml:space="preserve">事件驱动执行与零阶保持</w:t>
      </w:r>
      <w:r>
        <w:rPr>
          <w:rFonts w:hint="eastAsia"/>
        </w:rPr>
        <w:t xml:space="preserve">：在边缘部署场景下，系统将状态感知、事件判别、策略推理与动作执行构建为低时延的闭环控制流程。在非触发时段，采用零阶保持器（Zero-Order</w:t>
      </w:r>
      <w:r>
        <w:t xml:space="preserve"> Hold, </w:t>
      </w:r>
      <w:r>
        <w:rPr>
          <w:rFonts w:hint="eastAsia"/>
        </w:rPr>
        <w:t xml:space="preserve">ZOH）维持上一时刻的控制指令，以降低控制切换频率并减小对执行机构与系统稳定性的不利影响。</w:t>
      </w:r>
    </w:p>
    <w:p>
      <w:pPr>
        <w:pStyle w:val="BlockText"/>
      </w:pPr>
      <w:r>
        <w:rPr>
          <w:rFonts w:hint="eastAsia"/>
          <w:b/>
          <w:bCs/>
        </w:rPr>
        <w:t xml:space="preserve">图</w:t>
      </w:r>
      <w:r>
        <w:rPr>
          <w:b/>
          <w:bCs/>
        </w:rPr>
        <w:t xml:space="preserve"> 3 </w:t>
      </w:r>
      <w:r>
        <w:rPr>
          <w:rFonts w:hint="eastAsia"/>
          <w:b/>
          <w:bCs/>
        </w:rPr>
        <w:t xml:space="preserve">占位：ET-PRL</w:t>
      </w:r>
      <w:r>
        <w:rPr>
          <w:b/>
          <w:bCs/>
        </w:rPr>
        <w:t xml:space="preserve"> </w:t>
      </w:r>
      <w:r>
        <w:rPr>
          <w:rFonts w:hint="eastAsia"/>
          <w:b/>
          <w:bCs/>
        </w:rPr>
        <w:t xml:space="preserve">总体框架图</w:t>
      </w:r>
    </w:p>
    <w:bookmarkEnd w:id="12"/>
    <w:bookmarkStart w:id="13" w:name="基于流式特征追踪的动态事件触发机制设计"/>
    <w:p>
      <w:pPr>
        <w:pStyle w:val="Heading2"/>
      </w:pPr>
      <w:r>
        <w:t xml:space="preserve">3.2 </w:t>
      </w:r>
      <w:r>
        <w:rPr>
          <w:rFonts w:hint="eastAsia"/>
        </w:rPr>
        <w:t xml:space="preserve">基于流式特征追踪的动态事件触发机制设计</w:t>
      </w:r>
    </w:p>
    <w:p>
      <w:pPr>
        <w:pStyle w:val="FirstParagraph"/>
      </w:pPr>
      <w:r>
        <w:rPr>
          <w:rFonts w:hint="eastAsia"/>
        </w:rPr>
        <w:t xml:space="preserve">本文将关键事件识别重定义为在线异常检测。其核心依据在于：在控制语义上，关键事件对应需要策略即时介入的工况突变；在统计语义上，该类时刻通常表现为状态样本相对常态分布的显著偏离。由此，事件判定可统一建模为偏离度检验问题，而不再依赖人工设定的静态规则。</w:t>
      </w:r>
    </w:p>
    <w:p>
      <w:pPr>
        <w:pStyle w:val="BodyText"/>
      </w:pPr>
      <w:r>
        <w:rPr>
          <w:rFonts w:hint="eastAsia"/>
        </w:rPr>
        <w:t xml:space="preserve">设门控状态为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为判别阈值。上述定义表明，事件识别本质上是对是否偏离常态区域的二值判定；当状态进入高偏离区域时触发策略更新，否则维持当前控制节奏。</w:t>
      </w:r>
    </w:p>
    <w:p>
      <w:pPr>
        <w:pStyle w:val="BodyText"/>
      </w:pPr>
      <w:r>
        <w:rPr>
          <w:rFonts w:hint="eastAsia"/>
        </w:rPr>
        <w:t xml:space="preserve">为满足在线部署需求，本文采用异常分数函数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作为偏离度代理，并将集合判别转化为可计算的阈值比较：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为触发阈值。该形式具有两点优势：一是可与流式统计量直接耦合，支持逐步更新；二是便于与后续门控逻辑统一，实现由异常评分到触发决策的端到端建模与实现。</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r>
            <m:t>a</m:t>
          </m:r>
          <m:sSub>
            <m:e>
              <m:r>
                <m:t>u</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表示由历史异常分数驱动的阈值更新算子。该设计用于在灵敏性与稳定性之间取得平衡：在扰动增强时提高事件覆盖率，在平稳区间抑制冗余触发，从而降低误触发与漏触发风险。</w:t>
      </w:r>
    </w:p>
    <w:p>
      <w:pPr>
        <w:pStyle w:val="Compact"/>
        <w:numPr>
          <w:ilvl w:val="0"/>
          <w:numId w:val="1003"/>
        </w:numPr>
      </w:pPr>
      <w:r>
        <w:rPr>
          <w:rFonts w:hint="eastAsia"/>
        </w:rPr>
        <w:t xml:space="preserve">门控输入特征定义</w:t>
      </w:r>
    </w:p>
    <w:p>
      <w:pPr>
        <w:pStyle w:val="FirstParagraph"/>
      </w:pPr>
      <w:r>
        <w:rPr>
          <w:rFonts w:hint="eastAsia"/>
        </w:rPr>
        <w:t xml:space="preserve">为保证门控判定与控制状态建模在物理语义与符号层面的一致性，本文将事件门控模块的输入定义为紧凑的三维特征向量：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w:t>
      </w:r>
      <m:oMath>
        <m:sSubSup>
          <m:e>
            <m:r>
              <m:t>T</m:t>
            </m:r>
          </m:e>
          <m:sub>
            <m:r>
              <m:t>w</m:t>
            </m:r>
            <m:r>
              <m:t>b</m:t>
            </m:r>
          </m:sub>
          <m:sup>
            <m:r>
              <m:t>t</m:t>
            </m:r>
          </m:sup>
        </m:sSubSup>
      </m:oMath>
      <w:r>
        <w:t xml:space="preserve"> </w:t>
      </w:r>
      <w:r>
        <w:rPr>
          <w:rFonts w:hint="eastAsia"/>
        </w:rPr>
        <w:t xml:space="preserve">可作为刻画外生气象扰动强度与方向的关键状态量，从而提升门控机制对环境非平稳变化的识别能力。</w:t>
      </w:r>
    </w:p>
    <w:p>
      <w:pPr>
        <w:pStyle w:val="BodyText"/>
      </w:pPr>
      <w:r>
        <w:rPr>
          <w:rFonts w:hint="eastAsia"/>
        </w:rPr>
        <w:t xml:space="preserve">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pPr>
        <w:pStyle w:val="BodyText"/>
      </w:pPr>
      <w:r>
        <w:rPr>
          <w:rFonts w:hint="eastAsia"/>
        </w:rPr>
        <w:t xml:space="preserve">为在保持表征能力的同时控制特征维度并支撑在线门控的实时计算，本文在特征维度选择上未进一步引入管网流量、回水温度等附加变量，原因是在线异常检测在高维空间中易出现样本稀疏与距离退化，从而削弱统计判别稳定性并增加计算开销。</w:t>
      </w:r>
    </w:p>
    <w:p>
      <w:pPr>
        <w:pStyle w:val="Compact"/>
        <w:numPr>
          <w:ilvl w:val="0"/>
          <w:numId w:val="1004"/>
        </w:numPr>
      </w:pPr>
      <w:r>
        <w:rPr>
          <w:rFonts w:hint="eastAsia"/>
        </w:rPr>
        <w:t xml:space="preserve">流式隔离深度与多尺度异常追踪</w:t>
      </w:r>
    </w:p>
    <w:p>
      <w:pPr>
        <w:pStyle w:val="FirstParagraph"/>
      </w:pPr>
      <w:r>
        <w:rPr>
          <w:rFonts w:hint="eastAsia"/>
        </w:rPr>
        <w:t xml:space="preserve">传统离线异常检测通常依赖静态样本库，在季节性工况漂移场景下稳定性受限。为此，本文采用流式隔离深度机制，对在线到达的门控输入特征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rPr>
          <w:rFonts w:hint="eastAsia"/>
        </w:rPr>
        <w:t xml:space="preserve">为便于形式化描述，下面给出隔离深度与异常分数的计算过程。隔离树通过递归随机选择特征与分割点来孤立数据点。对于输入点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r>
          <m:t>2</m:t>
        </m:r>
        <m:r>
          <m:rPr>
            <m:sty m:val="p"/>
          </m:rPr>
          <m:t>(</m:t>
        </m:r>
        <m:r>
          <m:t>m</m:t>
        </m:r>
        <m:r>
          <m:rPr>
            <m:sty m:val="p"/>
          </m:rPr>
          <m:t>−</m:t>
        </m:r>
        <m:r>
          <m:t>1</m:t>
        </m:r>
        <m:r>
          <m:rPr>
            <m:sty m:val="p"/>
          </m:rPr>
          <m:t>)</m:t>
        </m:r>
        <m:r>
          <m:rPr>
            <m:sty m:val="p"/>
          </m:rPr>
          <m:t>/</m:t>
        </m:r>
        <m:r>
          <m:t>m</m:t>
        </m:r>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rPr>
          <w:rFonts w:hint="eastAsia"/>
        </w:rPr>
        <w:t xml:space="preserve">为刻画不同时间尺度下的分布演化，算法维护三个不同规模的滑动参考窗口以生成多尺度动态参考集合。短时窗口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rPr>
          <w:rFonts w:hint="eastAsia"/>
        </w:rPr>
        <w:t xml:space="preserve">采用多尺度融合的原因在于，建筑</w:t>
      </w:r>
      <w:r>
        <w:t xml:space="preserve"> HVAC </w:t>
      </w:r>
      <w:r>
        <w:rPr>
          <w:rFonts w:hint="eastAsia"/>
        </w:rPr>
        <w:t xml:space="preserve">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pPr>
        <w:pStyle w:val="Compact"/>
        <w:numPr>
          <w:ilvl w:val="0"/>
          <w:numId w:val="1005"/>
        </w:numPr>
      </w:pPr>
      <w:r>
        <w:rPr>
          <w:rFonts w:hint="eastAsia"/>
        </w:rPr>
        <w:t xml:space="preserve">流式双层自适应阈值优化</w:t>
      </w:r>
    </w:p>
    <w:p>
      <w:pPr>
        <w:pStyle w:val="FirstParagraph"/>
      </w:pPr>
      <w:r>
        <w:rPr>
          <w:rFonts w:hint="eastAsia"/>
        </w:rPr>
        <w:t xml:space="preserve">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pPr>
        <w:pStyle w:val="BodyText"/>
      </w:pPr>
      <w:r>
        <w:rPr>
          <w:rFonts w:hint="eastAsia"/>
        </w:rPr>
        <w:t xml:space="preserve">设最近</w:t>
      </w:r>
      <w:r>
        <w:t xml:space="preserve"> </w:t>
      </w:r>
      <m:oMath>
        <m:r>
          <m:t>W</m:t>
        </m:r>
      </m:oMath>
      <w:r>
        <w:t xml:space="preserve"> </w:t>
      </w:r>
      <w:r>
        <w:rPr>
          <w:rFonts w:hint="eastAsia"/>
        </w:rPr>
        <w:t xml:space="preserve">个异常分数组成滑动历史窗口集合</w:t>
      </w:r>
      <w:r>
        <w:t xml:space="preserve"> </w:t>
      </w:r>
      <m:oMath>
        <m:sSub>
          <m:e>
            <m:r>
              <m:rPr>
                <m:scr m:val="script"/>
                <m:sty m:val="p"/>
              </m:rPr>
              <m:t>A</m:t>
            </m:r>
          </m:e>
          <m:sub>
            <m:r>
              <m:t>t</m:t>
            </m:r>
          </m:sub>
        </m:sSub>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rPr>
          <w:rFonts w:hint="eastAsia"/>
        </w:rPr>
        <w:t xml:space="preserve">。阈值估计的核心目标是在含噪非平稳流式数据中持续提取稳定且可迁移的判别基线。相较于易受异常离群点影响的传统均值和标准差，本模块优先提取反映非参数分布特性的稳健分位数阈值与鲁棒统计阈值：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表示集合的高分位点；</w:t>
      </w:r>
      <m:oMath>
        <m:r>
          <m:rPr>
            <m:sty m:val="p"/>
          </m:rPr>
          <m:t>med</m:t>
        </m:r>
        <m:r>
          <m:rPr>
            <m:sty m:val="p"/>
          </m:rPr>
          <m:t>(</m:t>
        </m:r>
        <m:r>
          <m:rPr>
            <m:sty m:val="p"/>
          </m:rPr>
          <m:t>⋅</m:t>
        </m:r>
        <m:r>
          <m:rPr>
            <m:sty m:val="p"/>
          </m:rPr>
          <m:t>)</m:t>
        </m:r>
      </m:oMath>
      <w:r>
        <w:t xml:space="preserve"> </w:t>
      </w:r>
      <w:r>
        <w:rPr>
          <w:rFonts w:hint="eastAsia"/>
        </w:rPr>
        <w:t xml:space="preserve">为中位数函数；绝对中位差（</w:t>
      </w:r>
      <m:oMath>
        <m:r>
          <m:rPr>
            <m:sty m:val="p"/>
          </m:rPr>
          <m:t>MAD</m:t>
        </m:r>
      </m:oMath>
      <w:r>
        <w:rPr>
          <w:rFonts w:hint="eastAsia"/>
        </w:rPr>
        <w:t xml:space="preserve">）的作用在于消除潜在持续型异常对系统离散程度估计的偏差干扰，以维持真实的稳健基线；</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为保证渐近无偏估计的分布一致性常数。上述构造的理论依据在于：分位数估计主要提供阈值位置的鲁棒锚点，而</w:t>
      </w:r>
      <w:r>
        <w:t xml:space="preserve"> </w:t>
      </w:r>
      <m:oMath>
        <m:r>
          <m:rPr>
            <m:sty m:val="p"/>
          </m:rPr>
          <m:t>MAD</m:t>
        </m:r>
      </m:oMath>
      <w:r>
        <w:t xml:space="preserve"> </w:t>
      </w:r>
      <w:r>
        <w:rPr>
          <w:rFonts w:hint="eastAsia"/>
        </w:rPr>
        <w:t xml:space="preserve">提供尺度层面的鲁棒校正，两者融合可同时约束位置漂移与尺度膨胀带来的阈值失真。基于此，局部候选阈值由二者加权融合得到：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为加权系数。该系数本质上控制分位数主导与尺度修正主导之间的权衡：</w:t>
      </w:r>
      <m:oMath>
        <m:sSub>
          <m:e>
            <m:r>
              <m:t>ω</m:t>
            </m:r>
          </m:e>
          <m:sub>
            <m:r>
              <m:t>q</m:t>
            </m:r>
          </m:sub>
        </m:sSub>
      </m:oMath>
      <w:r>
        <w:t xml:space="preserve"> </w:t>
      </w:r>
      <w:r>
        <w:rPr>
          <w:rFonts w:hint="eastAsia"/>
        </w:rPr>
        <w:t xml:space="preserve">增大时阈值更侧重位置稳健性，</w:t>
      </w:r>
      <m:oMath>
        <m:sSub>
          <m:e>
            <m:r>
              <m:t>ω</m:t>
            </m:r>
          </m:e>
          <m:sub>
            <m:r>
              <m:t>q</m:t>
            </m:r>
          </m:sub>
        </m:sSub>
      </m:oMath>
      <w:r>
        <w:t xml:space="preserve"> </w:t>
      </w:r>
      <w:r>
        <w:rPr>
          <w:rFonts w:hint="eastAsia"/>
        </w:rPr>
        <w:t xml:space="preserve">减小时阈值更敏感于离散程度变化。考虑到单步工况跳变可能带来的高频瞬态波动，系统不直接采纳单次候选值，而是引入一阶离散低通滤波对其进行局部平滑：</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式中，局部平滑更新率</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能够在抑制短时噪声震荡的同时，使快变阈值保持对工况模式切换的快速跟踪。较大的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对新样本赋予更高权重，有利于缩短阈值跟踪时滞；较小的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则可增强对短时脉冲噪声的抑制能力。由此，局部阈值承担快速适配当前工况的功能。在局部阈值基础上，全局阈值作为历史稳态参考面，通过更强的迟滞效应进行指数移动跟踪：</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这里设定</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pPr>
        <w:pStyle w:val="BodyText"/>
      </w:pPr>
      <w:r>
        <w:rPr>
          <w:rFonts w:hint="eastAsia"/>
        </w:rPr>
        <w:t xml:space="preserve">最终，基础自适应门控阈值由双层信号的耦合构建而成：</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其中，权重</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用于调节局部阈值与全局阈值之间的融合比例。当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增大时，系统更强调对局部工况变化的快速响应；当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减小时，系统更强调长期基线的一致性与触发稳定性。</w:t>
      </w:r>
      <m:oMath>
        <m:sSub>
          <m:e>
            <m:r>
              <m:t>b</m:t>
            </m:r>
          </m:e>
          <m:sub>
            <m:r>
              <m:rPr>
                <m:sty m:val="p"/>
              </m:rPr>
              <m:t>b</m:t>
            </m:r>
            <m:r>
              <m:rPr>
                <m:sty m:val="p"/>
              </m:rPr>
              <m:t>i</m:t>
            </m:r>
            <m:r>
              <m:rPr>
                <m:sty m:val="p"/>
              </m:rPr>
              <m:t>a</m:t>
            </m:r>
            <m:r>
              <m:rPr>
                <m:sty m:val="p"/>
              </m:rPr>
              <m:t>s</m:t>
            </m:r>
          </m:sub>
        </m:sSub>
      </m:oMath>
      <w:r>
        <w:t xml:space="preserve"> </w:t>
      </w:r>
      <w:r>
        <w:rPr>
          <w:rFonts w:hint="eastAsia"/>
        </w:rPr>
        <w:t xml:space="preserve">为偏置项。在运行状态高度平稳的阶段，例如夜间低负荷时段，系统方差与绝对中位差可能收敛至较小数值，导致阈值过度收缩。引入偏置项为系统设置绝对了触发下限，从而避免因阈值过小而产生高频误触发。</w:t>
      </w:r>
    </w:p>
    <w:bookmarkEnd w:id="13"/>
    <w:bookmarkStart w:id="14" w:name="在线流式事件门控模块构建"/>
    <w:p>
      <w:pPr>
        <w:pStyle w:val="Heading2"/>
      </w:pPr>
      <w:r>
        <w:t xml:space="preserve">3.3 </w:t>
      </w:r>
      <w:r>
        <w:rPr>
          <w:rFonts w:hint="eastAsia"/>
        </w:rPr>
        <w:t xml:space="preserve">在线流式事件门控模块构建</w:t>
      </w:r>
    </w:p>
    <w:p>
      <w:pPr>
        <w:pStyle w:val="FirstParagraph"/>
      </w:pPr>
      <w:r>
        <w:rPr>
          <w:rFonts w:hint="eastAsia"/>
        </w:rPr>
        <w:t xml:space="preserve">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与自适应阈值实现对当前状态偏离程度的统计检验，后者通过最小触发间隔约束显式控制动作更新频率，避免在短时高频波动期间出现连续触发导致的执行器过度切换。</w:t>
      </w:r>
    </w:p>
    <w:p>
      <w:pPr>
        <w:pStyle w:val="BodyText"/>
      </w:pPr>
      <w:r>
        <w:rPr>
          <w:rFonts w:hint="eastAsia"/>
        </w:rPr>
        <w:t xml:space="preserve">在每个控制时刻，门控模块接收当前门控特征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为防止边界震荡的滞回容差；</w:t>
      </w:r>
      <m:oMath>
        <m:r>
          <m:rPr>
            <m:scr m:val="double-struck"/>
            <m:sty m:val="p"/>
          </m:rPr>
          <m:t>I</m:t>
        </m:r>
        <m:r>
          <m:rPr>
            <m:sty m:val="p"/>
          </m:rPr>
          <m:t>(</m:t>
        </m:r>
        <m:r>
          <m:rPr>
            <m:sty m:val="p"/>
          </m:rPr>
          <m:t>⋅</m:t>
        </m:r>
        <m:r>
          <m:rPr>
            <m:sty m:val="p"/>
          </m:rPr>
          <m:t>)</m:t>
        </m:r>
      </m:oMath>
      <w:r>
        <w:t xml:space="preserve"> </w:t>
      </w:r>
      <w:r>
        <w:rPr>
          <w:rFonts w:hint="eastAsia"/>
        </w:rPr>
        <w:t xml:space="preserve">为逻辑指示函数，当括号内条件成立时取</w:t>
      </w:r>
      <w:r>
        <w:t xml:space="preserve"> </w:t>
      </w:r>
      <w:r>
        <w:rPr>
          <w:rFonts w:hint="eastAsia"/>
        </w:rPr>
        <w:t xml:space="preserve">1，否则取</w:t>
      </w:r>
      <w:r>
        <w:t xml:space="preserve"> </w:t>
      </w:r>
      <w:r>
        <w:rPr>
          <w:rFonts w:hint="eastAsia"/>
        </w:rPr>
        <w:t xml:space="preserve">0；</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表示维持上一时刻控制动作。</w:t>
      </w:r>
    </w:p>
    <w:p>
      <w:pPr>
        <w:pStyle w:val="BodyText"/>
      </w:pPr>
      <w:r>
        <w:rPr>
          <w:rFonts w:hint="eastAsia"/>
        </w:rPr>
        <w:t xml:space="preserve">为保证门控与控制策略在在线部署中的一致性，模块在每一时刻遵循先判定、后执行、再更新的时序协议：首先使用时刻</w:t>
      </w:r>
      <w:r>
        <w:t xml:space="preserve"> </w:t>
      </w:r>
      <m:oMath>
        <m:r>
          <m:t>t</m:t>
        </m:r>
      </m:oMath>
      <w:r>
        <w:t xml:space="preserve"> </w:t>
      </w:r>
      <w:r>
        <w:rPr>
          <w:rFonts w:hint="eastAsia"/>
        </w:rPr>
        <w:t xml:space="preserve">的统计量计算触发结果并决定是否调用策略网络；随后将动作</w:t>
      </w:r>
      <w:r>
        <w:t xml:space="preserve"> </w:t>
      </w:r>
      <m:oMath>
        <m:sSub>
          <m:e>
            <m:r>
              <m:t>u</m:t>
            </m:r>
          </m:e>
          <m:sub>
            <m:r>
              <m:t>t</m:t>
            </m:r>
          </m:sub>
        </m:sSub>
      </m:oMath>
      <w:r>
        <w:t xml:space="preserve"> </w:t>
      </w:r>
      <w:r>
        <w:rPr>
          <w:rFonts w:hint="eastAsia"/>
        </w:rPr>
        <w:t xml:space="preserve">下发至执行层；最后将</w:t>
      </w:r>
      <w:r>
        <w:t xml:space="preserve"> </w:t>
      </w:r>
      <m:oMath>
        <m:r>
          <m:t>A</m:t>
        </m:r>
        <m:r>
          <m:rPr>
            <m:sty m:val="p"/>
          </m:rPr>
          <m:t>(</m:t>
        </m:r>
        <m:sSub>
          <m:e>
            <m:r>
              <m:t>s</m:t>
            </m:r>
          </m:e>
          <m:sub>
            <m:r>
              <m:t>t</m:t>
            </m:r>
          </m:sub>
        </m:sSub>
        <m:r>
          <m:rPr>
            <m:sty m:val="p"/>
          </m:rPr>
          <m:t>)</m:t>
        </m:r>
      </m:oMath>
      <w:r>
        <w:t xml:space="preserve"> </w:t>
      </w:r>
      <w:r>
        <w:rPr>
          <w:rFonts w:hint="eastAsia"/>
        </w:rPr>
        <w:t xml:space="preserve">与相关统计量写入窗口，用于时刻</w:t>
      </w:r>
      <w:r>
        <w:t xml:space="preserve"> </w:t>
      </w:r>
      <m:oMath>
        <m:r>
          <m:t>t</m:t>
        </m:r>
        <m:r>
          <m:rPr>
            <m:sty m:val="p"/>
          </m:rPr>
          <m:t>+</m:t>
        </m:r>
        <m:r>
          <m:t>1</m:t>
        </m:r>
      </m:oMath>
      <w:r>
        <w:t xml:space="preserve"> </w:t>
      </w:r>
      <w:r>
        <w:rPr>
          <w:rFonts w:hint="eastAsia"/>
        </w:rPr>
        <w:t xml:space="preserve">的阈值更新。该协议可避免同一步内先更新阈值再判定导致的判据前视偏差，确保门控逻辑满足严格因果性。</w:t>
      </w:r>
    </w:p>
    <w:p>
      <w:pPr>
        <w:pStyle w:val="BodyText"/>
      </w:pPr>
      <w:r>
        <w:rPr>
          <w:rFonts w:hint="eastAsia"/>
        </w:rPr>
        <w:t xml:space="preserve">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w:t>
      </w:r>
    </w:p>
    <w:bookmarkEnd w:id="14"/>
    <w:bookmarkStart w:id="15" w:name="基于动态阈值事件触发的预测型强化学习控制算法"/>
    <w:p>
      <w:pPr>
        <w:pStyle w:val="Heading2"/>
      </w:pPr>
      <w:r>
        <w:t xml:space="preserve">3.4 </w:t>
      </w:r>
      <w:r>
        <w:rPr>
          <w:rFonts w:hint="eastAsia"/>
        </w:rPr>
        <w:t xml:space="preserve">基于动态阈值事件触发的预测型强化学习控制算法</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时，则不进行推理计算，而是由底层控制系统通过零阶保持器维持先前的控制指令。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Q-Network）智能体。全局强化学习控制器在触发时刻接收状态向量</w:t>
      </w:r>
      <w:r>
        <w:t xml:space="preserve"> </w:t>
      </w:r>
      <m:oMath>
        <m:sSub>
          <m:e>
            <m:r>
              <m:t>s</m:t>
            </m:r>
          </m:e>
          <m:sub>
            <m:r>
              <m:t>t</m:t>
            </m:r>
          </m:sub>
        </m:sSub>
      </m:oMath>
      <w:r>
        <w:rPr>
          <w:rFonts w:hint="eastAsia"/>
        </w:rPr>
        <w:t xml:space="preserve">，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pPr>
        <w:pStyle w:val="Compact"/>
        <w:numPr>
          <w:ilvl w:val="0"/>
          <w:numId w:val="1006"/>
        </w:numPr>
      </w:pPr>
      <w:r>
        <w:rPr>
          <w:rFonts w:hint="eastAsia"/>
        </w:rPr>
        <w:t xml:space="preserve">任务建模与问题定义</w:t>
      </w:r>
    </w:p>
    <w:p>
      <w:pPr>
        <w:pStyle w:val="FirstParagraph"/>
      </w:pPr>
      <w:r>
        <w:rPr>
          <w:rFonts w:hint="eastAsia"/>
        </w:rPr>
        <w:t xml:space="preserve">针对楼宇控制场景中状态高维、样本相关性强的问题，本文构建紧凑离散时间马尔可夫决策过程（MDP）模型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。环境状态空间定义为：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此处状态定义</w:t>
      </w:r>
      <w:r>
        <w:t xml:space="preserve"> </w:t>
      </w:r>
      <m:oMath>
        <m:sSub>
          <m:e>
            <m:r>
              <m:t>s</m:t>
            </m:r>
          </m:e>
          <m:sub>
            <m:r>
              <m:t>t</m:t>
            </m:r>
          </m:sub>
        </m:sSub>
      </m:oMath>
      <w:r>
        <w:t xml:space="preserve"> </w:t>
      </w:r>
      <w:r>
        <w:rPr>
          <w:rFonts w:hint="eastAsia"/>
        </w:rPr>
        <w:t xml:space="preserve">与前文所述的门控输入特征在物理信息层面上保持严格一致，包含当前冷负荷</w:t>
      </w:r>
      <w:r>
        <w:t xml:space="preserve"> </w:t>
      </w:r>
      <m:oMath>
        <m:sSubSup>
          <m:e>
            <m:r>
              <m:t>Q</m:t>
            </m:r>
          </m:e>
          <m:sub>
            <m:r>
              <m:t>l</m:t>
            </m:r>
            <m:r>
              <m:t>o</m:t>
            </m:r>
            <m:r>
              <m:t>a</m:t>
            </m:r>
            <m:r>
              <m:t>d</m:t>
            </m:r>
          </m:sub>
          <m:sup>
            <m:r>
              <m:t>t</m:t>
            </m:r>
          </m:sup>
        </m:sSubSup>
      </m:oMath>
      <w:r>
        <w:rPr>
          <w:rFonts w:hint="eastAsia"/>
        </w:rPr>
        <w:t xml:space="preserve">、室外湿球温度</w:t>
      </w:r>
      <w:r>
        <w:t xml:space="preserve"> </w:t>
      </w:r>
      <m:oMath>
        <m:sSubSup>
          <m:e>
            <m:r>
              <m:t>T</m:t>
            </m:r>
          </m:e>
          <m:sub>
            <m:r>
              <m:t>w</m:t>
            </m:r>
            <m:r>
              <m:t>b</m:t>
            </m:r>
          </m:sub>
          <m:sup>
            <m:r>
              <m:t>t</m:t>
            </m:r>
          </m:sup>
        </m:sSubSup>
      </m:oMath>
      <w:r>
        <w:t xml:space="preserve"> </w:t>
      </w:r>
      <w:r>
        <w:rPr>
          <w:rFonts w:hint="eastAsia"/>
        </w:rPr>
        <w:t xml:space="preserve">以及下一时刻冷负荷预测值</w:t>
      </w:r>
      <w:r>
        <w:t xml:space="preserve"> </w:t>
      </w:r>
      <m:oMath>
        <m:sSubSup>
          <m:e>
            <m:acc>
              <m:accPr>
                <m:chr m:val="̂"/>
              </m:accPr>
              <m:e>
                <m:r>
                  <m:t>Q</m:t>
                </m:r>
              </m:e>
            </m:acc>
          </m:e>
          <m:sub>
            <m:r>
              <m:t>l</m:t>
            </m:r>
            <m:r>
              <m:t>o</m:t>
            </m:r>
            <m:r>
              <m:t>a</m:t>
            </m:r>
            <m:r>
              <m:t>d</m:t>
            </m:r>
          </m:sub>
          <m:sup>
            <m:r>
              <m:t>t</m:t>
            </m:r>
            <m:r>
              <m:rPr>
                <m:sty m:val="p"/>
              </m:rPr>
              <m:t>+</m:t>
            </m:r>
            <m:r>
              <m:t>1</m:t>
            </m:r>
          </m:sup>
        </m:sSubSup>
      </m:oMath>
      <w:r>
        <w:rPr>
          <w:rFonts w:hint="eastAsia"/>
        </w:rPr>
        <w:t xml:space="preserve">。引入预测项可在不显式扩展长历史序列窗口的前提下有效提升策略的前瞻性。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为额定参考功率。温控跟踪项采用高斯径向基形式进行连续平滑评估：</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为温控跟踪敏感度参数。</w:t>
      </w:r>
    </w:p>
    <w:p>
      <w:pPr>
        <w:pStyle w:val="Compact"/>
        <w:numPr>
          <w:ilvl w:val="0"/>
          <w:numId w:val="1007"/>
        </w:numPr>
      </w:pPr>
      <w:r>
        <w:rPr>
          <w:rFonts w:hint="eastAsia"/>
        </w:rPr>
        <w:t xml:space="preserve">预测型强化学习决策机制</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主体网络，以降低边缘部署场景下的推理延迟与存储开销。在算法实现层面，训练阶段遵循标准</w:t>
      </w:r>
      <w:r>
        <w:t xml:space="preserve"> DQN </w:t>
      </w:r>
      <w:r>
        <w:rPr>
          <w:rFonts w:hint="eastAsia"/>
        </w:rPr>
        <w:t xml:space="preserve">的逐步交互流程：智能体在每个时间步执行动作选择、环境步进、经验回放写入与网络参数更新。其一步时序差分目标可写为：</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r>
            <m:rPr>
              <m:sty m:val="p"/>
            </m:rPr>
            <m:t>(</m:t>
          </m:r>
          <m:r>
            <m:t>1</m:t>
          </m:r>
          <m:r>
            <m:rPr>
              <m:sty m:val="p"/>
            </m:rPr>
            <m:t>−</m:t>
          </m:r>
          <m:sSub>
            <m:e>
              <m:r>
                <m:t>d</m:t>
              </m:r>
            </m:e>
            <m:sub>
              <m:r>
                <m:t>t</m:t>
              </m:r>
            </m:sub>
          </m:sSub>
          <m:r>
            <m:rPr>
              <m:sty m:val="p"/>
            </m:rPr>
            <m:t>)</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其中</w:t>
      </w:r>
      <w:r>
        <w:t xml:space="preserve"> </w:t>
      </w:r>
      <m:oMath>
        <m:r>
          <m:t>θ</m:t>
        </m:r>
      </m:oMath>
      <w:r>
        <w:t xml:space="preserve"> </w:t>
      </w:r>
      <w:r>
        <w:rPr>
          <w:rFonts w:hint="eastAsia"/>
        </w:rPr>
        <w:t xml:space="preserve">为在线网络参数，</w:t>
      </w:r>
      <m:oMath>
        <m:sSup>
          <m:e>
            <m:r>
              <m:t>θ</m:t>
            </m:r>
          </m:e>
          <m:sup>
            <m:r>
              <m:rPr>
                <m:sty m:val="p"/>
              </m:rPr>
              <m:t>−</m:t>
            </m:r>
          </m:sup>
        </m:sSup>
      </m:oMath>
      <w:r>
        <w:t xml:space="preserve"> </w:t>
      </w:r>
      <w:r>
        <w:rPr>
          <w:rFonts w:hint="eastAsia"/>
        </w:rPr>
        <w:t xml:space="preserve">为目标网络参数，</w:t>
      </w:r>
      <m:oMath>
        <m:sSub>
          <m:e>
            <m:r>
              <m:t>d</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为终止标记。网络优化采用均方误差损失：</w:t>
      </w:r>
    </w:p>
    <w:p>
      <w:pPr>
        <w:pStyle w:val="BodyText"/>
      </w:pPr>
      <m:oMathPara>
        <m:oMathParaPr>
          <m:jc m:val="center"/>
        </m:oMathParaPr>
        <m:oMath>
          <m:r>
            <m:rPr>
              <m:scr m:val="script"/>
              <m:sty m:val="p"/>
            </m:rPr>
            <m:t>L</m:t>
          </m:r>
          <m:r>
            <m:rPr>
              <m:sty m:val="p"/>
            </m:rPr>
            <m:t>(</m:t>
          </m:r>
          <m:r>
            <m:t>θ</m:t>
          </m:r>
          <m:r>
            <m:rPr>
              <m:sty m:val="p"/>
            </m:rPr>
            <m:t>)</m:t>
          </m:r>
          <m:r>
            <m:rPr>
              <m:sty m:val="p"/>
            </m:rPr>
            <m:t>=</m:t>
          </m:r>
          <m:sSub>
            <m:e>
              <m:r>
                <m:rPr>
                  <m:scr m:val="double-struck"/>
                  <m:sty m:val="p"/>
                </m:rPr>
                <m:t>E</m:t>
              </m:r>
            </m:e>
            <m:sub>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r>
                <m:rPr>
                  <m:sty m:val="p"/>
                </m:rPr>
                <m:t>∼</m:t>
              </m:r>
              <m:r>
                <m:rPr>
                  <m:scr m:val="script"/>
                  <m:sty m:val="p"/>
                </m:rPr>
                <m:t>D</m:t>
              </m:r>
            </m:sub>
          </m:sSub>
          <m:d>
            <m:dPr>
              <m:begChr m:val="["/>
              <m:sepChr m:val=""/>
              <m:endChr m:val="]"/>
              <m:grow/>
            </m:dPr>
            <m:e>
              <m:sSup>
                <m:e>
                  <m:d>
                    <m:dPr>
                      <m:begChr m:val="("/>
                      <m:sepChr m:val=""/>
                      <m:endChr m:val=")"/>
                      <m:grow/>
                    </m:dPr>
                    <m:e>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e>
                  </m:d>
                </m:e>
                <m:sup>
                  <m:r>
                    <m:t>2</m:t>
                  </m:r>
                </m:sup>
              </m:sSup>
            </m:e>
          </m:d>
        </m:oMath>
      </m:oMathPara>
    </w:p>
    <w:p>
      <w:pPr>
        <w:pStyle w:val="FirstParagraph"/>
      </w:pPr>
      <w:r>
        <w:rPr>
          <w:rFonts w:hint="eastAsia"/>
        </w:rPr>
        <w:t xml:space="preserve">其中</w:t>
      </w:r>
      <w:r>
        <w:t xml:space="preserve"> </w:t>
      </w:r>
      <m:oMath>
        <m:r>
          <m:rPr>
            <m:scr m:val="script"/>
            <m:sty m:val="p"/>
          </m:rPr>
          <m:t>D</m:t>
        </m:r>
      </m:oMath>
      <w:r>
        <w:t xml:space="preserve"> </w:t>
      </w:r>
      <w:r>
        <w:rPr>
          <w:rFonts w:hint="eastAsia"/>
        </w:rPr>
        <w:t xml:space="preserve">为经验回放缓冲区。该训练机制通过打破样本时序相关性并延迟目标值更新，提升了价值学习过程的数值稳定性。</w:t>
      </w:r>
    </w:p>
    <w:p>
      <w:pPr>
        <w:pStyle w:val="BodyText"/>
      </w:pPr>
      <w:r>
        <w:rPr>
          <w:rFonts w:hint="eastAsia"/>
        </w:rPr>
        <w:t xml:space="preserve">训练阶段采用固定步长交互，主要基于两点考虑：其一，若仅在触发时采样，经验分布会过度集中于突发工况，从而削弱价值函数在平稳工况下的估计一致性；其二，固定步长能够维持状态</w:t>
      </w:r>
      <w:r>
        <w:t xml:space="preserve"> - </w:t>
      </w:r>
      <w:r>
        <w:rPr>
          <w:rFonts w:hint="eastAsia"/>
        </w:rPr>
        <w:t xml:space="preserve">动作覆盖的连续性，提升经验回放与目标网络更新的数值稳定性。这种设计使策略网络在训练期间充分覆盖状态</w:t>
      </w:r>
      <w:r>
        <w:t xml:space="preserve"> - </w:t>
      </w:r>
      <w:r>
        <w:rPr>
          <w:rFonts w:hint="eastAsia"/>
        </w:rPr>
        <w:t xml:space="preserve">动作空间，部署时再借助门控机制实现动作更新的稀疏化。</w:t>
      </w:r>
    </w:p>
    <w:p>
      <w:pPr>
        <w:pStyle w:val="Compact"/>
        <w:numPr>
          <w:ilvl w:val="0"/>
          <w:numId w:val="1008"/>
        </w:numPr>
      </w:pPr>
      <w:r>
        <w:rPr>
          <w:rFonts w:hint="eastAsia"/>
        </w:rPr>
        <w:t xml:space="preserve">事件驱动在线执行算法</w:t>
      </w:r>
    </w:p>
    <w:p>
      <w:pPr>
        <w:pStyle w:val="FirstParagraph"/>
      </w:pPr>
      <w:r>
        <w:rPr>
          <w:rFonts w:hint="eastAsia"/>
        </w:rPr>
        <w:t xml:space="preserve">在在线运行阶段，系统按固定时钟步长完成特征采样，但通过事件驱动机制决定是否更新控制动作。具体流程如下：首先将提取的门控特征</w:t>
      </w:r>
      <w:r>
        <w:t xml:space="preserve"> </w:t>
      </w:r>
      <m:oMath>
        <m:sSub>
          <m:e>
            <m:r>
              <m:t>s</m:t>
            </m:r>
          </m:e>
          <m:sub>
            <m:r>
              <m:t>t</m:t>
            </m:r>
          </m:sub>
        </m:sSub>
      </m:oMath>
      <w:r>
        <w:t xml:space="preserve"> </w:t>
      </w:r>
      <w:r>
        <w:rPr>
          <w:rFonts w:hint="eastAsia"/>
        </w:rPr>
        <w:t xml:space="preserve">传递至流式门控模块，获得布尔型门控信号，并据此生成动作更新标志。当满足触发条件时，系统调用</w:t>
      </w:r>
      <w:r>
        <w:t xml:space="preserve"> DQN </w:t>
      </w:r>
      <w:r>
        <w:rPr>
          <w:rFonts w:hint="eastAsia"/>
        </w:rPr>
        <w:t xml:space="preserve">策略网络前向推理输出新的控制设定点；当未满足触发条件时，系统采用零阶保持器维持上一时刻的控制指令。其执行律表述为：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rPr>
          <w:b/>
          <w:bCs/>
        </w:rPr>
        <w:t xml:space="preserve">Algorithm 1.</w:t>
      </w:r>
      <w:r>
        <w:t xml:space="preserve"> </w:t>
      </w:r>
      <w:r>
        <w:t xml:space="preserve">Event-Triggered Predictive RL (ET-PRL) Online Control Procedure</w:t>
      </w:r>
    </w:p>
    <w:p>
      <w:pPr>
        <w:pStyle w:val="SourceCode"/>
      </w:pPr>
      <w:r>
        <w:rPr>
          <w:rStyle w:val="VerbatimChar"/>
        </w:rPr>
        <w:t xml:space="preserve">Require: Trained policy network π_DQN, gate parameters Ω, min trigger interval Δ_min, total steps T</w:t>
      </w:r>
      <w:r>
        <w:br/>
      </w:r>
      <w:r>
        <w:rPr>
          <w:rStyle w:val="VerbatimChar"/>
        </w:rPr>
        <w:t xml:space="preserve">Require: Initial action u_0, last trigger time t_last ← −∞, anomaly score window A_0</w:t>
      </w:r>
      <w:r>
        <w:br/>
      </w:r>
      <w:r>
        <w:rPr>
          <w:rStyle w:val="VerbatimChar"/>
        </w:rPr>
        <w:t xml:space="preserve">1: for t = 1 to T do</w:t>
      </w:r>
      <w:r>
        <w:br/>
      </w:r>
      <w:r>
        <w:rPr>
          <w:rStyle w:val="VerbatimChar"/>
        </w:rPr>
        <w:t xml:space="preserve">2:     Collect Q_load^t, T_wb^t, Q̂_load^(t+1), form state s_t = [Q_load^t, T_wb^t, Q̂_load^(t+1)]</w:t>
      </w:r>
      <w:r>
        <w:br/>
      </w:r>
      <w:r>
        <w:rPr>
          <w:rStyle w:val="VerbatimChar"/>
        </w:rPr>
        <w:t xml:space="preserve">3:     Compute anomaly scores A_short(s_t), A_medium(s_t), A_long(s_t) on short/medium/long windows</w:t>
      </w:r>
      <w:r>
        <w:br/>
      </w:r>
      <w:r>
        <w:rPr>
          <w:rStyle w:val="VerbatimChar"/>
        </w:rPr>
        <w:t xml:space="preserve">4:     Fuse to obtain overall anomaly score:</w:t>
      </w:r>
      <w:r>
        <w:br/>
      </w:r>
      <w:r>
        <w:rPr>
          <w:rStyle w:val="VerbatimChar"/>
        </w:rPr>
        <w:t xml:space="preserve">5:     A(s_t) = w_s·A_short(s_t) + w_m·A_medium(s_t) + w_l·A_long(s_t)</w:t>
      </w:r>
      <w:r>
        <w:br/>
      </w:r>
      <w:r>
        <w:rPr>
          <w:rStyle w:val="VerbatimChar"/>
        </w:rPr>
        <w:t xml:space="preserve">6:     Compute candidate local threshold from window A_t:</w:t>
      </w:r>
      <w:r>
        <w:br/>
      </w:r>
      <w:r>
        <w:rPr>
          <w:rStyle w:val="VerbatimChar"/>
        </w:rPr>
        <w:t xml:space="preserve">7:     τ_cand^(t) = ω_q·τ_q^(t) + (1−ω_q)·τ_mad^(t)</w:t>
      </w:r>
      <w:r>
        <w:br/>
      </w:r>
      <w:r>
        <w:rPr>
          <w:rStyle w:val="VerbatimChar"/>
        </w:rPr>
        <w:t xml:space="preserve">8:     Update local threshold: τ_local^(t) = (1−λ_local)·τ_local^(t−1) + λ_local·τ_cand^(t)</w:t>
      </w:r>
      <w:r>
        <w:br/>
      </w:r>
      <w:r>
        <w:rPr>
          <w:rStyle w:val="VerbatimChar"/>
        </w:rPr>
        <w:t xml:space="preserve">9:     Update global threshold: τ_global^(t) = (1−λ_g)·τ_global^(t−1) + λ_g·τ_local^(t)</w:t>
      </w:r>
      <w:r>
        <w:br/>
      </w:r>
      <w:r>
        <w:rPr>
          <w:rStyle w:val="VerbatimChar"/>
        </w:rPr>
        <w:t xml:space="preserve">10:    τ̃_t = α_local·τ_local^(t) + (1−α_local)·τ_global^(t) + b_bias</w:t>
      </w:r>
      <w:r>
        <w:br/>
      </w:r>
      <w:r>
        <w:rPr>
          <w:rStyle w:val="VerbatimChar"/>
        </w:rPr>
        <w:t xml:space="preserve">11:    τ_t^* = clip(τ̃_t + m_hys, 0, 1)</w:t>
      </w:r>
      <w:r>
        <w:br/>
      </w:r>
      <w:r>
        <w:rPr>
          <w:rStyle w:val="VerbatimChar"/>
        </w:rPr>
        <w:t xml:space="preserve">12:    if A(s_t) &gt; τ_t^* and (t − t_last) &gt; Δ_min then</w:t>
      </w:r>
      <w:r>
        <w:br/>
      </w:r>
      <w:r>
        <w:rPr>
          <w:rStyle w:val="VerbatimChar"/>
        </w:rPr>
        <w:t xml:space="preserve">13:        u_t ← π_DQN(s_t); t_last ← t</w:t>
      </w:r>
      <w:r>
        <w:br/>
      </w:r>
      <w:r>
        <w:rPr>
          <w:rStyle w:val="VerbatimChar"/>
        </w:rPr>
        <w:t xml:space="preserve">14:    else</w:t>
      </w:r>
      <w:r>
        <w:br/>
      </w:r>
      <w:r>
        <w:rPr>
          <w:rStyle w:val="VerbatimChar"/>
        </w:rPr>
        <w:t xml:space="preserve">15:        u_t ← u_(t−1)    ⟹  ZOH hold</w:t>
      </w:r>
      <w:r>
        <w:br/>
      </w:r>
      <w:r>
        <w:rPr>
          <w:rStyle w:val="VerbatimChar"/>
        </w:rPr>
        <w:t xml:space="preserve">16:    end if</w:t>
      </w:r>
      <w:r>
        <w:br/>
      </w:r>
      <w:r>
        <w:rPr>
          <w:rStyle w:val="VerbatimChar"/>
        </w:rPr>
        <w:t xml:space="preserve">17:    Execute u_t; append A(s_t) to window for t+1 threshold update</w:t>
      </w:r>
      <w:r>
        <w:br/>
      </w:r>
      <w:r>
        <w:rPr>
          <w:rStyle w:val="VerbatimChar"/>
        </w:rPr>
        <w:t xml:space="preserve">18: end for</w:t>
      </w:r>
    </w:p>
    <w:bookmarkEnd w:id="15"/>
    <w:bookmarkEnd w:id="16"/>
    <w:bookmarkStart w:id="25" w:name="案例系统与仿真环境"/>
    <w:p>
      <w:pPr>
        <w:pStyle w:val="Heading1"/>
      </w:pPr>
      <w:r>
        <w:t xml:space="preserve">4. </w:t>
      </w:r>
      <w:r>
        <w:rPr>
          <w:rFonts w:hint="eastAsia"/>
        </w:rPr>
        <w:t xml:space="preserve">案例系统与仿真环境</w:t>
      </w:r>
    </w:p>
    <w:bookmarkStart w:id="17" w:name="建筑热力系统建模"/>
    <w:p>
      <w:pPr>
        <w:pStyle w:val="Heading2"/>
      </w:pPr>
      <w:r>
        <w:t xml:space="preserve">4.1 </w:t>
      </w:r>
      <w:r>
        <w:rPr>
          <w:rFonts w:hint="eastAsia"/>
        </w:rPr>
        <w:t xml:space="preserve">建筑热力系统建模</w:t>
      </w:r>
    </w:p>
    <w:p>
      <w:pPr>
        <w:pStyle w:val="FirstParagraph"/>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软件构建仿真环境。该模型已在前期研究中基于实测数据完成参数校验，验证了其对系统热力学特性的有效表征能力。冷源系统配置为典型的一次泵定流量系统（Primary</w:t>
      </w:r>
      <w:r>
        <w:t xml:space="preserve"> Constant Flow </w:t>
      </w:r>
      <w:r>
        <w:rPr>
          <w:rFonts w:hint="eastAsia"/>
        </w:rPr>
        <w:t xml:space="preserve">System），核心组件包括离心式冷水机组、冷冻水泵、冷却水泵及冷却塔。</w:t>
      </w:r>
    </w:p>
    <w:p>
      <w:pPr>
        <w:pStyle w:val="BodyText"/>
      </w:pPr>
      <w:r>
        <w:rPr>
          <w:rFonts w:hint="eastAsia"/>
        </w:rPr>
        <w:t xml:space="preserve">为准确模拟系统的能耗与热力学特性，本研究对各核心组件的额定参数进行了统一设定。系统关键设备的设计参数汇总见表</w:t>
      </w:r>
      <w:r>
        <w:t xml:space="preserve"> 4-1。</w:t>
      </w:r>
    </w:p>
    <w:p>
      <w:pPr>
        <w:pStyle w:val="BodyText"/>
      </w:pPr>
      <w:r>
        <w:rPr>
          <w:rFonts w:hint="eastAsia"/>
        </w:rPr>
        <w:t xml:space="preserve">表</w:t>
      </w:r>
      <w:r>
        <w:t xml:space="preserve"> 4-1 HVAC </w:t>
      </w:r>
      <w:r>
        <w:rPr>
          <w:rFonts w:hint="eastAsia"/>
        </w:rPr>
        <w:t xml:space="preserve">系统关键设备参数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w:t>
            </w:r>
            <w:r>
              <w:rPr>
                <w:b/>
                <w:bCs/>
              </w:rPr>
              <w:t xml:space="preserve"> (Pref,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t xml:space="preserve">COP </w:t>
            </w:r>
            <w:r>
              <w:rPr>
                <w:rFonts w:hint="eastAsia"/>
              </w:rPr>
              <w:t xml:space="preserve">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pStyle w:val="BodyText"/>
      </w:pPr>
      <w:r>
        <w:rPr>
          <w:rFonts w:hint="eastAsia"/>
        </w:rPr>
        <w:t xml:space="preserve">基于上述参数，冷冻水侧的热量传递过程可由热力学守恒关系描述。本文在计算中采用标准水物性参数：比热容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。瞬时冷负荷计算公式为：</w:t>
      </w:r>
    </w:p>
    <w:p>
      <w:pPr>
        <w:pStyle w:val="BodyText"/>
      </w:pPr>
      <m:oMathPara>
        <m:oMathParaPr>
          <m:jc m:val="center"/>
        </m:oMathParaPr>
        <m:oMath>
          <m:sSub>
            <m:e>
              <m:r>
                <m:t>Q</m:t>
              </m:r>
            </m:e>
            <m:sub>
              <m:r>
                <m:t>l</m:t>
              </m:r>
              <m:r>
                <m:t>o</m:t>
              </m:r>
              <m:r>
                <m:t>a</m:t>
              </m:r>
              <m:r>
                <m:t>d</m:t>
              </m:r>
            </m:sub>
          </m:sSub>
          <m:r>
            <m:rPr>
              <m:sty m:val="p"/>
            </m:rPr>
            <m:t>=</m:t>
          </m:r>
          <m:sSub>
            <m:e>
              <m:r>
                <m:t>ρ</m:t>
              </m:r>
            </m:e>
            <m:sub>
              <m:r>
                <m:rPr>
                  <m:nor/>
                  <m:sty m:val="p"/>
                </m:rPr>
                <m:t>water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pStyle w:val="FirstParagraph"/>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分别表示冷冻水回水温度与供水温度。该物理建模过程保证了仿真环境能够较为真实地反映控制策略对系统热力状态的影响。</w:t>
      </w:r>
    </w:p>
    <w:bookmarkEnd w:id="17"/>
    <w:bookmarkStart w:id="24" w:name="气象与负荷数据集特征"/>
    <w:p>
      <w:pPr>
        <w:pStyle w:val="Heading2"/>
      </w:pPr>
      <w:r>
        <w:t xml:space="preserve">4.2 </w:t>
      </w:r>
      <w:r>
        <w:rPr>
          <w:rFonts w:hint="eastAsia"/>
        </w:rPr>
        <w:t xml:space="preserve">气象与负荷数据集特征</w:t>
      </w:r>
    </w:p>
    <w:p>
      <w:pPr>
        <w:pStyle w:val="FirstParagraph"/>
      </w:pPr>
      <w:r>
        <w:rPr>
          <w:rFonts w:hint="eastAsia"/>
        </w:rPr>
        <w:t xml:space="preserve">本研究采用基于上海地区典型气象年（Typical</w:t>
      </w:r>
      <w:r>
        <w:t xml:space="preserve"> Meteorological Year, </w:t>
      </w:r>
      <w:r>
        <w:rPr>
          <w:rFonts w:hint="eastAsia"/>
        </w:rPr>
        <w:t xml:space="preserve">TMY）生成的建筑冷负荷仿真数据集，采样间隔设定为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个时间步，能够同时表征日内周期性波动与季节尺度变化。统计结果表明：冷负荷峰值为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，变异系数（CV）为</w:t>
      </w:r>
      <w:r>
        <w:t xml:space="preserve"> </w:t>
      </w:r>
      <m:oMath>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t xml:space="preserve">。</w:t>
      </w:r>
    </w:p>
    <w:p>
      <w:pPr>
        <w:pStyle w:val="BodyText"/>
      </w:pPr>
      <w:r>
        <w:rPr>
          <w:rFonts w:hint="eastAsia"/>
        </w:rPr>
        <w:t xml:space="preserve">图</w:t>
      </w:r>
      <w:r>
        <w:t xml:space="preserve"> 4-2-1 </w:t>
      </w:r>
      <w:r>
        <w:rPr>
          <w:rFonts w:hint="eastAsia"/>
        </w:rPr>
        <w:t xml:space="preserve">展示了冷负荷与气象变量在不同时间尺度上的变化特征。图</w:t>
      </w:r>
      <w:r>
        <w:t xml:space="preserve"> 4-2-1(a) </w:t>
      </w:r>
      <w:r>
        <w:rPr>
          <w:rFonts w:hint="eastAsia"/>
        </w:rPr>
        <w:t xml:space="preserve">给出全季数据中选取的代表性</w:t>
      </w:r>
      <w:r>
        <w:t xml:space="preserve"> 14 </w:t>
      </w:r>
      <w:r>
        <w:rPr>
          <w:rFonts w:hint="eastAsia"/>
        </w:rPr>
        <w:t xml:space="preserve">天连续片段，结果表明冷负荷（</w:t>
      </w:r>
      <m:oMath>
        <m:sSub>
          <m:e>
            <m:r>
              <m:t>Q</m:t>
            </m:r>
          </m:e>
          <m:sub>
            <m:r>
              <m:t>l</m:t>
            </m:r>
            <m:r>
              <m:t>o</m:t>
            </m:r>
            <m:r>
              <m:t>a</m:t>
            </m:r>
            <m:r>
              <m:t>d</m:t>
            </m:r>
          </m:sub>
        </m:sSub>
      </m:oMath>
      <w:r>
        <w:rPr>
          <w:rFonts w:hint="eastAsia"/>
        </w:rPr>
        <w:t xml:space="preserve">）与湿球温度（</w:t>
      </w:r>
      <m:oMath>
        <m:sSub>
          <m:e>
            <m:r>
              <m:t>T</m:t>
            </m:r>
          </m:e>
          <m:sub>
            <m:r>
              <m:t>w</m:t>
            </m:r>
            <m:r>
              <m:t>b</m:t>
            </m:r>
          </m:sub>
        </m:sSub>
      </m:oMath>
      <w:r>
        <w:rPr>
          <w:rFonts w:hint="eastAsia"/>
        </w:rPr>
        <w:t xml:space="preserve">）在高负荷阶段总体呈同向变化，且</w:t>
      </w:r>
      <w:r>
        <w:t xml:space="preserve"> </w:t>
      </w:r>
      <m:oMath>
        <m:sSub>
          <m:e>
            <m:r>
              <m:t>Q</m:t>
            </m:r>
          </m:e>
          <m:sub>
            <m:r>
              <m:t>l</m:t>
            </m:r>
            <m:r>
              <m:t>o</m:t>
            </m:r>
            <m:r>
              <m:t>a</m:t>
            </m:r>
            <m:r>
              <m:t>d</m:t>
            </m:r>
          </m:sub>
        </m:sSub>
      </m:oMath>
      <w:r>
        <w:t xml:space="preserve"> </w:t>
      </w:r>
      <w:r>
        <w:rPr>
          <w:rFonts w:hint="eastAsia"/>
        </w:rPr>
        <w:t xml:space="preserve">的昼夜振幅显著高于</w:t>
      </w:r>
      <w:r>
        <w:t xml:space="preserve"> </w:t>
      </w:r>
      <m:oMath>
        <m:sSub>
          <m:e>
            <m:r>
              <m:t>T</m:t>
            </m:r>
          </m:e>
          <m:sub>
            <m:r>
              <m:t>w</m:t>
            </m:r>
            <m:r>
              <m:t>b</m:t>
            </m:r>
          </m:sub>
        </m:sSub>
      </m:oMath>
      <w:r>
        <w:rPr>
          <w:rFonts w:hint="eastAsia"/>
        </w:rPr>
        <w:t xml:space="preserve">。图</w:t>
      </w:r>
      <w:r>
        <w:t xml:space="preserve"> 4-2-1(b) </w:t>
      </w:r>
      <w:r>
        <w:rPr>
          <w:rFonts w:hint="eastAsia"/>
        </w:rPr>
        <w:t xml:space="preserve">给出按日内时刻聚合后的均值曲线，结果显示</w:t>
      </w:r>
      <w:r>
        <w:t xml:space="preserve"> </w:t>
      </w:r>
      <m:oMath>
        <m:sSub>
          <m:e>
            <m:r>
              <m:t>Q</m:t>
            </m:r>
          </m:e>
          <m:sub>
            <m:r>
              <m:t>l</m:t>
            </m:r>
            <m:r>
              <m:t>o</m:t>
            </m:r>
            <m:r>
              <m:t>a</m:t>
            </m:r>
            <m:r>
              <m:t>d</m:t>
            </m:r>
          </m:sub>
        </m:sSub>
      </m:oMath>
      <w:r>
        <w:t xml:space="preserve"> </w:t>
      </w:r>
      <w:r>
        <w:rPr>
          <w:rFonts w:hint="eastAsia"/>
        </w:rPr>
        <w:t xml:space="preserve">在白天工作时段持续抬升并于夜间回落，而</w:t>
      </w:r>
      <w:r>
        <w:t xml:space="preserve"> </w:t>
      </w:r>
      <m:oMath>
        <m:sSub>
          <m:e>
            <m:r>
              <m:t>T</m:t>
            </m:r>
          </m:e>
          <m:sub>
            <m:r>
              <m:t>w</m:t>
            </m:r>
            <m:r>
              <m:t>b</m:t>
            </m:r>
          </m:sub>
        </m:sSub>
      </m:oMath>
      <w:r>
        <w:t xml:space="preserve"> </w:t>
      </w:r>
      <w:r>
        <w:rPr>
          <w:rFonts w:hint="eastAsia"/>
        </w:rPr>
        <w:t xml:space="preserve">的日内波动相对缓和。</w:t>
      </w:r>
    </w:p>
    <w:p>
      <w:pPr>
        <w:pStyle w:val="BodyText"/>
      </w:pPr>
      <w:r>
        <w:rPr>
          <w:rFonts w:hint="eastAsia"/>
        </w:rPr>
        <w:t xml:space="preserve">图</w:t>
      </w:r>
      <w:r>
        <w:t xml:space="preserve"> 4-2-2 </w:t>
      </w:r>
      <w:r>
        <w:rPr>
          <w:rFonts w:hint="eastAsia"/>
        </w:rPr>
        <w:t xml:space="preserve">进一步展示了关键变量的边际分布与联合分布特征。图</w:t>
      </w:r>
      <w:r>
        <w:t xml:space="preserve"> 4-2-2(a) </w:t>
      </w:r>
      <w:r>
        <w:rPr>
          <w:rFonts w:hint="eastAsia"/>
        </w:rPr>
        <w:t xml:space="preserve">表明冷负荷分布呈明显右偏与长尾特性，说明高负荷样本占比虽低但持续存在。图</w:t>
      </w:r>
      <w:r>
        <w:t xml:space="preserve"> 4-2-2(b) </w:t>
      </w:r>
      <w:r>
        <w:rPr>
          <w:rFonts w:hint="eastAsia"/>
        </w:rPr>
        <w:t xml:space="preserve">表明湿球温度主要集中于相对狭窄区间，刻画了外生气象扰动的有效波动边界。图</w:t>
      </w:r>
      <w:r>
        <w:t xml:space="preserve"> 4-2-2(c) </w:t>
      </w:r>
      <w:r>
        <w:rPr>
          <w:rFonts w:hint="eastAsia"/>
        </w:rPr>
        <w:t xml:space="preserve">的联合密度结果显示，</w:t>
      </w:r>
      <m:oMath>
        <m:sSub>
          <m:e>
            <m:r>
              <m:t>T</m:t>
            </m:r>
          </m:e>
          <m:sub>
            <m:r>
              <m:t>w</m:t>
            </m:r>
            <m:r>
              <m:t>b</m:t>
            </m:r>
          </m:sub>
        </m:sSub>
      </m:oMath>
      <w:r>
        <w:t xml:space="preserve"> </w:t>
      </w:r>
      <w:r>
        <w:rPr>
          <w:rFonts w:hint="eastAsia"/>
        </w:rPr>
        <w:t xml:space="preserve">与</w:t>
      </w:r>
      <w:r>
        <w:t xml:space="preserve"> </w:t>
      </w:r>
      <m:oMath>
        <m:sSub>
          <m:e>
            <m:r>
              <m:t>Q</m:t>
            </m:r>
          </m:e>
          <m:sub>
            <m:r>
              <m:t>l</m:t>
            </m:r>
            <m:r>
              <m:t>o</m:t>
            </m:r>
            <m:r>
              <m:t>a</m:t>
            </m:r>
            <m:r>
              <m:t>d</m:t>
            </m:r>
          </m:sub>
        </m:sSub>
      </m:oMath>
      <w:r>
        <w:t xml:space="preserve"> </w:t>
      </w:r>
      <w:r>
        <w:rPr>
          <w:rFonts w:hint="eastAsia"/>
        </w:rPr>
        <w:t xml:space="preserve">的关系并非单一线性带状结构，而是在不同温度区间呈现异质性密度聚集。综合图</w:t>
      </w:r>
      <w:r>
        <w:t xml:space="preserve"> 4-2-1 </w:t>
      </w:r>
      <w:r>
        <w:rPr>
          <w:rFonts w:hint="eastAsia"/>
        </w:rPr>
        <w:t xml:space="preserve">与图</w:t>
      </w:r>
      <w:r>
        <w:t xml:space="preserve"> 4-2-2 </w:t>
      </w:r>
      <w:r>
        <w:rPr>
          <w:rFonts w:hint="eastAsia"/>
        </w:rPr>
        <w:t xml:space="preserve">可知，该数据集同时具备显著时序周期性与非线性联合分布特征，可为门控机制中的联合特征建模与动态判别提供数据依据。</w:t>
      </w:r>
    </w:p>
    <w:p>
      <w:pPr>
        <w:pStyle w:val="CaptionedFigure"/>
      </w:pPr>
      <w:r>
        <w:drawing>
          <wp:inline>
            <wp:extent cx="5334000" cy="3426797"/>
            <wp:effectExtent b="0" l="0" r="0" t="0"/>
            <wp:docPr descr="图 4-2-1 数据集时序特征可视化（全时段序列与日内统计轮廓）" title="" id="19" name="Picture"/>
            <a:graphic>
              <a:graphicData uri="http://schemas.openxmlformats.org/drawingml/2006/picture">
                <pic:pic>
                  <pic:nvPicPr>
                    <pic:cNvPr descr="../pics/fig_4_2_1_dataset_temporal_characteristics.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rPr>
          <w:rFonts w:hint="eastAsia"/>
        </w:rPr>
        <w:t xml:space="preserve">图</w:t>
      </w:r>
      <w:r>
        <w:t xml:space="preserve"> 4-2-1 </w:t>
      </w:r>
      <w:r>
        <w:rPr>
          <w:rFonts w:hint="eastAsia"/>
        </w:rPr>
        <w:t xml:space="preserve">数据集时序特征可视化（全时段序列与日内统计轮廓）</w:t>
      </w:r>
    </w:p>
    <w:p>
      <w:pPr>
        <w:pStyle w:val="CaptionedFigure"/>
      </w:pPr>
      <w:r>
        <w:drawing>
          <wp:inline>
            <wp:extent cx="5334000" cy="1530032"/>
            <wp:effectExtent b="0" l="0" r="0" t="0"/>
            <wp:docPr descr="图 4-2-2 数据集分布与特征依赖关系可视化" title="" id="22" name="Picture"/>
            <a:graphic>
              <a:graphicData uri="http://schemas.openxmlformats.org/drawingml/2006/picture">
                <pic:pic>
                  <pic:nvPicPr>
                    <pic:cNvPr descr="../pics/fig_4_2_2_dataset_distribution_and_correlation.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rPr>
          <w:rFonts w:hint="eastAsia"/>
        </w:rPr>
        <w:t xml:space="preserve">图</w:t>
      </w:r>
      <w:r>
        <w:t xml:space="preserve"> 4-2-2 </w:t>
      </w:r>
      <w:r>
        <w:rPr>
          <w:rFonts w:hint="eastAsia"/>
        </w:rPr>
        <w:t xml:space="preserve">数据集分布与特征依赖关系可视化</w:t>
      </w:r>
    </w:p>
    <w:p>
      <w:pPr>
        <w:pStyle w:val="BodyText"/>
      </w:pPr>
      <w:r>
        <w:rPr>
          <w:rFonts w:hint="eastAsia"/>
        </w:rPr>
        <w:t xml:space="preserve">在预处理阶段，针对原始仿真序列中出现的少量非物理负值（共</w:t>
      </w:r>
      <w:r>
        <w:t xml:space="preserve"> 8 </w:t>
      </w:r>
      <w:r>
        <w:rPr>
          <w:rFonts w:hint="eastAsia"/>
        </w:rPr>
        <w:t xml:space="preserve">处），本文采用零值截断进行修正。为增强状态表征的前瞻性，进一步引入由</w:t>
      </w:r>
      <w:r>
        <w:t xml:space="preserve"> LSTM </w:t>
      </w:r>
      <w:r>
        <w:rPr>
          <w:rFonts w:hint="eastAsia"/>
        </w:rPr>
        <w:t xml:space="preserve">模型生成的下一时刻负荷预测值</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作为增广特征，从而构建同时包含当前运行状态与短时演化趋势的输入表示。</w:t>
      </w:r>
    </w:p>
    <w:p>
      <w:pPr>
        <w:pStyle w:val="BodyText"/>
      </w:pPr>
      <w:r>
        <w:rPr>
          <w:rFonts w:hint="eastAsia"/>
        </w:rPr>
        <w:t xml:space="preserve">为避免时间信息泄漏并贴合实际部署场景，本文采用严格的时间顺序划分（Chronological</w:t>
      </w:r>
      <w:r>
        <w:t xml:space="preserve"> </w:t>
      </w:r>
      <w:r>
        <w:rPr>
          <w:rFonts w:hint="eastAsia"/>
        </w:rPr>
        <w:t xml:space="preserve">Split）策略，将数据集按时间先后划分为训练集、验证集与测试集，比例设定为</w:t>
      </w:r>
      <w:r>
        <w:t xml:space="preserve"> 70:15:15。</w:t>
      </w:r>
    </w:p>
    <w:bookmarkEnd w:id="24"/>
    <w:bookmarkEnd w:id="25"/>
    <w:bookmarkStart w:id="49" w:name="实验及结果"/>
    <w:p>
      <w:pPr>
        <w:pStyle w:val="Heading1"/>
      </w:pPr>
      <w:r>
        <w:t xml:space="preserve">5. </w:t>
      </w:r>
      <w:r>
        <w:rPr>
          <w:rFonts w:hint="eastAsia"/>
        </w:rPr>
        <w:t xml:space="preserve">实验及结果</w:t>
      </w:r>
    </w:p>
    <w:bookmarkStart w:id="29" w:name="实验设置-experimental-setup"/>
    <w:p>
      <w:pPr>
        <w:pStyle w:val="Heading2"/>
      </w:pPr>
      <w:r>
        <w:t xml:space="preserve">5.1 </w:t>
      </w:r>
      <w:r>
        <w:rPr>
          <w:rFonts w:hint="eastAsia"/>
        </w:rPr>
        <w:t xml:space="preserve">实验设置</w:t>
      </w:r>
      <w:r>
        <w:t xml:space="preserve"> (Experimental Setup)</w:t>
      </w:r>
    </w:p>
    <w:p>
      <w:pPr>
        <w:pStyle w:val="Compact"/>
        <w:numPr>
          <w:ilvl w:val="0"/>
          <w:numId w:val="1009"/>
        </w:numPr>
      </w:pP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5-1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分钟。所有超参数均通过贝叶斯优化算法确定，并在验证集上完成性能筛选后固定用于后续实验。</w:t>
      </w:r>
    </w:p>
    <w:p>
      <w:pPr>
        <w:pStyle w:val="Compact"/>
        <w:numPr>
          <w:ilvl w:val="0"/>
          <w:numId w:val="1010"/>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10"/>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p>
      <w:pPr>
        <w:pStyle w:val="FirstParagraph"/>
      </w:pPr>
      <w:r>
        <w:rPr>
          <w:rFonts w:hint="eastAsia"/>
        </w:rPr>
        <w:t xml:space="preserve">表</w:t>
      </w:r>
      <w:r>
        <w:t xml:space="preserve"> 5-1 </w:t>
      </w:r>
      <w:r>
        <w:rPr>
          <w:rFonts w:hint="eastAsia"/>
        </w:rPr>
        <w:t xml:space="preserve">关键超参数设置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0.0625</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135</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0.595659</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700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0.310449</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0.675</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0.043058</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0.667542</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1.135275</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0.575</m:t>
              </m:r>
            </m:oMath>
          </w:p>
        </w:tc>
      </w:tr>
      <w:tr>
        <w:tc>
          <w:tcPr/>
          <w:p>
            <w:pPr>
              <w:pStyle w:val="Compact"/>
            </w:pPr>
          </w:p>
        </w:tc>
        <w:tc>
          <w:tcPr/>
          <w:p>
            <w:pPr>
              <w:pStyle w:val="Compact"/>
            </w:pPr>
            <w:r>
              <w:t xml:space="preserve">Trigger hysteresis margin</w:t>
            </w:r>
          </w:p>
        </w:tc>
        <w:tc>
          <w:tcPr/>
          <w:p>
            <w:pPr>
              <w:pStyle w:val="Compact"/>
            </w:pPr>
            <m:oMath>
              <m:sSub>
                <m:e>
                  <m:r>
                    <m:t>m</m:t>
                  </m:r>
                </m:e>
                <m:sub>
                  <m:r>
                    <m:rPr>
                      <m:sty m:val="p"/>
                    </m:rPr>
                    <m:t>h</m:t>
                  </m:r>
                  <m:r>
                    <m:rPr>
                      <m:sty m:val="p"/>
                    </m:rPr>
                    <m:t>y</m:t>
                  </m:r>
                  <m:r>
                    <m:rPr>
                      <m:sty m:val="p"/>
                    </m:rPr>
                    <m:t>s</m:t>
                  </m:r>
                </m:sub>
              </m:sSub>
            </m:oMath>
          </w:p>
        </w:tc>
        <w:tc>
          <w:tcPr/>
          <w:p>
            <w:pPr>
              <w:pStyle w:val="Compact"/>
            </w:pPr>
            <m:oMath>
              <m:r>
                <m:t>0.021760</m:t>
              </m:r>
            </m:oMath>
          </w:p>
        </w:tc>
      </w:tr>
      <w:tr>
        <w:tc>
          <w:tcPr/>
          <w:p>
            <w:pPr>
              <w:pStyle w:val="Compact"/>
            </w:pPr>
          </w:p>
        </w:tc>
        <w:tc>
          <w:tcPr/>
          <w:p>
            <w:pPr>
              <w:pStyle w:val="Compact"/>
            </w:pPr>
            <w:r>
              <w:t xml:space="preserve">Min samples for threshold optimization</w:t>
            </w:r>
          </w:p>
        </w:tc>
        <w:tc>
          <w:tcPr/>
          <w:p>
            <w:pPr>
              <w:pStyle w:val="Compact"/>
            </w:pPr>
            <m:oMath>
              <m:sSub>
                <m:e>
                  <m:r>
                    <m:t>N</m:t>
                  </m:r>
                </m:e>
                <m:sub>
                  <m:r>
                    <m:rPr>
                      <m:sty m:val="p"/>
                    </m:rPr>
                    <m:t>min</m:t>
                  </m:r>
                </m:sub>
              </m:sSub>
            </m:oMath>
          </w:p>
        </w:tc>
        <w:tc>
          <w:tcPr/>
          <w:p>
            <w:pPr>
              <w:pStyle w:val="Compact"/>
            </w:pPr>
            <m:oMath>
              <m:r>
                <m:t>70</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0.55</m:t>
              </m:r>
              <m:r>
                <m:rPr>
                  <m:sty m:val="p"/>
                </m:rPr>
                <m:t>,</m:t>
              </m:r>
              <m:r>
                <m:t>0.275</m:t>
              </m:r>
              <m:r>
                <m:rPr>
                  <m:sty m:val="p"/>
                </m:rPr>
                <m:t>,</m:t>
              </m:r>
              <m:r>
                <m:t>0.175</m:t>
              </m:r>
              <m:r>
                <m:rPr>
                  <m:sty m:val="p"/>
                </m:rPr>
                <m:t>]</m:t>
              </m:r>
            </m:oMath>
          </w:p>
        </w:tc>
      </w:tr>
    </w:tbl>
    <w:p>
      <w:pPr>
        <w:pStyle w:val="Compact"/>
        <w:numPr>
          <w:ilvl w:val="0"/>
          <w:numId w:val="1011"/>
        </w:numPr>
      </w:pP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12"/>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13"/>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13"/>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)：用于量化任一待评估方法相较统一比较基线的节能效果：</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numPr>
          <w:ilvl w:val="1"/>
          <w:numId w:val="1013"/>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12"/>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本研究采用冷冻水供水温度（代码记录字段</w:t>
      </w:r>
      <w:r>
        <w:t xml:space="preserve"> </w:t>
      </w:r>
      <w:r>
        <w:rPr>
          <w:rStyle w:val="VerbatimChar"/>
        </w:rPr>
        <w:t xml:space="preserve">chiller_supply_temp</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14"/>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14"/>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12"/>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15"/>
        </w:numPr>
      </w:pPr>
      <w:r>
        <w:rPr>
          <w:rFonts w:hint="eastAsia"/>
        </w:rPr>
        <w:t xml:space="preserve">动作更新总次数</w:t>
      </w:r>
      <w:r>
        <w:t xml:space="preserve"> (Total Action Updates,</w:t>
      </w:r>
      <w:r>
        <w:t xml:space="preserve"> </w:t>
      </w:r>
      <m:oMath>
        <m:sSub>
          <m:e>
            <m:r>
              <m:t>N</m:t>
            </m:r>
          </m:e>
          <m:sub>
            <m:r>
              <m:rPr>
                <m:nor/>
                <m:sty m:val="p"/>
              </m:rPr>
              <m:t>update</m:t>
            </m:r>
          </m:sub>
        </m:sSub>
      </m:oMath>
      <w:r>
        <w:rPr>
          <w:rFonts w:hint="eastAsia"/>
        </w:rPr>
        <w:t xml:space="preserve">)：用于统计测试周期内控制动作实际发生更新的总次数：</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numPr>
          <w:ilvl w:val="1"/>
          <w:numId w:val="1000"/>
        </w:numPr>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numPr>
          <w:ilvl w:val="1"/>
          <w:numId w:val="1015"/>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15"/>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numPr>
          <w:ilvl w:val="1"/>
          <w:numId w:val="1015"/>
        </w:numPr>
      </w:pPr>
      <w:r>
        <w:rPr>
          <w:rFonts w:hint="eastAsia"/>
        </w:rPr>
        <w:t xml:space="preserve">动作减少率</w:t>
      </w:r>
      <w:r>
        <w:t xml:space="preserve"> (Action Reduction Rate, </w:t>
      </w:r>
      <w:r>
        <w:rPr>
          <w:rFonts w:hint="eastAsia"/>
        </w:rPr>
        <w:t xml:space="preserve">ARR)：用于表征待评估策略相对固定步长策略减少的动作更新比例：</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numPr>
          <w:ilvl w:val="1"/>
          <w:numId w:val="1000"/>
        </w:numPr>
      </w:pPr>
      <w:r>
        <w:t xml:space="preserve">ARR </w:t>
      </w:r>
      <w:r>
        <w:rPr>
          <w:rFonts w:hint="eastAsia"/>
        </w:rPr>
        <w:t xml:space="preserve">值越大，表示动作更新压缩越充分，工程可解释性更直观。</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16"/>
        </w:numPr>
      </w:pPr>
      <w:r>
        <w:rPr>
          <w:rFonts w:hint="eastAsia"/>
        </w:rPr>
        <w:t xml:space="preserve">总奖励</w:t>
      </w:r>
      <w:r>
        <w:t xml:space="preserve"> (Cumulative Test Reward,</w:t>
      </w:r>
      <w:r>
        <w:t xml:space="preserve"> </w:t>
      </w:r>
      <m:oMath>
        <m:sSub>
          <m:e>
            <m:r>
              <m:t>R</m:t>
            </m:r>
          </m:e>
          <m:sub>
            <m:r>
              <m:rPr>
                <m:nor/>
                <m:sty m:val="p"/>
              </m:rPr>
              <m:t>test</m:t>
            </m:r>
          </m:sub>
        </m:sSub>
      </m:oMath>
      <w:r>
        <w:rPr>
          <w:rFonts w:hint="eastAsia"/>
        </w:rPr>
        <w:t xml:space="preserve">)：</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该指标用于衡量测试周期内策略的总体控制收益。</w:t>
      </w:r>
    </w:p>
    <w:p>
      <w:pPr>
        <w:numPr>
          <w:ilvl w:val="1"/>
          <w:numId w:val="1016"/>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numPr>
          <w:ilvl w:val="1"/>
          <w:numId w:val="1000"/>
        </w:numPr>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rPr>
          <w:rFonts w:hint="eastAsia"/>
        </w:rPr>
        <w:t xml:space="preserve">）。该指标用于衡量单位动作更新开销对应的平均控制收益。</w:t>
      </w:r>
    </w:p>
    <w:p>
      <w:pPr>
        <w:pStyle w:val="FirstParagraph"/>
      </w:pPr>
      <w:r>
        <w:rPr>
          <w:rFonts w:hint="eastAsia"/>
        </w:rPr>
        <w:t xml:space="preserve">评价指标体系与优化方向见附录表</w:t>
      </w:r>
      <w:r>
        <w:t xml:space="preserve"> A。</w:t>
      </w:r>
    </w:p>
    <w:p>
      <w:pPr>
        <w:pStyle w:val="Compact"/>
        <w:numPr>
          <w:ilvl w:val="0"/>
          <w:numId w:val="1017"/>
        </w:numPr>
      </w:pPr>
      <w:r>
        <w:rPr>
          <w:rFonts w:hint="eastAsia"/>
        </w:rPr>
        <w:t xml:space="preserve">基线策略训练稳定性与模型选择</w:t>
      </w:r>
    </w:p>
    <w:p>
      <w:pPr>
        <w:pStyle w:val="FirstParagraph"/>
      </w:pPr>
      <w:r>
        <w:rPr>
          <w:rFonts w:hint="eastAsia"/>
        </w:rPr>
        <w:t xml:space="preserve">为保证后续多策略测试对比的可解释性，本文对时间触发强化学习基线（Time-Triggered</w:t>
      </w:r>
      <w:r>
        <w:t xml:space="preserve"> Reinforcement Learning Baseline, </w:t>
      </w:r>
      <w:r>
        <w:rPr>
          <w:rFonts w:hint="eastAsia"/>
        </w:rPr>
        <w:t xml:space="preserve">TTC-RL）的训练稳定性进行独立验证。训练阶段采用固定步长</w:t>
      </w:r>
      <w:r>
        <w:t xml:space="preserve"> </w:t>
      </w:r>
      <w:r>
        <w:rPr>
          <w:rFonts w:hint="eastAsia"/>
        </w:rPr>
        <w:t xml:space="preserve">1（即</w:t>
      </w:r>
      <w:r>
        <w:t xml:space="preserve"> </w:t>
      </w:r>
      <w:r>
        <w:rPr>
          <w:rFonts w:hint="eastAsia"/>
        </w:rPr>
        <w:t xml:space="preserve">TTC-RL-1）进行</w:t>
      </w:r>
      <w:r>
        <w:t xml:space="preserve"> 80 </w:t>
      </w:r>
      <w:r>
        <w:rPr>
          <w:rFonts w:hint="eastAsia"/>
        </w:rPr>
        <w:t xml:space="preserve">个回合（Episode）交互，并在每个回合结束后于验证集执行贪婪评估。模型选择遵循验证集累计奖励最大准则。结果显示，验证集奖励在训练前期快速上升后进入平台区，并于</w:t>
      </w:r>
      <w:r>
        <w:t xml:space="preserve"> Episode 71 </w:t>
      </w:r>
      <w:r>
        <w:rPr>
          <w:rFonts w:hint="eastAsia"/>
        </w:rPr>
        <w:t xml:space="preserve">达到峰值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；后续回合虽存在小幅波动，但未出现持续下降趋势。基于该验证结果，本文选取</w:t>
      </w:r>
      <w:r>
        <w:t xml:space="preserve"> Episode 71 </w:t>
      </w:r>
      <w:r>
        <w:rPr>
          <w:rFonts w:hint="eastAsia"/>
        </w:rPr>
        <w:t xml:space="preserve">对应参数作为测试阶段的统一训练参照。需要说明的是，除</w:t>
      </w:r>
      <w:r>
        <w:t xml:space="preserve"> RBC、PID </w:t>
      </w:r>
      <w:r>
        <w:rPr>
          <w:rFonts w:hint="eastAsia"/>
        </w:rPr>
        <w:t xml:space="preserve">外，其余方法均基于该</w:t>
      </w:r>
      <w:r>
        <w:t xml:space="preserve"> TTC-RL </w:t>
      </w:r>
      <w:r>
        <w:rPr>
          <w:rFonts w:hint="eastAsia"/>
        </w:rPr>
        <w:t xml:space="preserve">训练模型，仅在动作更新时间调度与触发机制上存在差异。</w:t>
      </w:r>
    </w:p>
    <w:p>
      <w:pPr>
        <w:pStyle w:val="CaptionedFigure"/>
      </w:pPr>
      <w:r>
        <w:drawing>
          <wp:inline>
            <wp:extent cx="2695575" cy="1971675"/>
            <wp:effectExtent b="0" l="0" r="0" t="0"/>
            <wp:docPr descr="图 5-1-1 TTC-RL 基线训练奖励曲线" title="" id="27" name="Picture"/>
            <a:graphic>
              <a:graphicData uri="http://schemas.openxmlformats.org/drawingml/2006/picture">
                <pic:pic>
                  <pic:nvPicPr>
                    <pic:cNvPr descr="../pics/fig_5_1_1_ttc_rl_training_curves.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2695575" cy="1971675"/>
                    </a:xfrm>
                    <a:prstGeom prst="rect">
                      <a:avLst/>
                    </a:prstGeom>
                    <a:noFill/>
                    <a:ln w="9525">
                      <a:noFill/>
                      <a:headEnd/>
                      <a:tailEnd/>
                    </a:ln>
                  </pic:spPr>
                </pic:pic>
              </a:graphicData>
            </a:graphic>
          </wp:inline>
        </w:drawing>
      </w:r>
    </w:p>
    <w:p>
      <w:pPr>
        <w:pStyle w:val="ImageCaption"/>
      </w:pPr>
      <w:r>
        <w:rPr>
          <w:rFonts w:hint="eastAsia"/>
        </w:rPr>
        <w:t xml:space="preserve">图</w:t>
      </w:r>
      <w:r>
        <w:t xml:space="preserve"> 5-1-1 TTC-RL </w:t>
      </w:r>
      <w:r>
        <w:rPr>
          <w:rFonts w:hint="eastAsia"/>
        </w:rPr>
        <w:t xml:space="preserve">基线训练奖励曲线</w:t>
      </w:r>
    </w:p>
    <w:p>
      <w:pPr>
        <w:pStyle w:val="BodyText"/>
      </w:pPr>
      <w:r>
        <w:rPr>
          <w:rFonts w:hint="eastAsia"/>
        </w:rPr>
        <w:t xml:space="preserve">图</w:t>
      </w:r>
      <w:r>
        <w:t xml:space="preserve"> 5-1-1 TTC-RL </w:t>
      </w:r>
      <w:r>
        <w:rPr>
          <w:rFonts w:hint="eastAsia"/>
        </w:rPr>
        <w:t xml:space="preserve">基线训练奖励曲线</w:t>
      </w:r>
    </w:p>
    <w:bookmarkEnd w:id="29"/>
    <w:bookmarkStart w:id="48" w:name="实验结果分析"/>
    <w:p>
      <w:pPr>
        <w:pStyle w:val="Heading2"/>
      </w:pPr>
      <w:r>
        <w:t xml:space="preserve">5.2 </w:t>
      </w:r>
      <w:r>
        <w:rPr>
          <w:rFonts w:hint="eastAsia"/>
        </w:rPr>
        <w:t xml:space="preserve">实验结果分析</w:t>
      </w:r>
    </w:p>
    <w:p>
      <w:pPr>
        <w:pStyle w:val="Compact"/>
        <w:numPr>
          <w:ilvl w:val="0"/>
          <w:numId w:val="1018"/>
        </w:numPr>
      </w:pPr>
      <w:r>
        <w:rPr>
          <w:rFonts w:hint="eastAsia"/>
        </w:rPr>
        <w:t xml:space="preserve">整体性能分析</w:t>
      </w:r>
    </w:p>
    <w:p>
      <w:pPr>
        <w:pStyle w:val="FirstParagraph"/>
      </w:pPr>
      <w:r>
        <w:rPr>
          <w:rFonts w:hint="eastAsia"/>
        </w:rPr>
        <w:t xml:space="preserve">本文在统一测试集与评估协议下比较六类策略，以分析控制稀疏性与能效之间的关系。各策略设置如下：PID</w:t>
      </w:r>
      <w:r>
        <w:t xml:space="preserve"> </w:t>
      </w:r>
      <w:r>
        <w:rPr>
          <w:rFonts w:hint="eastAsia"/>
        </w:rPr>
        <w:t xml:space="preserve">为基于供水温度误差闭环的离散控制，RBC</w:t>
      </w:r>
      <w:r>
        <w:t xml:space="preserve"> </w:t>
      </w:r>
      <w:r>
        <w:rPr>
          <w:rFonts w:hint="eastAsia"/>
        </w:rPr>
        <w:t xml:space="preserve">为固定供水设定值规则控制，TTC-RL-1</w:t>
      </w:r>
      <w:r>
        <w:t xml:space="preserve"> </w:t>
      </w:r>
      <w:r>
        <w:rPr>
          <w:rFonts w:hint="eastAsia"/>
        </w:rPr>
        <w:t xml:space="preserve">为每步更新，TTC-RL-2</w:t>
      </w:r>
      <w:r>
        <w:t xml:space="preserve"> </w:t>
      </w:r>
      <w:r>
        <w:rPr>
          <w:rFonts w:hint="eastAsia"/>
        </w:rPr>
        <w:t xml:space="preserve">为隔步更新，ST-ETC</w:t>
      </w:r>
      <w:r>
        <w:t xml:space="preserve"> </w:t>
      </w:r>
      <w:r>
        <w:rPr>
          <w:rFonts w:hint="eastAsia"/>
        </w:rPr>
        <w:t xml:space="preserve">为静态阈值事件触发更新，ET-PRL</w:t>
      </w:r>
      <w:r>
        <w:t xml:space="preserve"> </w:t>
      </w:r>
      <w:r>
        <w:rPr>
          <w:rFonts w:hint="eastAsia"/>
        </w:rPr>
        <w:t xml:space="preserve">为动态事件触发更新。综合对比结果见表</w:t>
      </w:r>
      <w:r>
        <w:t xml:space="preserve"> 5-3。</w:t>
      </w:r>
    </w:p>
    <w:p>
      <w:pPr>
        <w:pStyle w:val="BodyText"/>
      </w:pPr>
      <w:r>
        <w:rPr>
          <w:rFonts w:hint="eastAsia"/>
        </w:rPr>
        <w:t xml:space="preserve">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ARR。考虑表格信息密度，表</w:t>
      </w:r>
      <w:r>
        <w:t xml:space="preserve"> 5-3 </w:t>
      </w:r>
      <w:r>
        <w:rPr>
          <w:rFonts w:hint="eastAsia"/>
        </w:rPr>
        <w:t xml:space="preserve">在控制稀疏性维度仅保留动作更新总次数</w:t>
      </w:r>
      <w:r>
        <w:t xml:space="preserve"> </w:t>
      </w:r>
      <m:oMath>
        <m:sSub>
          <m:e>
            <m:r>
              <m:t>N</m:t>
            </m:r>
          </m:e>
          <m:sub>
            <m:r>
              <m:rPr>
                <m:nor/>
                <m:sty m:val="p"/>
              </m:rPr>
              <m:t>update</m:t>
            </m:r>
          </m:sub>
        </m:sSub>
      </m:oMath>
      <w:r>
        <w:t xml:space="preserve"> </w:t>
      </w:r>
      <w:r>
        <w:rPr>
          <w:rFonts w:hint="eastAsia"/>
        </w:rPr>
        <w:t xml:space="preserve">与动作减少率</w:t>
      </w:r>
      <w:r>
        <w:t xml:space="preserve"> </w:t>
      </w:r>
      <w:r>
        <w:rPr>
          <w:rFonts w:hint="eastAsia"/>
        </w:rPr>
        <w:t xml:space="preserve">ARR，</w:t>
      </w:r>
      <m:oMath>
        <m:sSub>
          <m:e>
            <m:r>
              <m:t>N</m:t>
            </m:r>
          </m:e>
          <m:sub>
            <m:r>
              <m:rPr>
                <m:nor/>
                <m:sty m:val="p"/>
              </m:rPr>
              <m:t>daily</m:t>
            </m:r>
          </m:sub>
        </m:sSub>
      </m:oMath>
      <w:r>
        <w:t xml:space="preserve"> </w:t>
      </w:r>
      <w:r>
        <w:rPr>
          <w:rFonts w:hint="eastAsia"/>
        </w:rPr>
        <w:t xml:space="preserve">与</w:t>
      </w:r>
      <w:r>
        <w:t xml:space="preserve"> ACR </w:t>
      </w:r>
      <w:r>
        <w:rPr>
          <w:rFonts w:hint="eastAsia"/>
        </w:rPr>
        <w:t xml:space="preserve">在正文中补充说明。由于</w:t>
      </w:r>
      <w:r>
        <w:t xml:space="preserve"> PID </w:t>
      </w:r>
      <w:r>
        <w:rPr>
          <w:rFonts w:hint="eastAsia"/>
        </w:rPr>
        <w:t xml:space="preserve">的优化目标为设定值跟踪而非最大化强化学习复合奖励，且其奖励定义与强化学习策略不一致，因此仅报告能耗、功率、动作频次与平滑度等可比指标。</w:t>
      </w:r>
    </w:p>
    <w:p>
      <w:pPr>
        <w:pStyle w:val="BodyText"/>
      </w:pPr>
      <w:r>
        <w:rPr>
          <w:rFonts w:hint="eastAsia"/>
        </w:rPr>
        <w:t xml:space="preserve">表</w:t>
      </w:r>
      <w:r>
        <w:t xml:space="preserve"> 5-3 </w:t>
      </w:r>
      <w:r>
        <w:rPr>
          <w:rFonts w:hint="eastAsia"/>
        </w:rPr>
        <w:t xml:space="preserve">多控制策略综合对比结果</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b/>
                <w:bCs/>
              </w:rPr>
              <w:t xml:space="preserve">策略</w:t>
            </w:r>
          </w:p>
        </w:tc>
        <w:tc>
          <w:tcPr/>
          <w:p>
            <w:pPr>
              <w:pStyle w:val="Compact"/>
            </w:pPr>
            <w:r>
              <w:rPr>
                <w:rFonts w:hint="eastAsia"/>
                <w:b/>
                <w:bCs/>
              </w:rPr>
              <w:t xml:space="preserve">日均能耗</w:t>
            </w:r>
            <w:r>
              <w:rPr>
                <w:b/>
                <w:bCs/>
              </w:rPr>
              <w:t xml:space="preserve"> </w:t>
            </w:r>
            <m:oMath>
              <m:sSub>
                <m:e>
                  <m:r>
                    <m:t>E</m:t>
                  </m:r>
                </m:e>
                <m:sub>
                  <m:r>
                    <m:t>d</m:t>
                  </m:r>
                  <m:r>
                    <m:t>a</m:t>
                  </m:r>
                  <m:r>
                    <m:t>i</m:t>
                  </m:r>
                  <m:r>
                    <m:t>l</m:t>
                  </m:r>
                  <m:r>
                    <m:t>y</m:t>
                  </m:r>
                </m:sub>
              </m:sSub>
            </m:oMath>
            <w:r>
              <w:rPr>
                <w:b/>
                <w:bCs/>
              </w:rPr>
              <w:t xml:space="preserve"> </w:t>
            </w:r>
            <w:r>
              <w:rPr>
                <w:b/>
                <w:bCs/>
              </w:rPr>
              <w:t xml:space="preserve">(kWh/day)</w:t>
            </w:r>
          </w:p>
        </w:tc>
        <w:tc>
          <w:tcPr/>
          <w:p>
            <w:pPr>
              <w:pStyle w:val="Compact"/>
            </w:pPr>
            <w:r>
              <w:rPr>
                <w:rFonts w:hint="eastAsia"/>
                <w:b/>
                <w:bCs/>
              </w:rPr>
              <w:t xml:space="preserve">相对节能率</w:t>
            </w:r>
            <w:r>
              <w:rPr>
                <w:b/>
                <w:bCs/>
              </w:rPr>
              <w:t xml:space="preserve"> </w:t>
            </w:r>
            <m:oMath>
              <m:sSub>
                <m:e>
                  <m:r>
                    <m:t>η</m:t>
                  </m:r>
                </m:e>
                <m:sub>
                  <m:r>
                    <m:t>s</m:t>
                  </m:r>
                  <m:r>
                    <m:t>a</m:t>
                  </m:r>
                  <m:r>
                    <m:t>v</m:t>
                  </m:r>
                  <m:r>
                    <m:t>i</m:t>
                  </m:r>
                  <m:r>
                    <m:t>n</m:t>
                  </m:r>
                  <m:r>
                    <m:t>g</m:t>
                  </m:r>
                </m:sub>
              </m:sSub>
            </m:oMath>
            <w:r>
              <w:rPr>
                <w:b/>
                <w:bCs/>
              </w:rPr>
              <w:t xml:space="preserve"> </w:t>
            </w:r>
            <w:r>
              <w:rPr>
                <w:b/>
                <w:bCs/>
              </w:rPr>
              <w:t xml:space="preserve">(%)</w:t>
            </w:r>
          </w:p>
        </w:tc>
        <w:tc>
          <w:tcPr/>
          <w:p>
            <w:pPr>
              <w:pStyle w:val="Compact"/>
            </w:pPr>
            <w:r>
              <w:rPr>
                <w:rFonts w:hint="eastAsia"/>
                <w:b/>
                <w:bCs/>
              </w:rPr>
              <w:t xml:space="preserve">平均功率</w:t>
            </w:r>
            <w:r>
              <w:rPr>
                <w:b/>
                <w:bCs/>
              </w:rPr>
              <w:t xml:space="preserve"> </w:t>
            </w:r>
            <m:oMath>
              <m:sSub>
                <m:e>
                  <m:acc>
                    <m:accPr>
                      <m:chr m:val="‾"/>
                    </m:accPr>
                    <m:e>
                      <m:r>
                        <m:t>P</m:t>
                      </m:r>
                    </m:e>
                  </m:acc>
                </m:e>
                <m:sub>
                  <m:r>
                    <m:t>c</m:t>
                  </m:r>
                  <m:r>
                    <m:t>h</m:t>
                  </m:r>
                  <m:r>
                    <m:t>i</m:t>
                  </m:r>
                  <m:r>
                    <m:t>l</m:t>
                  </m:r>
                  <m:r>
                    <m:t>l</m:t>
                  </m:r>
                  <m:r>
                    <m:t>e</m:t>
                  </m:r>
                  <m:r>
                    <m:t>r</m:t>
                  </m:r>
                </m:sub>
              </m:sSub>
            </m:oMath>
            <w:r>
              <w:rPr>
                <w:b/>
                <w:bCs/>
              </w:rPr>
              <w:t xml:space="preserve"> </w:t>
            </w:r>
            <w:r>
              <w:rPr>
                <w:b/>
                <w:bCs/>
              </w:rPr>
              <w:t xml:space="preserve">(kW)</w:t>
            </w:r>
          </w:p>
        </w:tc>
        <w:tc>
          <w:tcPr/>
          <w:p>
            <w:pPr>
              <w:pStyle w:val="Compact"/>
            </w:pPr>
            <w:r>
              <w:rPr>
                <w:rFonts w:hint="eastAsia"/>
                <w:b/>
                <w:bCs/>
              </w:rPr>
              <w:t xml:space="preserve">动作更新总次数</w:t>
            </w:r>
            <w:r>
              <w:rPr>
                <w:b/>
                <w:bCs/>
              </w:rPr>
              <w:t xml:space="preserve"> </w:t>
            </w:r>
            <m:oMath>
              <m:sSub>
                <m:e>
                  <m:r>
                    <m:t>N</m:t>
                  </m:r>
                </m:e>
                <m:sub>
                  <m:r>
                    <m:t>u</m:t>
                  </m:r>
                  <m:r>
                    <m:t>p</m:t>
                  </m:r>
                  <m:r>
                    <m:t>d</m:t>
                  </m:r>
                  <m:r>
                    <m:t>a</m:t>
                  </m:r>
                  <m:r>
                    <m:t>t</m:t>
                  </m:r>
                  <m:r>
                    <m:t>e</m:t>
                  </m:r>
                </m:sub>
              </m:sSub>
            </m:oMath>
          </w:p>
        </w:tc>
        <w:tc>
          <w:tcPr/>
          <w:p>
            <w:pPr>
              <w:pStyle w:val="Compact"/>
            </w:pPr>
            <w:r>
              <w:rPr>
                <w:rFonts w:hint="eastAsia"/>
                <w:b/>
                <w:bCs/>
              </w:rPr>
              <w:t xml:space="preserve">动作减少率</w:t>
            </w:r>
            <w:r>
              <w:rPr>
                <w:b/>
                <w:bCs/>
              </w:rPr>
              <w:t xml:space="preserve"> ARR (%)</w:t>
            </w:r>
          </w:p>
        </w:tc>
        <w:tc>
          <w:tcPr/>
          <w:p>
            <w:pPr>
              <w:pStyle w:val="Compact"/>
            </w:pPr>
            <w:r>
              <w:rPr>
                <w:rFonts w:hint="eastAsia"/>
                <w:b/>
                <w:bCs/>
              </w:rPr>
              <w:t xml:space="preserve">动作平滑度</w:t>
            </w:r>
            <w:r>
              <w:rPr>
                <w:b/>
                <w:bCs/>
              </w:rPr>
              <w:t xml:space="preserve"> </w:t>
            </w:r>
            <m:oMath>
              <m:sSub>
                <m:e>
                  <m:r>
                    <m:t>σ</m:t>
                  </m:r>
                </m:e>
                <m:sub>
                  <m:r>
                    <m:rPr>
                      <m:sty m:val="p"/>
                    </m:rPr>
                    <m:t>Δ</m:t>
                  </m:r>
                  <m:r>
                    <m:t>a</m:t>
                  </m:r>
                </m:sub>
              </m:sSub>
            </m:oMath>
          </w:p>
        </w:tc>
        <w:tc>
          <w:tcPr/>
          <w:p>
            <w:pPr>
              <w:pStyle w:val="Compact"/>
            </w:pPr>
            <w:r>
              <w:rPr>
                <w:rFonts w:hint="eastAsia"/>
                <w:b/>
                <w:bCs/>
              </w:rPr>
              <w:t xml:space="preserve">总奖励</w:t>
            </w:r>
            <w:r>
              <w:rPr>
                <w:b/>
                <w:bCs/>
              </w:rPr>
              <w:t xml:space="preserve"> </w:t>
            </w:r>
            <m:oMath>
              <m:sSub>
                <m:e>
                  <m:r>
                    <m:t>R</m:t>
                  </m:r>
                </m:e>
                <m:sub>
                  <m:r>
                    <m:t>t</m:t>
                  </m:r>
                  <m:r>
                    <m:t>e</m:t>
                  </m:r>
                  <m:r>
                    <m:t>s</m:t>
                  </m:r>
                  <m:r>
                    <m:t>t</m:t>
                  </m:r>
                </m:sub>
              </m:sSub>
            </m:oMath>
          </w:p>
        </w:tc>
        <w:tc>
          <w:tcPr/>
          <w:p>
            <w:pPr>
              <w:pStyle w:val="Compact"/>
            </w:pPr>
            <w:r>
              <w:rPr>
                <w:rFonts w:hint="eastAsia"/>
                <w:b/>
                <w:bCs/>
              </w:rPr>
              <w:t xml:space="preserve">平均步奖励</w:t>
            </w:r>
            <w:r>
              <w:rPr>
                <w:b/>
                <w:bCs/>
              </w:rPr>
              <w:t xml:space="preserve"> </w:t>
            </w:r>
            <m:oMath>
              <m:sSub>
                <m:e>
                  <m:acc>
                    <m:accPr>
                      <m:chr m:val="‾"/>
                    </m:accPr>
                    <m:e>
                      <m:r>
                        <m:t>R</m:t>
                      </m:r>
                    </m:e>
                  </m:acc>
                </m:e>
                <m:sub>
                  <m:r>
                    <m:t>s</m:t>
                  </m:r>
                  <m:r>
                    <m:t>t</m:t>
                  </m:r>
                  <m:r>
                    <m:t>e</m:t>
                  </m:r>
                  <m:r>
                    <m:t>p</m:t>
                  </m:r>
                </m:sub>
              </m:sSub>
            </m:oMath>
          </w:p>
        </w:tc>
        <w:tc>
          <w:tcPr/>
          <w:p>
            <w:pPr>
              <w:pStyle w:val="Compact"/>
            </w:pPr>
            <w:r>
              <w:rPr>
                <w:b/>
                <w:bCs/>
              </w:rPr>
              <w:t xml:space="preserve">PPR (%)</w:t>
            </w:r>
          </w:p>
        </w:tc>
      </w:tr>
      <w:tr>
        <w:tc>
          <w:tcPr/>
          <w:p>
            <w:pPr>
              <w:pStyle w:val="Compact"/>
            </w:pPr>
            <w:r>
              <w:t xml:space="preserve">PID</w:t>
            </w:r>
          </w:p>
        </w:tc>
        <w:tc>
          <w:tcPr/>
          <w:p>
            <w:pPr>
              <w:pStyle w:val="Compact"/>
            </w:pPr>
            <w:r>
              <w:t xml:space="preserve">8486.90</w:t>
            </w:r>
          </w:p>
        </w:tc>
        <w:tc>
          <w:tcPr/>
          <w:p>
            <w:pPr>
              <w:pStyle w:val="Compact"/>
            </w:pPr>
            <w:r>
              <w:t xml:space="preserve">-13.29</w:t>
            </w:r>
          </w:p>
        </w:tc>
        <w:tc>
          <w:tcPr/>
          <w:p>
            <w:pPr>
              <w:pStyle w:val="Compact"/>
            </w:pPr>
            <w:r>
              <w:t xml:space="preserve">353.62</w:t>
            </w:r>
          </w:p>
        </w:tc>
        <w:tc>
          <w:tcPr/>
          <w:p>
            <w:pPr>
              <w:pStyle w:val="Compact"/>
            </w:pPr>
            <w:r>
              <w:t xml:space="preserve">-</w:t>
            </w:r>
          </w:p>
        </w:tc>
        <w:tc>
          <w:tcPr/>
          <w:p>
            <w:pPr>
              <w:pStyle w:val="Compact"/>
            </w:pPr>
            <w:r>
              <w:t xml:space="preserve">-</w:t>
            </w:r>
          </w:p>
        </w:tc>
        <w:tc>
          <w:tcPr/>
          <w:p>
            <w:pPr>
              <w:pStyle w:val="Compact"/>
            </w:pPr>
            <w:r>
              <w:t xml:space="preserve">0.1669</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RBC</w:t>
            </w:r>
          </w:p>
        </w:tc>
        <w:tc>
          <w:tcPr/>
          <w:p>
            <w:pPr>
              <w:pStyle w:val="Compact"/>
            </w:pPr>
            <w:r>
              <w:t xml:space="preserve">8548.72</w:t>
            </w:r>
          </w:p>
        </w:tc>
        <w:tc>
          <w:tcPr/>
          <w:p>
            <w:pPr>
              <w:pStyle w:val="Compact"/>
            </w:pPr>
            <w:r>
              <w:t xml:space="preserve">-14.12</w:t>
            </w:r>
          </w:p>
        </w:tc>
        <w:tc>
          <w:tcPr/>
          <w:p>
            <w:pPr>
              <w:pStyle w:val="Compact"/>
            </w:pPr>
            <w:r>
              <w:t xml:space="preserve">356.20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TTC-RL-1</w:t>
            </w:r>
          </w:p>
        </w:tc>
        <w:tc>
          <w:tcPr/>
          <w:p>
            <w:pPr>
              <w:pStyle w:val="Compact"/>
            </w:pPr>
            <w:r>
              <w:t xml:space="preserve">7491.14</w:t>
            </w:r>
          </w:p>
        </w:tc>
        <w:tc>
          <w:tcPr/>
          <w:p>
            <w:pPr>
              <w:pStyle w:val="Compact"/>
            </w:pPr>
            <w:r>
              <w:t xml:space="preserve">-</w:t>
            </w:r>
          </w:p>
        </w:tc>
        <w:tc>
          <w:tcPr/>
          <w:p>
            <w:pPr>
              <w:pStyle w:val="Compact"/>
            </w:pPr>
            <w:r>
              <w:t xml:space="preserve">312.13</w:t>
            </w:r>
          </w:p>
        </w:tc>
        <w:tc>
          <w:tcPr/>
          <w:p>
            <w:pPr>
              <w:pStyle w:val="Compact"/>
            </w:pPr>
            <w:r>
              <w:t xml:space="preserve">4404</w:t>
            </w:r>
          </w:p>
        </w:tc>
        <w:tc>
          <w:tcPr/>
          <w:p>
            <w:pPr>
              <w:pStyle w:val="Compact"/>
            </w:pPr>
            <w:r>
              <w:t xml:space="preserve">-</w:t>
            </w:r>
          </w:p>
        </w:tc>
        <w:tc>
          <w:tcPr/>
          <w:p>
            <w:pPr>
              <w:pStyle w:val="Compact"/>
            </w:pPr>
            <w:r>
              <w:t xml:space="preserve">0.8101</w:t>
            </w:r>
          </w:p>
        </w:tc>
        <w:tc>
          <w:tcPr/>
          <w:p>
            <w:pPr>
              <w:pStyle w:val="Compact"/>
            </w:pPr>
            <w:r>
              <w:t xml:space="preserve">2054.63</w:t>
            </w:r>
          </w:p>
        </w:tc>
        <w:tc>
          <w:tcPr/>
          <w:p>
            <w:pPr>
              <w:pStyle w:val="Compact"/>
            </w:pPr>
            <w:r>
              <w:t xml:space="preserve">0.4665</w:t>
            </w:r>
          </w:p>
        </w:tc>
        <w:tc>
          <w:tcPr/>
          <w:p>
            <w:pPr>
              <w:pStyle w:val="Compact"/>
            </w:pPr>
            <w:r>
              <w:t xml:space="preserve">-</w:t>
            </w:r>
          </w:p>
        </w:tc>
      </w:tr>
      <w:tr>
        <w:tc>
          <w:tcPr/>
          <w:p>
            <w:pPr>
              <w:pStyle w:val="Compact"/>
            </w:pPr>
            <w:r>
              <w:t xml:space="preserve">TTC-RL-2</w:t>
            </w:r>
          </w:p>
        </w:tc>
        <w:tc>
          <w:tcPr/>
          <w:p>
            <w:pPr>
              <w:pStyle w:val="Compact"/>
            </w:pPr>
            <w:r>
              <w:t xml:space="preserve">7489.98</w:t>
            </w:r>
          </w:p>
        </w:tc>
        <w:tc>
          <w:tcPr/>
          <w:p>
            <w:pPr>
              <w:pStyle w:val="Compact"/>
            </w:pPr>
            <w:r>
              <w:t xml:space="preserve">0.02</w:t>
            </w:r>
          </w:p>
        </w:tc>
        <w:tc>
          <w:tcPr/>
          <w:p>
            <w:pPr>
              <w:pStyle w:val="Compact"/>
            </w:pPr>
            <w:r>
              <w:t xml:space="preserve">312.08</w:t>
            </w:r>
          </w:p>
        </w:tc>
        <w:tc>
          <w:tcPr/>
          <w:p>
            <w:pPr>
              <w:pStyle w:val="Compact"/>
            </w:pPr>
            <w:r>
              <w:t xml:space="preserve">2202</w:t>
            </w:r>
          </w:p>
        </w:tc>
        <w:tc>
          <w:tcPr/>
          <w:p>
            <w:pPr>
              <w:pStyle w:val="Compact"/>
            </w:pPr>
            <w:r>
              <w:t xml:space="preserve">50.00</w:t>
            </w:r>
          </w:p>
        </w:tc>
        <w:tc>
          <w:tcPr/>
          <w:p>
            <w:pPr>
              <w:pStyle w:val="Compact"/>
            </w:pPr>
            <w:r>
              <w:t xml:space="preserve">0.5617</w:t>
            </w:r>
          </w:p>
        </w:tc>
        <w:tc>
          <w:tcPr/>
          <w:p>
            <w:pPr>
              <w:pStyle w:val="Compact"/>
            </w:pPr>
            <w:r>
              <w:t xml:space="preserve">2022.76</w:t>
            </w:r>
          </w:p>
        </w:tc>
        <w:tc>
          <w:tcPr/>
          <w:p>
            <w:pPr>
              <w:pStyle w:val="Compact"/>
            </w:pPr>
            <w:r>
              <w:t xml:space="preserve">0.9186</w:t>
            </w:r>
          </w:p>
        </w:tc>
        <w:tc>
          <w:tcPr/>
          <w:p>
            <w:pPr>
              <w:pStyle w:val="Compact"/>
            </w:pPr>
            <w:r>
              <w:t xml:space="preserve">98.45</w:t>
            </w:r>
          </w:p>
        </w:tc>
      </w:tr>
      <w:tr>
        <w:tc>
          <w:tcPr/>
          <w:p>
            <w:pPr>
              <w:pStyle w:val="Compact"/>
            </w:pPr>
            <w:r>
              <w:t xml:space="preserve">ST-ETC</w:t>
            </w:r>
          </w:p>
        </w:tc>
        <w:tc>
          <w:tcPr/>
          <w:p>
            <w:pPr>
              <w:pStyle w:val="Compact"/>
            </w:pPr>
            <w:r>
              <w:t xml:space="preserve">7485.44</w:t>
            </w:r>
          </w:p>
        </w:tc>
        <w:tc>
          <w:tcPr/>
          <w:p>
            <w:pPr>
              <w:pStyle w:val="Compact"/>
            </w:pPr>
            <w:r>
              <w:t xml:space="preserve">0.08</w:t>
            </w:r>
          </w:p>
        </w:tc>
        <w:tc>
          <w:tcPr/>
          <w:p>
            <w:pPr>
              <w:pStyle w:val="Compact"/>
            </w:pPr>
            <w:r>
              <w:t xml:space="preserve">311.89</w:t>
            </w:r>
          </w:p>
        </w:tc>
        <w:tc>
          <w:tcPr/>
          <w:p>
            <w:pPr>
              <w:pStyle w:val="Compact"/>
            </w:pPr>
            <w:r>
              <w:t xml:space="preserve">3525</w:t>
            </w:r>
          </w:p>
        </w:tc>
        <w:tc>
          <w:tcPr/>
          <w:p>
            <w:pPr>
              <w:pStyle w:val="Compact"/>
            </w:pPr>
            <w:r>
              <w:t xml:space="preserve">19.96</w:t>
            </w:r>
          </w:p>
        </w:tc>
        <w:tc>
          <w:tcPr/>
          <w:p>
            <w:pPr>
              <w:pStyle w:val="Compact"/>
            </w:pPr>
            <w:r>
              <w:t xml:space="preserve">0.7711</w:t>
            </w:r>
          </w:p>
        </w:tc>
        <w:tc>
          <w:tcPr/>
          <w:p>
            <w:pPr>
              <w:pStyle w:val="Compact"/>
            </w:pPr>
            <w:r>
              <w:t xml:space="preserve">2052.42</w:t>
            </w:r>
          </w:p>
        </w:tc>
        <w:tc>
          <w:tcPr/>
          <w:p>
            <w:pPr>
              <w:pStyle w:val="Compact"/>
            </w:pPr>
            <w:r>
              <w:t xml:space="preserve">0.5822</w:t>
            </w:r>
          </w:p>
        </w:tc>
        <w:tc>
          <w:tcPr/>
          <w:p>
            <w:pPr>
              <w:pStyle w:val="Compact"/>
            </w:pPr>
            <w:r>
              <w:t xml:space="preserve">99.89</w:t>
            </w:r>
          </w:p>
        </w:tc>
      </w:tr>
      <w:tr>
        <w:tc>
          <w:tcPr/>
          <w:p>
            <w:pPr>
              <w:pStyle w:val="Compact"/>
            </w:pPr>
            <w:r>
              <w:t xml:space="preserve">ET-PRL</w:t>
            </w:r>
          </w:p>
        </w:tc>
        <w:tc>
          <w:tcPr/>
          <w:p>
            <w:pPr>
              <w:pStyle w:val="Compact"/>
            </w:pPr>
            <w:r>
              <w:t xml:space="preserve">7331.85</w:t>
            </w:r>
          </w:p>
        </w:tc>
        <w:tc>
          <w:tcPr/>
          <w:p>
            <w:pPr>
              <w:pStyle w:val="Compact"/>
            </w:pPr>
            <w:r>
              <w:t xml:space="preserve">2.13</w:t>
            </w:r>
          </w:p>
        </w:tc>
        <w:tc>
          <w:tcPr/>
          <w:p>
            <w:pPr>
              <w:pStyle w:val="Compact"/>
            </w:pPr>
            <w:r>
              <w:t xml:space="preserve">305.49</w:t>
            </w:r>
          </w:p>
        </w:tc>
        <w:tc>
          <w:tcPr/>
          <w:p>
            <w:pPr>
              <w:pStyle w:val="Compact"/>
            </w:pPr>
            <w:r>
              <w:t xml:space="preserve">2046</w:t>
            </w:r>
          </w:p>
        </w:tc>
        <w:tc>
          <w:tcPr/>
          <w:p>
            <w:pPr>
              <w:pStyle w:val="Compact"/>
            </w:pPr>
            <w:r>
              <w:t xml:space="preserve">53.54</w:t>
            </w:r>
          </w:p>
        </w:tc>
        <w:tc>
          <w:tcPr/>
          <w:p>
            <w:pPr>
              <w:pStyle w:val="Compact"/>
            </w:pPr>
            <w:r>
              <w:t xml:space="preserve">0.6014</w:t>
            </w:r>
          </w:p>
        </w:tc>
        <w:tc>
          <w:tcPr/>
          <w:p>
            <w:pPr>
              <w:pStyle w:val="Compact"/>
            </w:pPr>
            <w:r>
              <w:t xml:space="preserve">1939.74</w:t>
            </w:r>
          </w:p>
        </w:tc>
        <w:tc>
          <w:tcPr/>
          <w:p>
            <w:pPr>
              <w:pStyle w:val="Compact"/>
            </w:pPr>
            <w:r>
              <w:t xml:space="preserve">0.9481</w:t>
            </w:r>
          </w:p>
        </w:tc>
        <w:tc>
          <w:tcPr/>
          <w:p>
            <w:pPr>
              <w:pStyle w:val="Compact"/>
            </w:pPr>
            <w:r>
              <w:t xml:space="preserve">94.41</w:t>
            </w:r>
          </w:p>
        </w:tc>
      </w:tr>
    </w:tbl>
    <w:p>
      <w:pPr>
        <w:pStyle w:val="BodyText"/>
      </w:pPr>
      <w:r>
        <w:rPr>
          <w:rFonts w:hint="eastAsia"/>
        </w:rPr>
        <w:t xml:space="preserve">由表</w:t>
      </w:r>
      <w:r>
        <w:t xml:space="preserve"> 5-3 </w:t>
      </w:r>
      <w:r>
        <w:rPr>
          <w:rFonts w:hint="eastAsia"/>
        </w:rPr>
        <w:t xml:space="preserve">可见，在以</w:t>
      </w:r>
      <w:r>
        <w:t xml:space="preserve"> TTC-RL-1 </w:t>
      </w:r>
      <w:r>
        <w:rPr>
          <w:rFonts w:hint="eastAsia"/>
        </w:rPr>
        <w:t xml:space="preserve">为统一基线的强化学习策略组内，ET-PRL</w:t>
      </w:r>
      <w:r>
        <w:t xml:space="preserve"> </w:t>
      </w:r>
      <w:r>
        <w:rPr>
          <w:rFonts w:hint="eastAsia"/>
        </w:rPr>
        <w:t xml:space="preserve">同时实现了更高的稀疏性与更低的能耗。具体而言，TTC-RL-2</w:t>
      </w:r>
      <w:r>
        <w:t xml:space="preserve"> </w:t>
      </w:r>
      <w:r>
        <w:rPr>
          <w:rFonts w:hint="eastAsia"/>
        </w:rPr>
        <w:t xml:space="preserve">将动作更新总次数由</w:t>
      </w:r>
      <w:r>
        <w:t xml:space="preserve"> 4404 </w:t>
      </w:r>
      <w:r>
        <w:rPr>
          <w:rFonts w:hint="eastAsia"/>
        </w:rPr>
        <w:t xml:space="preserve">降至</w:t>
      </w:r>
      <w:r>
        <w:t xml:space="preserve"> </w:t>
      </w:r>
      <w:r>
        <w:rPr>
          <w:rFonts w:hint="eastAsia"/>
        </w:rPr>
        <w:t xml:space="preserve">2202（ARR=50.00%），但相对节能率仅为</w:t>
      </w:r>
      <w:r>
        <w:t xml:space="preserve"> </w:t>
      </w:r>
      <w:r>
        <w:rPr>
          <w:rFonts w:hint="eastAsia"/>
        </w:rPr>
        <w:t xml:space="preserve">0.02%；ST-ETC</w:t>
      </w:r>
      <w:r>
        <w:t xml:space="preserve"> </w:t>
      </w:r>
      <w:r>
        <w:rPr>
          <w:rFonts w:hint="eastAsia"/>
        </w:rPr>
        <w:t xml:space="preserve">的</w:t>
      </w:r>
      <w:r>
        <w:t xml:space="preserve"> ARR </w:t>
      </w:r>
      <w:r>
        <w:rPr>
          <w:rFonts w:hint="eastAsia"/>
        </w:rPr>
        <w:t xml:space="preserve">为</w:t>
      </w:r>
      <w:r>
        <w:t xml:space="preserve"> </w:t>
      </w:r>
      <w:r>
        <w:rPr>
          <w:rFonts w:hint="eastAsia"/>
        </w:rPr>
        <w:t xml:space="preserve">19.96%，相对节能率为</w:t>
      </w:r>
      <w:r>
        <w:t xml:space="preserve"> </w:t>
      </w:r>
      <w:r>
        <w:rPr>
          <w:rFonts w:hint="eastAsia"/>
        </w:rPr>
        <w:t xml:space="preserve">0.08%。相比之下，ET-PRL</w:t>
      </w:r>
      <w:r>
        <w:t xml:space="preserve"> </w:t>
      </w:r>
      <w:r>
        <w:rPr>
          <w:rFonts w:hint="eastAsia"/>
        </w:rPr>
        <w:t xml:space="preserve">在动作更新总次数降至</w:t>
      </w:r>
      <w:r>
        <w:t xml:space="preserve"> </w:t>
      </w:r>
      <w:r>
        <w:rPr>
          <w:rFonts w:hint="eastAsia"/>
        </w:rPr>
        <w:t xml:space="preserve">2046（ARR=53.54%）的同时，相对节能率提升至</w:t>
      </w:r>
      <w:r>
        <w:t xml:space="preserve"> </w:t>
      </w:r>
      <w:r>
        <w:rPr>
          <w:rFonts w:hint="eastAsia"/>
        </w:rPr>
        <w:t xml:space="preserve">2.13%。按测试周期折算，TTC-RL-1、TTC-RL-2、ST-ETC</w:t>
      </w:r>
      <w:r>
        <w:t xml:space="preserve"> </w:t>
      </w:r>
      <w:r>
        <w:rPr>
          <w:rFonts w:hint="eastAsia"/>
        </w:rPr>
        <w:t xml:space="preserve">与</w:t>
      </w:r>
      <w:r>
        <w:t xml:space="preserve"> ET-PRL </w:t>
      </w:r>
      <w:r>
        <w:rPr>
          <w:rFonts w:hint="eastAsia"/>
        </w:rPr>
        <w:t xml:space="preserve">的</w:t>
      </w:r>
      <w:r>
        <w:t xml:space="preserve"> </w:t>
      </w:r>
      <m:oMath>
        <m:sSub>
          <m:e>
            <m:r>
              <m:t>N</m:t>
            </m:r>
          </m:e>
          <m:sub>
            <m:r>
              <m:rPr>
                <m:nor/>
                <m:sty m:val="p"/>
              </m:rPr>
              <m:t>daily</m:t>
            </m:r>
          </m:sub>
        </m:sSub>
      </m:oMath>
      <w:r>
        <w:t xml:space="preserve"> </w:t>
      </w:r>
      <w:r>
        <w:rPr>
          <w:rFonts w:hint="eastAsia"/>
        </w:rPr>
        <w:t xml:space="preserve">分别为</w:t>
      </w:r>
      <w:r>
        <w:t xml:space="preserve"> 288.00、144.00、230.51 </w:t>
      </w:r>
      <w:r>
        <w:rPr>
          <w:rFonts w:hint="eastAsia"/>
        </w:rPr>
        <w:t xml:space="preserve">与</w:t>
      </w:r>
      <w:r>
        <w:t xml:space="preserve"> 133.80 </w:t>
      </w:r>
      <w:r>
        <w:rPr>
          <w:rFonts w:hint="eastAsia"/>
        </w:rPr>
        <w:t xml:space="preserve">次/日；对应</w:t>
      </w:r>
      <w:r>
        <w:t xml:space="preserve"> ACR </w:t>
      </w:r>
      <w:r>
        <w:rPr>
          <w:rFonts w:hint="eastAsia"/>
        </w:rPr>
        <w:t xml:space="preserve">分别为</w:t>
      </w:r>
      <w:r>
        <w:t xml:space="preserve"> 1.0000、2.0000、1.2494 </w:t>
      </w:r>
      <w:r>
        <w:rPr>
          <w:rFonts w:hint="eastAsia"/>
        </w:rPr>
        <w:t xml:space="preserve">与</w:t>
      </w:r>
      <w:r>
        <w:t xml:space="preserve"> </w:t>
      </w:r>
      <w:r>
        <w:rPr>
          <w:rFonts w:hint="eastAsia"/>
        </w:rPr>
        <w:t xml:space="preserve">2.1525。该结果说明，性能改善并非仅由降频幅度决定，而与触发时机和高价值决策状态的匹配程度密切相关。</w:t>
      </w:r>
    </w:p>
    <w:p>
      <w:pPr>
        <w:pStyle w:val="BodyText"/>
      </w:pPr>
      <w:r>
        <w:rPr>
          <w:rFonts w:hint="eastAsia"/>
        </w:rPr>
        <w:t xml:space="preserve">在传统控制策略对照下，PID</w:t>
      </w:r>
      <w:r>
        <w:t xml:space="preserve"> </w:t>
      </w:r>
      <w:r>
        <w:rPr>
          <w:rFonts w:hint="eastAsia"/>
        </w:rPr>
        <w:t xml:space="preserve">与</w:t>
      </w:r>
      <w:r>
        <w:t xml:space="preserve"> RBC </w:t>
      </w:r>
      <w:r>
        <w:rPr>
          <w:rFonts w:hint="eastAsia"/>
        </w:rPr>
        <w:t xml:space="preserve">的日均能耗分别为</w:t>
      </w:r>
      <w:r>
        <w:t xml:space="preserve"> 8486.90 </w:t>
      </w:r>
      <w:r>
        <w:rPr>
          <w:rFonts w:hint="eastAsia"/>
        </w:rPr>
        <w:t xml:space="preserve">与</w:t>
      </w:r>
      <w:r>
        <w:t xml:space="preserve"> 8548.72 </w:t>
      </w:r>
      <w:r>
        <w:rPr>
          <w:rFonts w:hint="eastAsia"/>
        </w:rPr>
        <w:t xml:space="preserve">kWh/day，均高于强化学习策略组（7331.85</w:t>
      </w:r>
      <w:r>
        <w:t xml:space="preserve"> </w:t>
      </w:r>
      <w:r>
        <w:rPr>
          <w:rFonts w:hint="eastAsia"/>
        </w:rPr>
        <w:t xml:space="preserve">至</w:t>
      </w:r>
      <w:r>
        <w:t xml:space="preserve"> 7491.14 </w:t>
      </w:r>
      <w:r>
        <w:rPr>
          <w:rFonts w:hint="eastAsia"/>
        </w:rPr>
        <w:t xml:space="preserve">kWh/day）。其中，ET-PRL</w:t>
      </w:r>
      <w:r>
        <w:t xml:space="preserve"> </w:t>
      </w:r>
      <w:r>
        <w:rPr>
          <w:rFonts w:hint="eastAsia"/>
        </w:rPr>
        <w:t xml:space="preserve">的日均能耗最低，为</w:t>
      </w:r>
      <w:r>
        <w:t xml:space="preserve"> 7331.85 </w:t>
      </w:r>
      <w:r>
        <w:rPr>
          <w:rFonts w:hint="eastAsia"/>
        </w:rPr>
        <w:t xml:space="preserve">kWh/day；相较于</w:t>
      </w:r>
      <w:r>
        <w:t xml:space="preserve"> PID </w:t>
      </w:r>
      <w:r>
        <w:rPr>
          <w:rFonts w:hint="eastAsia"/>
        </w:rPr>
        <w:t xml:space="preserve">与</w:t>
      </w:r>
      <w:r>
        <w:t xml:space="preserve"> </w:t>
      </w:r>
      <w:r>
        <w:rPr>
          <w:rFonts w:hint="eastAsia"/>
        </w:rPr>
        <w:t xml:space="preserve">RBC，分别降低</w:t>
      </w:r>
      <w:r>
        <w:t xml:space="preserve"> 1155.05 </w:t>
      </w:r>
      <w:r>
        <w:rPr>
          <w:rFonts w:hint="eastAsia"/>
        </w:rPr>
        <w:t xml:space="preserve">与</w:t>
      </w:r>
      <w:r>
        <w:t xml:space="preserve"> 1216.87 </w:t>
      </w:r>
      <w:r>
        <w:rPr>
          <w:rFonts w:hint="eastAsia"/>
        </w:rPr>
        <w:t xml:space="preserve">kWh/day，对应降幅为</w:t>
      </w:r>
      <w:r>
        <w:t xml:space="preserve"> 13.61% </w:t>
      </w:r>
      <w:r>
        <w:rPr>
          <w:rFonts w:hint="eastAsia"/>
        </w:rPr>
        <w:t xml:space="preserve">与</w:t>
      </w:r>
      <w:r>
        <w:t xml:space="preserve"> </w:t>
      </w:r>
      <w:r>
        <w:rPr>
          <w:rFonts w:hint="eastAsia"/>
        </w:rPr>
        <w:t xml:space="preserve">14.24%。在功率指标上，ET-PRL</w:t>
      </w:r>
      <w:r>
        <w:t xml:space="preserve"> </w:t>
      </w:r>
      <w:r>
        <w:rPr>
          <w:rFonts w:hint="eastAsia"/>
        </w:rPr>
        <w:t xml:space="preserve">的平均功率</w:t>
      </w:r>
      <w:r>
        <w:t xml:space="preserve"> </w:t>
      </w:r>
      <m:oMath>
        <m:sSub>
          <m:e>
            <m:acc>
              <m:accPr>
                <m:chr m:val="‾"/>
              </m:accPr>
              <m:e>
                <m:r>
                  <m:t>P</m:t>
                </m:r>
              </m:e>
            </m:acc>
          </m:e>
          <m:sub>
            <m:r>
              <m:rPr>
                <m:nor/>
                <m:sty m:val="p"/>
              </m:rPr>
              <m:t>chiller</m:t>
            </m:r>
          </m:sub>
        </m:sSub>
        <m:r>
          <m:rPr>
            <m:sty m:val="p"/>
          </m:rPr>
          <m:t>=</m:t>
        </m:r>
        <m:r>
          <m:t>305.49</m:t>
        </m:r>
      </m:oMath>
      <w:r>
        <w:t xml:space="preserve"> </w:t>
      </w:r>
      <w:r>
        <w:rPr>
          <w:rFonts w:hint="eastAsia"/>
        </w:rPr>
        <w:t xml:space="preserve">kW，也低于</w:t>
      </w:r>
      <w:r>
        <w:t xml:space="preserve"> </w:t>
      </w:r>
      <w:r>
        <w:rPr>
          <w:rFonts w:hint="eastAsia"/>
        </w:rPr>
        <w:t xml:space="preserve">PID（353.62</w:t>
      </w:r>
      <w:r>
        <w:t xml:space="preserve"> </w:t>
      </w:r>
      <w:r>
        <w:rPr>
          <w:rFonts w:hint="eastAsia"/>
        </w:rPr>
        <w:t xml:space="preserve">kW）与</w:t>
      </w:r>
      <w:r>
        <w:t xml:space="preserve"> </w:t>
      </w:r>
      <w:r>
        <w:rPr>
          <w:rFonts w:hint="eastAsia"/>
        </w:rPr>
        <w:t xml:space="preserve">RBC（356.20</w:t>
      </w:r>
      <w:r>
        <w:t xml:space="preserve"> </w:t>
      </w:r>
      <w:r>
        <w:rPr>
          <w:rFonts w:hint="eastAsia"/>
        </w:rPr>
        <w:t xml:space="preserve">kW），表明其在本测试集上表现出一致的能效优势。</w:t>
      </w:r>
    </w:p>
    <w:p>
      <w:pPr>
        <w:pStyle w:val="BodyText"/>
      </w:pPr>
      <w:r>
        <w:rPr>
          <w:rFonts w:hint="eastAsia"/>
        </w:rPr>
        <w:t xml:space="preserve">在执行品质方面，ET-PRL</w:t>
      </w:r>
      <w:r>
        <w:t xml:space="preserve"> </w:t>
      </w:r>
      <w:r>
        <w:rPr>
          <w:rFonts w:hint="eastAsia"/>
        </w:rPr>
        <w:t xml:space="preserve">的动作平滑度</w:t>
      </w:r>
      <w:r>
        <w:t xml:space="preserve"> </w:t>
      </w:r>
      <m:oMath>
        <m:sSub>
          <m:e>
            <m:r>
              <m:t>σ</m:t>
            </m:r>
          </m:e>
          <m:sub>
            <m:r>
              <m:rPr>
                <m:sty m:val="p"/>
              </m:rPr>
              <m:t>Δ</m:t>
            </m:r>
            <m:r>
              <m:t>a</m:t>
            </m:r>
          </m:sub>
        </m:sSub>
        <m:r>
          <m:rPr>
            <m:sty m:val="p"/>
          </m:rPr>
          <m:t>=</m:t>
        </m:r>
        <m:r>
          <m:t>0.6014</m:t>
        </m:r>
      </m:oMath>
      <w:r>
        <w:rPr>
          <w:rFonts w:hint="eastAsia"/>
        </w:rPr>
        <w:t xml:space="preserve">，较</w:t>
      </w:r>
      <w:r>
        <w:t xml:space="preserve"> </w:t>
      </w:r>
      <w:r>
        <w:rPr>
          <w:rFonts w:hint="eastAsia"/>
        </w:rPr>
        <w:t xml:space="preserve">TTC-RL-1（0.8101）下降</w:t>
      </w:r>
      <w:r>
        <w:t xml:space="preserve"> </w:t>
      </w:r>
      <w:r>
        <w:rPr>
          <w:rFonts w:hint="eastAsia"/>
        </w:rPr>
        <w:t xml:space="preserve">25.76%，较</w:t>
      </w:r>
      <w:r>
        <w:t xml:space="preserve"> </w:t>
      </w:r>
      <w:r>
        <w:rPr>
          <w:rFonts w:hint="eastAsia"/>
        </w:rPr>
        <w:t xml:space="preserve">ST-ETC（0.7711）下降</w:t>
      </w:r>
      <w:r>
        <w:t xml:space="preserve"> </w:t>
      </w:r>
      <w:r>
        <w:rPr>
          <w:rFonts w:hint="eastAsia"/>
        </w:rPr>
        <w:t xml:space="preserve">22.01%，说明其在抑制高频抖动、降低执行器频繁调节方面具有优势。该值略高于</w:t>
      </w:r>
      <w:r>
        <w:t xml:space="preserve"> </w:t>
      </w:r>
      <w:r>
        <w:rPr>
          <w:rFonts w:hint="eastAsia"/>
        </w:rPr>
        <w:t xml:space="preserve">TTC-RL-2（0.5617），反映</w:t>
      </w:r>
      <w:r>
        <w:t xml:space="preserve"> ET-PRL </w:t>
      </w:r>
      <w:r>
        <w:rPr>
          <w:rFonts w:hint="eastAsia"/>
        </w:rPr>
        <w:t xml:space="preserve">在保持必要动作调整与抑制无效更新之间实现了相对平衡的折中。</w:t>
      </w:r>
    </w:p>
    <w:p>
      <w:pPr>
        <w:pStyle w:val="BodyText"/>
      </w:pPr>
      <w:r>
        <w:rPr>
          <w:rFonts w:hint="eastAsia"/>
        </w:rPr>
        <w:t xml:space="preserve">在奖励指标方面，应区分累计收益与单位更新收益两类口径。ET-PRL</w:t>
      </w:r>
      <w:r>
        <w:t xml:space="preserve"> </w:t>
      </w:r>
      <w:r>
        <w:rPr>
          <w:rFonts w:hint="eastAsia"/>
        </w:rPr>
        <w:t xml:space="preserve">的总奖励</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1939.74，低于</w:t>
      </w:r>
      <w:r>
        <w:t xml:space="preserve"> TTC-RL-1 </w:t>
      </w:r>
      <w:r>
        <w:rPr>
          <w:rFonts w:hint="eastAsia"/>
        </w:rPr>
        <w:t xml:space="preserve">的</w:t>
      </w:r>
      <w:r>
        <w:t xml:space="preserve"> </w:t>
      </w:r>
      <w:r>
        <w:rPr>
          <w:rFonts w:hint="eastAsia"/>
        </w:rPr>
        <w:t xml:space="preserve">2054.63，对应</w:t>
      </w:r>
      <w:r>
        <w:t xml:space="preserve"> PPR </w:t>
      </w:r>
      <w:r>
        <w:rPr>
          <w:rFonts w:hint="eastAsia"/>
        </w:rPr>
        <w:t xml:space="preserve">为</w:t>
      </w:r>
      <w:r>
        <w:t xml:space="preserve"> </w:t>
      </w:r>
      <w:r>
        <w:rPr>
          <w:rFonts w:hint="eastAsia"/>
        </w:rPr>
        <w:t xml:space="preserve">94.41%；但其平均步奖励</w:t>
      </w:r>
      <w:r>
        <w:t xml:space="preserve"> </w:t>
      </w:r>
      <m:oMath>
        <m:sSub>
          <m:e>
            <m:acc>
              <m:accPr>
                <m:chr m:val="‾"/>
              </m:accPr>
              <m:e>
                <m:r>
                  <m:t>R</m:t>
                </m:r>
              </m:e>
            </m:acc>
          </m:e>
          <m:sub>
            <m:r>
              <m:rPr>
                <m:nor/>
                <m:sty m:val="p"/>
              </m:rPr>
              <m:t>step</m:t>
            </m:r>
          </m:sub>
        </m:sSub>
      </m:oMath>
      <w:r>
        <w:t xml:space="preserve"> </w:t>
      </w:r>
      <w:r>
        <w:rPr>
          <w:rFonts w:hint="eastAsia"/>
        </w:rPr>
        <w:t xml:space="preserve">为</w:t>
      </w:r>
      <w:r>
        <w:t xml:space="preserve"> </w:t>
      </w:r>
      <w:r>
        <w:rPr>
          <w:rFonts w:hint="eastAsia"/>
        </w:rPr>
        <w:t xml:space="preserve">0.9481，为强化学习策略中最高，较</w:t>
      </w:r>
      <w:r>
        <w:t xml:space="preserve"> </w:t>
      </w:r>
      <w:r>
        <w:rPr>
          <w:rFonts w:hint="eastAsia"/>
        </w:rPr>
        <w:t xml:space="preserve">TTC-RL-1（0.4665）提升约</w:t>
      </w:r>
      <w:r>
        <w:t xml:space="preserve"> </w:t>
      </w:r>
      <w:r>
        <w:rPr>
          <w:rFonts w:hint="eastAsia"/>
        </w:rPr>
        <w:t xml:space="preserve">103.24%，较</w:t>
      </w:r>
      <w:r>
        <w:t xml:space="preserve"> </w:t>
      </w:r>
      <w:r>
        <w:rPr>
          <w:rFonts w:hint="eastAsia"/>
        </w:rPr>
        <w:t xml:space="preserve">ST-ETC（0.5822）提升约</w:t>
      </w:r>
      <w:r>
        <w:t xml:space="preserve"> </w:t>
      </w:r>
      <w:r>
        <w:rPr>
          <w:rFonts w:hint="eastAsia"/>
        </w:rPr>
        <w:t xml:space="preserve">62.85%，也高于</w:t>
      </w:r>
      <w:r>
        <w:t xml:space="preserve"> </w:t>
      </w:r>
      <w:r>
        <w:rPr>
          <w:rFonts w:hint="eastAsia"/>
        </w:rPr>
        <w:t xml:space="preserve">TTC-RL-2（0.9186）。该结果表明，ET-PRL</w:t>
      </w:r>
      <w:r>
        <w:t xml:space="preserve"> </w:t>
      </w:r>
      <w:r>
        <w:rPr>
          <w:rFonts w:hint="eastAsia"/>
        </w:rPr>
        <w:t xml:space="preserve">将有限动作更新预算集中在更高价值的决策时刻，在仅损失部分累计收益的情况下显著提升了单位更新效率，这与事件驱动控制追求按需高效干预的设计目标一致。</w:t>
      </w:r>
    </w:p>
    <w:p>
      <w:pPr>
        <w:pStyle w:val="Compact"/>
        <w:numPr>
          <w:ilvl w:val="0"/>
          <w:numId w:val="1019"/>
        </w:numPr>
      </w:pPr>
      <w:r>
        <w:rPr>
          <w:rFonts w:hint="eastAsia"/>
        </w:rPr>
        <w:t xml:space="preserve">冷冻水供水温度设定值策略行为分析</w:t>
      </w:r>
    </w:p>
    <w:p>
      <w:pPr>
        <w:pStyle w:val="FirstParagraph"/>
      </w:pPr>
      <w:r>
        <w:rPr>
          <w:rFonts w:hint="eastAsia"/>
        </w:rPr>
        <w:t xml:space="preserve">在宏观分布层面，静态阈值策略</w:t>
      </w:r>
      <w:r>
        <w:t xml:space="preserve"> ST-ETC </w:t>
      </w:r>
      <w:r>
        <w:rPr>
          <w:rFonts w:hint="eastAsia"/>
        </w:rPr>
        <w:t xml:space="preserve">与</w:t>
      </w:r>
      <w:r>
        <w:t xml:space="preserve"> TTC-RL-1 </w:t>
      </w:r>
      <w:r>
        <w:rPr>
          <w:rFonts w:hint="eastAsia"/>
        </w:rPr>
        <w:t xml:space="preserve">的动作等效比率达到</w:t>
      </w:r>
      <w:r>
        <w:t xml:space="preserve"> </w:t>
      </w:r>
      <w:r>
        <w:rPr>
          <w:rFonts w:hint="eastAsia"/>
        </w:rPr>
        <w:t xml:space="preserve">99.2%，说明其主要表现为更新频率稀疏化，而非价值函数驱动的策略重构。基于此，图</w:t>
      </w:r>
      <w:r>
        <w:t xml:space="preserve"> 5-2-1 </w:t>
      </w:r>
      <w:r>
        <w:rPr>
          <w:rFonts w:hint="eastAsia"/>
        </w:rPr>
        <w:t xml:space="preserve">将</w:t>
      </w:r>
      <w:r>
        <w:t xml:space="preserve"> TTC-RL-1 </w:t>
      </w:r>
      <w:r>
        <w:rPr>
          <w:rFonts w:hint="eastAsia"/>
        </w:rPr>
        <w:t xml:space="preserve">与</w:t>
      </w:r>
      <w:r>
        <w:t xml:space="preserve"> ST-ETC </w:t>
      </w:r>
      <w:r>
        <w:rPr>
          <w:rFonts w:hint="eastAsia"/>
        </w:rPr>
        <w:t xml:space="preserve">的宏观分布合并展示，用于突出</w:t>
      </w:r>
      <w:r>
        <w:t xml:space="preserve"> ET-PRL </w:t>
      </w:r>
      <w:r>
        <w:rPr>
          <w:rFonts w:hint="eastAsia"/>
        </w:rPr>
        <w:t xml:space="preserve">在动作空间上的再分配特征。</w:t>
      </w:r>
    </w:p>
    <w:p>
      <w:pPr>
        <w:pStyle w:val="CaptionedFigure"/>
      </w:pPr>
      <w:r>
        <w:drawing>
          <wp:inline>
            <wp:extent cx="5334000" cy="2714831"/>
            <wp:effectExtent b="0" l="0" r="0" t="0"/>
            <wp:docPr descr="图 5-2-1 ET-PRL、TTC-RL-1 与 ST-ETC 的 T_{\mathrm{chws}} 窗口分布对比（每个柱表示 10 小时窗口内动作比例）" title="" id="31" name="Picture"/>
            <a:graphic>
              <a:graphicData uri="http://schemas.openxmlformats.org/drawingml/2006/picture">
                <pic:pic>
                  <pic:nvPicPr>
                    <pic:cNvPr descr="../pics/fig_5_2_1_t_chws_macro_distribution.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334000" cy="2714831"/>
                    </a:xfrm>
                    <a:prstGeom prst="rect">
                      <a:avLst/>
                    </a:prstGeom>
                    <a:noFill/>
                    <a:ln w="9525">
                      <a:noFill/>
                      <a:headEnd/>
                      <a:tailEnd/>
                    </a:ln>
                  </pic:spPr>
                </pic:pic>
              </a:graphicData>
            </a:graphic>
          </wp:inline>
        </w:drawing>
      </w:r>
    </w:p>
    <w:p>
      <w:pPr>
        <w:pStyle w:val="ImageCaption"/>
      </w:pPr>
      <w:r>
        <w:rPr>
          <w:rFonts w:hint="eastAsia"/>
        </w:rPr>
        <w:t xml:space="preserve">图</w:t>
      </w:r>
      <w:r>
        <w:t xml:space="preserve"> 5-2-1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w:t>
      </w:r>
      <w:r>
        <w:t xml:space="preserve"> 5-2-1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w:t>
      </w:r>
      <w:r>
        <w:t xml:space="preserve"> 5-2-1 </w:t>
      </w:r>
      <w:r>
        <w:rPr>
          <w:rFonts w:hint="eastAsia"/>
        </w:rPr>
        <w:t xml:space="preserve">显示，在</w:t>
      </w:r>
      <w:r>
        <w:t xml:space="preserve"> 0-50h </w:t>
      </w:r>
      <w:r>
        <w:rPr>
          <w:rFonts w:hint="eastAsia"/>
        </w:rPr>
        <w:t xml:space="preserve">与</w:t>
      </w:r>
      <w:r>
        <w:t xml:space="preserve"> 200-250h </w:t>
      </w:r>
      <w:r>
        <w:rPr>
          <w:rFonts w:hint="eastAsia"/>
        </w:rPr>
        <w:t xml:space="preserve">等典型低负荷时段，ET-PRL</w:t>
      </w:r>
      <w:r>
        <w:t xml:space="preserve"> </w:t>
      </w:r>
      <w:r>
        <w:rPr>
          <w:rFonts w:hint="eastAsia"/>
        </w:rPr>
        <w:t xml:space="preserve">在离散动作空间高温端（15°C）对应区间的动作占比显著提升。该行为与冷水机组变工况热力学特性一致：当建筑冷量需求较弱时，上调</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等效于提高蒸发温度，可降低压缩机压比并提升性能系数（COP），从而在不突破室内热舒适边界的前提下降低单位冷量耗电。需要指出的是，ST-ETC</w:t>
      </w:r>
      <w:r>
        <w:t xml:space="preserve"> </w:t>
      </w:r>
      <w:r>
        <w:rPr>
          <w:rFonts w:hint="eastAsia"/>
        </w:rPr>
        <w:t xml:space="preserve">与</w:t>
      </w:r>
      <w:r>
        <w:t xml:space="preserve"> ET-PRL </w:t>
      </w:r>
      <w:r>
        <w:rPr>
          <w:rFonts w:hint="eastAsia"/>
        </w:rPr>
        <w:t xml:space="preserve">复用同一</w:t>
      </w:r>
      <w:r>
        <w:t xml:space="preserve"> TTC-RL-1 </w:t>
      </w:r>
      <w:r>
        <w:rPr>
          <w:rFonts w:hint="eastAsia"/>
        </w:rPr>
        <w:t xml:space="preserve">预训练</w:t>
      </w:r>
      <w:r>
        <w:t xml:space="preserve"> Q </w:t>
      </w:r>
      <w:r>
        <w:rPr>
          <w:rFonts w:hint="eastAsia"/>
        </w:rPr>
        <w:t xml:space="preserve">网络与同一状态输入，因此二者均具备基于预测特征的价值评估能力。两者差异主要来自门控层：ST-ETC</w:t>
      </w:r>
      <w:r>
        <w:t xml:space="preserve"> </w:t>
      </w:r>
      <w:r>
        <w:rPr>
          <w:rFonts w:hint="eastAsia"/>
        </w:rPr>
        <w:t xml:space="preserve">的静态阈值在跨时段分布漂移下更易出现边界失配，在非关键时刻产生误触发并缩短高效设定值的连续保持时长；ET-PRL</w:t>
      </w:r>
      <w:r>
        <w:t xml:space="preserve"> </w:t>
      </w:r>
      <w:r>
        <w:rPr>
          <w:rFonts w:hint="eastAsia"/>
        </w:rPr>
        <w:t xml:space="preserve">的流式双层动态阈值可在线校正触发边界，过滤高频噪声触发，为高设定温度动作提供更连续的执行窗口，从而实现更显著的动作空间再分配。</w:t>
      </w:r>
    </w:p>
    <w:p>
      <w:pPr>
        <w:pStyle w:val="CaptionedFigure"/>
      </w:pPr>
      <w:r>
        <w:drawing>
          <wp:inline>
            <wp:extent cx="5334000" cy="2026919"/>
            <wp:effectExtent b="0" l="0" r="0" t="0"/>
            <wp:docPr descr="图 5-2-2 事件触发局部响应与全局差值频次统计：面板(a)为 65h-85h 窗口内冷负荷与绝对设定值轨迹，面板(b)为 ST-ETC 与 ET-PRL 相对 TTC-RL-1 的 \Delta T_{\mathrm{chws}} 对数频次分布" title="" id="34" name="Picture"/>
            <a:graphic>
              <a:graphicData uri="http://schemas.openxmlformats.org/drawingml/2006/picture">
                <pic:pic>
                  <pic:nvPicPr>
                    <pic:cNvPr descr="../pics/fig_5_2_2_t_chws_delta_analysis.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2026919"/>
                    </a:xfrm>
                    <a:prstGeom prst="rect">
                      <a:avLst/>
                    </a:prstGeom>
                    <a:noFill/>
                    <a:ln w="9525">
                      <a:noFill/>
                      <a:headEnd/>
                      <a:tailEnd/>
                    </a:ln>
                  </pic:spPr>
                </pic:pic>
              </a:graphicData>
            </a:graphic>
          </wp:inline>
        </w:drawing>
      </w:r>
    </w:p>
    <w:p>
      <w:pPr>
        <w:pStyle w:val="ImageCaption"/>
      </w:pPr>
      <w:r>
        <w:rPr>
          <w:rFonts w:hint="eastAsia"/>
        </w:rPr>
        <w:t xml:space="preserve">图</w:t>
      </w:r>
      <w:r>
        <w:t xml:space="preserve"> 5-2-2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p>
    <w:p>
      <w:pPr>
        <w:pStyle w:val="BodyText"/>
      </w:pPr>
      <w:r>
        <w:rPr>
          <w:rFonts w:hint="eastAsia"/>
        </w:rPr>
        <w:t xml:space="preserve">图</w:t>
      </w:r>
      <w:r>
        <w:t xml:space="preserve"> 5-2-2 </w:t>
      </w:r>
      <w:r>
        <w:rPr>
          <w:rFonts w:hint="eastAsia"/>
        </w:rPr>
        <w:t xml:space="preserve">事件触发局部响应与全局差值频次统计</w:t>
      </w:r>
    </w:p>
    <w:p>
      <w:pPr>
        <w:pStyle w:val="BodyText"/>
      </w:pPr>
      <w:r>
        <w:rPr>
          <w:rFonts w:hint="eastAsia"/>
        </w:rPr>
        <w:t xml:space="preserve">在微观轨迹层面，图</w:t>
      </w:r>
      <w:r>
        <w:t xml:space="preserve"> 5-2-2(a) </w:t>
      </w:r>
      <w:r>
        <w:rPr>
          <w:rFonts w:hint="eastAsia"/>
        </w:rPr>
        <w:t xml:space="preserve">选取</w:t>
      </w:r>
      <w:r>
        <w:t xml:space="preserve"> 65h-85h </w:t>
      </w:r>
      <w:r>
        <w:rPr>
          <w:rFonts w:hint="eastAsia"/>
        </w:rPr>
        <w:t xml:space="preserve">典型窗口，显示</w:t>
      </w:r>
      <w:r>
        <w:t xml:space="preserve"> ET-PRL </w:t>
      </w:r>
      <w:r>
        <w:rPr>
          <w:rFonts w:hint="eastAsia"/>
        </w:rPr>
        <w:t xml:space="preserve">呈现更长周期的阶梯保持，仅在关键扰动出现时更新设定值；TTC-RL-1</w:t>
      </w:r>
      <w:r>
        <w:t xml:space="preserve"> </w:t>
      </w:r>
      <w:r>
        <w:rPr>
          <w:rFonts w:hint="eastAsia"/>
        </w:rPr>
        <w:t xml:space="preserve">则维持高频时间触发更新。结合同一预训练</w:t>
      </w:r>
      <w:r>
        <w:t xml:space="preserve"> Q </w:t>
      </w:r>
      <w:r>
        <w:rPr>
          <w:rFonts w:hint="eastAsia"/>
        </w:rPr>
        <w:t xml:space="preserve">网络这一前提可知，该差异并非源于策略网络能力差异，而是源于触发时机质量差异：ST-ETC</w:t>
      </w:r>
      <w:r>
        <w:t xml:space="preserve"> </w:t>
      </w:r>
      <w:r>
        <w:rPr>
          <w:rFonts w:hint="eastAsia"/>
        </w:rPr>
        <w:t xml:space="preserve">受静态边界约束，更易在边界附近误触发，导致控制序列被频繁打断并回退至与基线近似的保守输出；ET-PRL</w:t>
      </w:r>
      <w:r>
        <w:t xml:space="preserve"> </w:t>
      </w:r>
      <w:r>
        <w:rPr>
          <w:rFonts w:hint="eastAsia"/>
        </w:rPr>
        <w:t xml:space="preserve">通过双层动态阈值与最小触发间隔抑制噪声驱动更新，使预测型</w:t>
      </w:r>
      <w:r>
        <w:t xml:space="preserve"> Q </w:t>
      </w:r>
      <w:r>
        <w:rPr>
          <w:rFonts w:hint="eastAsia"/>
        </w:rPr>
        <w:t xml:space="preserve">网络能够在低负荷窗口稳定维持长周期高效设定。</w:t>
      </w:r>
    </w:p>
    <w:p>
      <w:pPr>
        <w:pStyle w:val="BodyText"/>
      </w:pPr>
      <w:r>
        <w:rPr>
          <w:rFonts w:hint="eastAsia"/>
        </w:rPr>
        <w:t xml:space="preserve">在全局差值统计层面，图</w:t>
      </w:r>
      <w:r>
        <w:t xml:space="preserve"> 5-2-2(b) </w:t>
      </w:r>
      <w:r>
        <w:rPr>
          <w:rFonts w:hint="eastAsia"/>
        </w:rPr>
        <w:t xml:space="preserve">显示</w:t>
      </w:r>
      <w:r>
        <w:t xml:space="preserve"> ST-ETC </w:t>
      </w:r>
      <w:r>
        <w:rPr>
          <w:rFonts w:hint="eastAsia"/>
        </w:rPr>
        <w:t xml:space="preserve">相对</w:t>
      </w:r>
      <w:r>
        <w:t xml:space="preserve"> TTC-RL-1 </w:t>
      </w:r>
      <w:r>
        <w:rPr>
          <w:rFonts w:hint="eastAsia"/>
        </w:rPr>
        <w:t xml:space="preserve">的非零差值占比仅为</w:t>
      </w:r>
      <w:r>
        <w:t xml:space="preserve"> </w:t>
      </w:r>
      <w:r>
        <w:rPr>
          <w:rFonts w:hint="eastAsia"/>
        </w:rPr>
        <w:t xml:space="preserve">0.82%，而</w:t>
      </w:r>
      <w:r>
        <w:t xml:space="preserve"> ET-PRL </w:t>
      </w:r>
      <w:r>
        <w:rPr>
          <w:rFonts w:hint="eastAsia"/>
        </w:rPr>
        <w:t xml:space="preserve">的非零差值占比为</w:t>
      </w:r>
      <w:r>
        <w:t xml:space="preserve"> </w:t>
      </w:r>
      <w:r>
        <w:rPr>
          <w:rFonts w:hint="eastAsia"/>
        </w:rPr>
        <w:t xml:space="preserve">14.12%；对应全样本差值方差分别为</w:t>
      </w:r>
      <w:r>
        <w:t xml:space="preserve"> </w:t>
      </w:r>
      <m:oMath>
        <m:r>
          <m:t>0.446</m:t>
        </m:r>
      </m:oMath>
      <w:r>
        <w:t xml:space="preserve"> </w:t>
      </w:r>
      <w:r>
        <w:rPr>
          <w:rFonts w:hint="eastAsia"/>
        </w:rPr>
        <w:t xml:space="preserve">与</w:t>
      </w:r>
      <w:r>
        <w:t xml:space="preserve"> </w:t>
      </w:r>
      <m:oMath>
        <m:r>
          <m:t>5.879</m:t>
        </m:r>
      </m:oMath>
      <w:r>
        <w:rPr>
          <w:rFonts w:hint="eastAsia"/>
        </w:rPr>
        <w:t xml:space="preserve">。这表明</w:t>
      </w:r>
      <w:r>
        <w:t xml:space="preserve"> ST-ETC </w:t>
      </w:r>
      <w:r>
        <w:rPr>
          <w:rFonts w:hint="eastAsia"/>
        </w:rPr>
        <w:t xml:space="preserve">的动作输出仍高度黏附于基线策略，难以形成实质性的温度设定优化；ET-PRL</w:t>
      </w:r>
      <w:r>
        <w:t xml:space="preserve"> </w:t>
      </w:r>
      <w:r>
        <w:rPr>
          <w:rFonts w:hint="eastAsia"/>
        </w:rPr>
        <w:t xml:space="preserve">则在保持稀疏执行的同时实现了更充分的动作空间重构。</w:t>
      </w:r>
    </w:p>
    <w:p>
      <w:pPr>
        <w:pStyle w:val="Compact"/>
        <w:numPr>
          <w:ilvl w:val="0"/>
          <w:numId w:val="1020"/>
        </w:numPr>
      </w:pPr>
      <w:r>
        <w:rPr>
          <w:rFonts w:hint="eastAsia"/>
        </w:rPr>
        <w:t xml:space="preserve">事件触发的控制稀疏性与时序动态分析</w:t>
      </w:r>
    </w:p>
    <w:p>
      <w:pPr>
        <w:pStyle w:val="FirstParagraph"/>
      </w:pPr>
      <w:r>
        <w:rPr>
          <w:rFonts w:hint="eastAsia"/>
        </w:rPr>
        <w:t xml:space="preserve">为克服单一绝对数值评估的局限性并全面展现控制行为的时域演化过程，本节在统一标准下对</w:t>
      </w:r>
      <w:r>
        <w:t xml:space="preserve"> ET-PRL、ST-ETC </w:t>
      </w:r>
      <w:r>
        <w:rPr>
          <w:rFonts w:hint="eastAsia"/>
        </w:rPr>
        <w:t xml:space="preserve">与</w:t>
      </w:r>
      <w:r>
        <w:t xml:space="preserve"> TTC-RL-1 </w:t>
      </w:r>
      <w:r>
        <w:rPr>
          <w:rFonts w:hint="eastAsia"/>
        </w:rPr>
        <w:t xml:space="preserve">展开横向比较。为准确描述系统时序动态行为，首先明确两个关键指标：触发间隔（Trigger</w:t>
      </w:r>
      <w:r>
        <w:t xml:space="preserve"> </w:t>
      </w:r>
      <w:r>
        <w:rPr>
          <w:rFonts w:hint="eastAsia"/>
        </w:rPr>
        <w:t xml:space="preserve">Interval）定义为相邻两次事件触发机制被激活，即事件触发指示器</w:t>
      </w:r>
      <w:r>
        <w:t xml:space="preserve"> </w:t>
      </w:r>
      <m:oMath>
        <m:sSub>
          <m:e>
            <m:r>
              <m:t>I</m:t>
            </m:r>
          </m:e>
          <m:sub>
            <m:r>
              <m:rPr>
                <m:nor/>
                <m:sty m:val="p"/>
              </m:rPr>
              <m:t>trigger</m:t>
            </m:r>
          </m:sub>
        </m:sSub>
        <m:r>
          <m:rPr>
            <m:sty m:val="p"/>
          </m:rPr>
          <m:t>=</m:t>
        </m:r>
        <m:r>
          <m:t>1</m:t>
        </m:r>
      </m:oMath>
      <w:r>
        <w:t xml:space="preserve"> </w:t>
      </w:r>
      <w:r>
        <w:rPr>
          <w:rFonts w:hint="eastAsia"/>
        </w:rPr>
        <w:t xml:space="preserve">之间的时间步长；动作保持长度（Hold</w:t>
      </w:r>
      <w:r>
        <w:t xml:space="preserve"> </w:t>
      </w:r>
      <w:r>
        <w:rPr>
          <w:rFonts w:hint="eastAsia"/>
        </w:rPr>
        <w:t xml:space="preserve">Length）定义为控制设定值</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连续维持在同一水平的时间步长。</w:t>
      </w:r>
    </w:p>
    <w:p>
      <w:pPr>
        <w:pStyle w:val="BodyText"/>
      </w:pPr>
      <w:r>
        <w:rPr>
          <w:rFonts w:hint="eastAsia"/>
        </w:rPr>
        <w:t xml:space="preserve">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pPr>
        <w:pStyle w:val="BodyText"/>
      </w:pPr>
      <w:r>
        <w:rPr>
          <w:rFonts w:hint="eastAsia"/>
        </w:rPr>
        <w:t xml:space="preserve">基于上述定义统计可得，ET-PRL</w:t>
      </w:r>
      <w:r>
        <w:t xml:space="preserve"> </w:t>
      </w:r>
      <w:r>
        <w:rPr>
          <w:rFonts w:hint="eastAsia"/>
        </w:rPr>
        <w:t xml:space="preserve">的触发间隔均值为</w:t>
      </w:r>
      <w:r>
        <w:t xml:space="preserve"> 2.117 </w:t>
      </w:r>
      <w:r>
        <w:rPr>
          <w:rFonts w:hint="eastAsia"/>
        </w:rPr>
        <w:t xml:space="preserve">步，显著高于</w:t>
      </w:r>
      <w:r>
        <w:t xml:space="preserve"> ST-ETC </w:t>
      </w:r>
      <w:r>
        <w:rPr>
          <w:rFonts w:hint="eastAsia"/>
        </w:rPr>
        <w:t xml:space="preserve">的</w:t>
      </w:r>
      <w:r>
        <w:t xml:space="preserve"> 1.249 </w:t>
      </w:r>
      <w:r>
        <w:rPr>
          <w:rFonts w:hint="eastAsia"/>
        </w:rPr>
        <w:t xml:space="preserve">步与</w:t>
      </w:r>
      <w:r>
        <w:t xml:space="preserve"> TTC-RL-1 </w:t>
      </w:r>
      <w:r>
        <w:rPr>
          <w:rFonts w:hint="eastAsia"/>
        </w:rPr>
        <w:t xml:space="preserve">的</w:t>
      </w:r>
      <w:r>
        <w:t xml:space="preserve"> 1.000 </w:t>
      </w:r>
      <w:r>
        <w:rPr>
          <w:rFonts w:hint="eastAsia"/>
        </w:rPr>
        <w:t xml:space="preserve">步；按自然日聚合统计的日均触发次数分别为</w:t>
      </w:r>
      <w:r>
        <w:t xml:space="preserve"> 127.88 </w:t>
      </w:r>
      <w:r>
        <w:rPr>
          <w:rFonts w:hint="eastAsia"/>
        </w:rPr>
        <w:t xml:space="preserve">次、220.31</w:t>
      </w:r>
      <w:r>
        <w:t xml:space="preserve"> </w:t>
      </w:r>
      <w:r>
        <w:rPr>
          <w:rFonts w:hint="eastAsia"/>
        </w:rPr>
        <w:t xml:space="preserve">次与</w:t>
      </w:r>
      <w:r>
        <w:t xml:space="preserve"> 275.25 </w:t>
      </w:r>
      <w:r>
        <w:rPr>
          <w:rFonts w:hint="eastAsia"/>
        </w:rPr>
        <w:t xml:space="preserve">次。在动作保持长度方面，ET-PRL</w:t>
      </w:r>
      <w:r>
        <w:t xml:space="preserve"> </w:t>
      </w:r>
      <w:r>
        <w:rPr>
          <w:rFonts w:hint="eastAsia"/>
        </w:rPr>
        <w:t xml:space="preserve">的均值为</w:t>
      </w:r>
      <w:r>
        <w:t xml:space="preserve"> 11.56 </w:t>
      </w:r>
      <w:r>
        <w:rPr>
          <w:rFonts w:hint="eastAsia"/>
        </w:rPr>
        <w:t xml:space="preserve">步，同样高于</w:t>
      </w:r>
      <w:r>
        <w:t xml:space="preserve"> ST-ETC </w:t>
      </w:r>
      <w:r>
        <w:rPr>
          <w:rFonts w:hint="eastAsia"/>
        </w:rPr>
        <w:t xml:space="preserve">的</w:t>
      </w:r>
      <w:r>
        <w:t xml:space="preserve"> 7.89 </w:t>
      </w:r>
      <w:r>
        <w:rPr>
          <w:rFonts w:hint="eastAsia"/>
        </w:rPr>
        <w:t xml:space="preserve">步与</w:t>
      </w:r>
      <w:r>
        <w:t xml:space="preserve"> TTC-RL-1 </w:t>
      </w:r>
      <w:r>
        <w:rPr>
          <w:rFonts w:hint="eastAsia"/>
        </w:rPr>
        <w:t xml:space="preserve">的</w:t>
      </w:r>
      <w:r>
        <w:t xml:space="preserve"> 7.57 </w:t>
      </w:r>
      <w:r>
        <w:rPr>
          <w:rFonts w:hint="eastAsia"/>
        </w:rPr>
        <w:t xml:space="preserve">步；其统计分布呈现显著长尾特征，第</w:t>
      </w:r>
      <w:r>
        <w:t xml:space="preserve"> 95 </w:t>
      </w:r>
      <w:r>
        <w:rPr>
          <w:rFonts w:hint="eastAsia"/>
        </w:rPr>
        <w:t xml:space="preserve">百分位数</w:t>
      </w:r>
      <w:r>
        <w:t xml:space="preserve"> </w:t>
      </w:r>
      <m:oMath>
        <m:sSub>
          <m:e>
            <m:r>
              <m:t>P</m:t>
            </m:r>
          </m:e>
          <m:sub>
            <m:r>
              <m:t>95</m:t>
            </m:r>
          </m:sub>
        </m:sSub>
      </m:oMath>
      <w:r>
        <w:t xml:space="preserve"> </w:t>
      </w:r>
      <w:r>
        <w:rPr>
          <w:rFonts w:hint="eastAsia"/>
        </w:rPr>
        <w:t xml:space="preserve">达到</w:t>
      </w:r>
      <w:r>
        <w:t xml:space="preserve"> 57.0 </w:t>
      </w:r>
      <w:r>
        <w:rPr>
          <w:rFonts w:hint="eastAsia"/>
        </w:rPr>
        <w:t xml:space="preserve">步，即约</w:t>
      </w:r>
      <w:r>
        <w:t xml:space="preserve"> 4.75 </w:t>
      </w:r>
      <w:r>
        <w:rPr>
          <w:rFonts w:hint="eastAsia"/>
        </w:rPr>
        <w:t xml:space="preserve">小时，而</w:t>
      </w:r>
      <w:r>
        <w:t xml:space="preserve"> ST-ETC </w:t>
      </w:r>
      <w:r>
        <w:rPr>
          <w:rFonts w:hint="eastAsia"/>
        </w:rPr>
        <w:t xml:space="preserve">与</w:t>
      </w:r>
      <w:r>
        <w:t xml:space="preserve"> TTC-RL-1 </w:t>
      </w:r>
      <w:r>
        <w:rPr>
          <w:rFonts w:hint="eastAsia"/>
        </w:rPr>
        <w:t xml:space="preserve">的对应值仅为</w:t>
      </w:r>
      <w:r>
        <w:t xml:space="preserve"> 43.3 </w:t>
      </w:r>
      <w:r>
        <w:rPr>
          <w:rFonts w:hint="eastAsia"/>
        </w:rPr>
        <w:t xml:space="preserve">步与</w:t>
      </w:r>
      <w:r>
        <w:t xml:space="preserve"> 42.9 </w:t>
      </w:r>
      <w:r>
        <w:rPr>
          <w:rFonts w:hint="eastAsia"/>
        </w:rPr>
        <w:t xml:space="preserve">步。上述结果表明，动态阈值门控机制在抑制控制系统冗余更新方面具备更优的持续静息能力。</w:t>
      </w:r>
    </w:p>
    <w:p>
      <w:pPr>
        <w:pStyle w:val="CaptionedFigure"/>
      </w:pPr>
      <w:r>
        <w:drawing>
          <wp:inline>
            <wp:extent cx="5334000" cy="3579627"/>
            <wp:effectExtent b="0" l="0" r="0" t="0"/>
            <wp:docPr descr="图 5-2-3 不同控制策略下动作更新间隔分布（主图为离散类别分箱占比，插图为长尾区间放大）" title="" id="37" name="Picture"/>
            <a:graphic>
              <a:graphicData uri="http://schemas.openxmlformats.org/drawingml/2006/picture">
                <pic:pic>
                  <pic:nvPicPr>
                    <pic:cNvPr descr="../pics/fig_5_2_3_action_update_interval_distribution.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3579627"/>
                    </a:xfrm>
                    <a:prstGeom prst="rect">
                      <a:avLst/>
                    </a:prstGeom>
                    <a:noFill/>
                    <a:ln w="9525">
                      <a:noFill/>
                      <a:headEnd/>
                      <a:tailEnd/>
                    </a:ln>
                  </pic:spPr>
                </pic:pic>
              </a:graphicData>
            </a:graphic>
          </wp:inline>
        </w:drawing>
      </w:r>
    </w:p>
    <w:p>
      <w:pPr>
        <w:pStyle w:val="ImageCaption"/>
      </w:pPr>
      <w:r>
        <w:rPr>
          <w:rFonts w:hint="eastAsia"/>
        </w:rPr>
        <w:t xml:space="preserve">图</w:t>
      </w:r>
      <w:r>
        <w:t xml:space="preserve"> 5-2-3 </w:t>
      </w:r>
      <w:r>
        <w:rPr>
          <w:rFonts w:hint="eastAsia"/>
        </w:rPr>
        <w:t xml:space="preserve">不同控制策略下动作更新间隔分布（主图为离散类别分箱占比，插图为长尾区间放大）</w:t>
      </w:r>
    </w:p>
    <w:p>
      <w:pPr>
        <w:pStyle w:val="BodyText"/>
      </w:pPr>
      <w:r>
        <w:rPr>
          <w:rFonts w:hint="eastAsia"/>
        </w:rPr>
        <w:t xml:space="preserve">图</w:t>
      </w:r>
      <w:r>
        <w:t xml:space="preserve"> 5-2-3 </w:t>
      </w:r>
      <w:r>
        <w:rPr>
          <w:rFonts w:hint="eastAsia"/>
        </w:rPr>
        <w:t xml:space="preserve">不同控制策略下动作更新间隔分布。主图展示了时间触发基线（TTC-RL-1）、静态事件触发控制（ST-ETC）以及本文提出的动态事件触发框架（ET-PRL）在各离散类别区间中的更新间隔占比。插图给出了间隔</w:t>
      </w:r>
      <w:r>
        <w:t xml:space="preserve"> </w:t>
      </w:r>
      <m:oMath>
        <m:r>
          <m:rPr>
            <m:sty m:val="p"/>
          </m:rPr>
          <m:t>≥</m:t>
        </m:r>
        <m:r>
          <m:t>4</m:t>
        </m:r>
      </m:oMath>
      <w:r>
        <w:t xml:space="preserve"> </w:t>
      </w:r>
      <w:r>
        <w:rPr>
          <w:rFonts w:hint="eastAsia"/>
        </w:rPr>
        <w:t xml:space="preserve">步的长尾分布放大视图。值得注意的是，ET-PRL</w:t>
      </w:r>
      <w:r>
        <w:t xml:space="preserve"> </w:t>
      </w:r>
      <w:r>
        <w:rPr>
          <w:rFonts w:hint="eastAsia"/>
        </w:rPr>
        <w:t xml:space="preserve">表现出显著长尾特征，在低扰动时段最大触发间隔达到</w:t>
      </w:r>
      <w:r>
        <w:t xml:space="preserve"> 74 </w:t>
      </w:r>
      <w:r>
        <w:rPr>
          <w:rFonts w:hint="eastAsia"/>
        </w:rPr>
        <w:t xml:space="preserve">步。相比之下，TTC-RL-1</w:t>
      </w:r>
      <w:r>
        <w:t xml:space="preserve"> </w:t>
      </w:r>
      <w:r>
        <w:rPr>
          <w:rFonts w:hint="eastAsia"/>
        </w:rPr>
        <w:t xml:space="preserve">严格按每步更新（因此在尾部分箱中不出现），ST-ETC</w:t>
      </w:r>
      <w:r>
        <w:t xml:space="preserve"> </w:t>
      </w:r>
      <w:r>
        <w:rPr>
          <w:rFonts w:hint="eastAsia"/>
        </w:rPr>
        <w:t xml:space="preserve">的动作主要集中于短间隔区间，进一步凸显了所提动态门控机制在执行稀疏性方面的优势。</w:t>
      </w:r>
    </w:p>
    <w:p>
      <w:pPr>
        <w:pStyle w:val="BodyText"/>
      </w:pPr>
      <w:r>
        <w:rPr>
          <w:rFonts w:hint="eastAsia"/>
        </w:rPr>
        <w:t xml:space="preserve">如图</w:t>
      </w:r>
      <w:r>
        <w:t xml:space="preserve"> 5-2-3 </w:t>
      </w:r>
      <w:r>
        <w:rPr>
          <w:rFonts w:hint="eastAsia"/>
        </w:rPr>
        <w:t xml:space="preserve">所示，ET-PRL</w:t>
      </w:r>
      <w:r>
        <w:t xml:space="preserve"> </w:t>
      </w:r>
      <w:r>
        <w:rPr>
          <w:rFonts w:hint="eastAsia"/>
        </w:rPr>
        <w:t xml:space="preserve">的触发间隔分布呈现短间隔高频与长间隔长尾并存的结构特征，最大触发间隔达到</w:t>
      </w:r>
      <w:r>
        <w:t xml:space="preserve"> 74 </w:t>
      </w:r>
      <w:r>
        <w:rPr>
          <w:rFonts w:hint="eastAsia"/>
        </w:rPr>
        <w:t xml:space="preserve">步。若以动作保持长度作为系统底层执行机构静息状态的衡量标准，其最大值可达</w:t>
      </w:r>
      <w:r>
        <w:t xml:space="preserve"> 193 </w:t>
      </w:r>
      <w:r>
        <w:rPr>
          <w:rFonts w:hint="eastAsia"/>
        </w:rPr>
        <w:t xml:space="preserve">步，即约</w:t>
      </w:r>
      <w:r>
        <w:t xml:space="preserve"> 16.08 </w:t>
      </w:r>
      <w:r>
        <w:rPr>
          <w:rFonts w:hint="eastAsia"/>
        </w:rPr>
        <w:t xml:space="preserve">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 xml:space="preserve">的样本落入冷负荷变化量绝对值的极高变化区域，即变化量大于整体样本的第</w:t>
      </w:r>
      <w:r>
        <w:t xml:space="preserve"> 85 </w:t>
      </w:r>
      <w:r>
        <w:rPr>
          <w:rFonts w:hint="eastAsia"/>
        </w:rPr>
        <w:t xml:space="preserve">百分位数</w:t>
      </w:r>
      <w:r>
        <w:t xml:space="preserve"> </w:t>
      </w:r>
      <m:oMath>
        <m:sSub>
          <m:e>
            <m:r>
              <m:t>q</m:t>
            </m:r>
          </m:e>
          <m:sub>
            <m:r>
              <m:t>85</m:t>
            </m:r>
          </m:sub>
        </m:sSub>
      </m:oMath>
      <w:r>
        <w:rPr>
          <w:rFonts w:hint="eastAsia"/>
        </w:rPr>
        <w:t xml:space="preserve">；且该时间段内热舒适度评价指标（Thermal</w:t>
      </w:r>
      <w:r>
        <w:t xml:space="preserve"> Comfort Score,</w:t>
      </w:r>
      <w:r>
        <w:t xml:space="preserve"> </w:t>
      </w:r>
      <m:oMath>
        <m:sSub>
          <m:e>
            <m:r>
              <m:t>S</m:t>
            </m:r>
          </m:e>
          <m:sub>
            <m:r>
              <m:rPr>
                <m:nor/>
                <m:sty m:val="p"/>
              </m:rPr>
              <m:t>comfort</m:t>
            </m:r>
          </m:sub>
        </m:sSub>
      </m:oMath>
      <w:r>
        <w:rPr>
          <w:rFonts w:hint="eastAsia"/>
        </w:rPr>
        <w:t xml:space="preserve">）的</w:t>
      </w:r>
      <w:r>
        <w:t xml:space="preserve"> 10 </w:t>
      </w:r>
      <w:r>
        <w:rPr>
          <w:rFonts w:hint="eastAsia"/>
        </w:rPr>
        <w:t xml:space="preserve">分位数仍维持在</w:t>
      </w:r>
      <w:r>
        <w:t xml:space="preserve"> </w:t>
      </w:r>
      <w:r>
        <w:rPr>
          <w:rFonts w:hint="eastAsia"/>
        </w:rPr>
        <w:t xml:space="preserve">0.215，系统未出现热舒适度失稳塌陷。追溯系统运行日志可知，该最长保持段横跨测试集第</w:t>
      </w:r>
      <w:r>
        <w:t xml:space="preserve"> 3 </w:t>
      </w:r>
      <w:r>
        <w:rPr>
          <w:rFonts w:hint="eastAsia"/>
        </w:rPr>
        <w:t xml:space="preserve">天</w:t>
      </w:r>
      <w:r>
        <w:t xml:space="preserve"> 13:45 </w:t>
      </w:r>
      <w:r>
        <w:rPr>
          <w:rFonts w:hint="eastAsia"/>
        </w:rPr>
        <w:t xml:space="preserve">至第</w:t>
      </w:r>
      <w:r>
        <w:t xml:space="preserve"> 4 </w:t>
      </w:r>
      <w:r>
        <w:rPr>
          <w:rFonts w:hint="eastAsia"/>
        </w:rPr>
        <w:t xml:space="preserve">天</w:t>
      </w:r>
      <w:r>
        <w:t xml:space="preserve"> </w:t>
      </w:r>
      <w:r>
        <w:rPr>
          <w:rFonts w:hint="eastAsia"/>
        </w:rPr>
        <w:t xml:space="preserve">05:45，其中约</w:t>
      </w:r>
      <w:r>
        <w:t xml:space="preserve"> 61.1% </w:t>
      </w:r>
      <w:r>
        <w:rPr>
          <w:rFonts w:hint="eastAsia"/>
        </w:rPr>
        <w:t xml:space="preserve">的时长处于夜间至凌晨非营业低谷时段。此时外部气象扰动强度与室内人员冷负荷需求均处于较低水平，建筑热力系统接近稳态基载工况。结合在线流式事件门控判定逻辑，该行为实质上属于满足热力约束条件下的策略休眠，而非被动系统停滞。</w:t>
      </w:r>
    </w:p>
    <w:p>
      <w:pPr>
        <w:pStyle w:val="BodyText"/>
      </w:pPr>
      <w:r>
        <w:rPr>
          <w:rFonts w:hint="eastAsia"/>
        </w:rPr>
        <w:t xml:space="preserve">为揭示系统负荷动态变化与触发动作之间的时序映射关系，图</w:t>
      </w:r>
      <w:r>
        <w:t xml:space="preserve"> 5-2-4 </w:t>
      </w:r>
      <w:r>
        <w:rPr>
          <w:rFonts w:hint="eastAsia"/>
        </w:rPr>
        <w:t xml:space="preserve">进一步展示了典型单日工况（第</w:t>
      </w:r>
      <w:r>
        <w:t xml:space="preserve"> 5 </w:t>
      </w:r>
      <w:r>
        <w:rPr>
          <w:rFonts w:hint="eastAsia"/>
        </w:rPr>
        <w:t xml:space="preserve">天）下的时序对齐结果。</w:t>
      </w:r>
    </w:p>
    <w:p>
      <w:pPr>
        <w:pStyle w:val="CaptionedFigure"/>
      </w:pPr>
      <w:r>
        <w:drawing>
          <wp:inline>
            <wp:extent cx="5334000" cy="3230339"/>
            <wp:effectExtent b="0" l="0" r="0" t="0"/>
            <wp:docPr descr="图 5-2-4 典型日负荷变化与触发时刻对齐关系（第5天，5 min采样）：面板(a)为冷负荷曲线，面板(b)为 ET-PRL、ST-ETC 与 TTC-RL-1 触发脉冲栅格，跨面板阴影带表示典型高负荷变化时段" title="" id="40" name="Picture"/>
            <a:graphic>
              <a:graphicData uri="http://schemas.openxmlformats.org/drawingml/2006/picture">
                <pic:pic>
                  <pic:nvPicPr>
                    <pic:cNvPr descr="../pics/fig_5_2_4_trigger_load_alignment.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rPr>
          <w:rFonts w:hint="eastAsia"/>
        </w:rPr>
        <w:t xml:space="preserve">图</w:t>
      </w:r>
      <w:r>
        <w:t xml:space="preserve"> 5-2-4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p>
    <w:p>
      <w:pPr>
        <w:pStyle w:val="BodyText"/>
      </w:pPr>
      <w:r>
        <w:rPr>
          <w:rFonts w:hint="eastAsia"/>
        </w:rPr>
        <w:t xml:space="preserve">图</w:t>
      </w:r>
      <w:r>
        <w:t xml:space="preserve"> 5-2-4 </w:t>
      </w:r>
      <w:r>
        <w:rPr>
          <w:rFonts w:hint="eastAsia"/>
        </w:rPr>
        <w:t xml:space="preserve">典型日负荷变化与触发时刻对齐关系（第5天，5</w:t>
      </w:r>
      <w:r>
        <w:t xml:space="preserve"> </w:t>
      </w:r>
      <w:r>
        <w:rPr>
          <w:rFonts w:hint="eastAsia"/>
        </w:rPr>
        <w:t xml:space="preserve">min采样）</w:t>
      </w:r>
    </w:p>
    <w:p>
      <w:pPr>
        <w:pStyle w:val="BodyText"/>
      </w:pPr>
      <w:r>
        <w:rPr>
          <w:rFonts w:hint="eastAsia"/>
        </w:rPr>
        <w:t xml:space="preserve">对比可见，ET-PRL</w:t>
      </w:r>
      <w:r>
        <w:t xml:space="preserve"> </w:t>
      </w:r>
      <w:r>
        <w:rPr>
          <w:rFonts w:hint="eastAsia"/>
        </w:rPr>
        <w:t xml:space="preserve">的触发控制脉冲在负荷爬坡与突变阶段分布密集，而在夜间等平稳时段显著稀疏；相比之下，ST-ETC</w:t>
      </w:r>
      <w:r>
        <w:t xml:space="preserve"> </w:t>
      </w:r>
      <w:r>
        <w:rPr>
          <w:rFonts w:hint="eastAsia"/>
        </w:rPr>
        <w:t xml:space="preserve">由于采用固定判定边界，触发动作更趋密集，而</w:t>
      </w:r>
      <w:r>
        <w:t xml:space="preserve"> TTC-RL-1 </w:t>
      </w:r>
      <w:r>
        <w:rPr>
          <w:rFonts w:hint="eastAsia"/>
        </w:rPr>
        <w:t xml:space="preserve">呈现全时段无差别触发。</w:t>
      </w:r>
    </w:p>
    <w:p>
      <w:pPr>
        <w:pStyle w:val="BodyText"/>
      </w:pPr>
      <w:r>
        <w:rPr>
          <w:rFonts w:hint="eastAsia"/>
        </w:rPr>
        <w:t xml:space="preserve">在全测试集评估尺度上，将冷负荷变化量绝对值大于系统整体第</w:t>
      </w:r>
      <w:r>
        <w:t xml:space="preserve"> 85 </w:t>
      </w:r>
      <w:r>
        <w:rPr>
          <w:rFonts w:hint="eastAsia"/>
        </w:rPr>
        <w:t xml:space="preserve">百分位数</w:t>
      </w:r>
      <w:r>
        <w:t xml:space="preserve"> </w:t>
      </w:r>
      <m:oMath>
        <m:sSub>
          <m:e>
            <m:r>
              <m:t>q</m:t>
            </m:r>
          </m:e>
          <m:sub>
            <m:r>
              <m:t>85</m:t>
            </m:r>
          </m:sub>
        </m:sSub>
      </m:oMath>
      <w:r>
        <w:t xml:space="preserve"> </w:t>
      </w:r>
      <w:r>
        <w:rPr>
          <w:rFonts w:hint="eastAsia"/>
        </w:rPr>
        <w:t xml:space="preserve">的区间定义为高变化区，小于第</w:t>
      </w:r>
      <w:r>
        <w:t xml:space="preserve"> 30 </w:t>
      </w:r>
      <w:r>
        <w:rPr>
          <w:rFonts w:hint="eastAsia"/>
        </w:rPr>
        <w:t xml:space="preserve">百分位数</w:t>
      </w:r>
      <w:r>
        <w:t xml:space="preserve"> </w:t>
      </w:r>
      <m:oMath>
        <m:sSub>
          <m:e>
            <m:r>
              <m:t>q</m:t>
            </m:r>
          </m:e>
          <m:sub>
            <m:r>
              <m:t>30</m:t>
            </m:r>
          </m:sub>
        </m:sSub>
      </m:oMath>
      <w:r>
        <w:t xml:space="preserve"> </w:t>
      </w:r>
      <w:r>
        <w:rPr>
          <w:rFonts w:hint="eastAsia"/>
        </w:rPr>
        <w:t xml:space="preserve">的区间定义为低变化区，即热平衡基载段。统计表明，ET-PRL</w:t>
      </w:r>
      <w:r>
        <w:t xml:space="preserve"> </w:t>
      </w:r>
      <w:r>
        <w:rPr>
          <w:rFonts w:hint="eastAsia"/>
        </w:rPr>
        <w:t xml:space="preserve">在高变化区的触发率达</w:t>
      </w:r>
      <w:r>
        <w:t xml:space="preserve"> </w:t>
      </w:r>
      <w:r>
        <w:rPr>
          <w:rFonts w:hint="eastAsia"/>
        </w:rPr>
        <w:t xml:space="preserve">0.707，在低变化区降至</w:t>
      </w:r>
      <w:r>
        <w:t xml:space="preserve"> </w:t>
      </w:r>
      <w:r>
        <w:rPr>
          <w:rFonts w:hint="eastAsia"/>
        </w:rPr>
        <w:t xml:space="preserve">0.350，两者比值为</w:t>
      </w:r>
      <w:r>
        <w:t xml:space="preserve"> </w:t>
      </w:r>
      <w:r>
        <w:rPr>
          <w:rFonts w:hint="eastAsia"/>
        </w:rPr>
        <w:t xml:space="preserve">2.02；同期</w:t>
      </w:r>
      <w:r>
        <w:t xml:space="preserve"> ST-ETC </w:t>
      </w:r>
      <w:r>
        <w:rPr>
          <w:rFonts w:hint="eastAsia"/>
        </w:rPr>
        <w:t xml:space="preserve">的对应比值为</w:t>
      </w:r>
      <w:r>
        <w:t xml:space="preserve"> </w:t>
      </w:r>
      <w:r>
        <w:rPr>
          <w:rFonts w:hint="eastAsia"/>
        </w:rPr>
        <w:t xml:space="preserve">1.73，TTC-RL-1</w:t>
      </w:r>
      <w:r>
        <w:t xml:space="preserve"> </w:t>
      </w:r>
      <w:r>
        <w:rPr>
          <w:rFonts w:hint="eastAsia"/>
        </w:rPr>
        <w:t xml:space="preserve">则恒定为</w:t>
      </w:r>
      <w:r>
        <w:t xml:space="preserve"> </w:t>
      </w:r>
      <w:r>
        <w:rPr>
          <w:rFonts w:hint="eastAsia"/>
        </w:rPr>
        <w:t xml:space="preserve">1.00。为验证上述结论的鲁棒性，本文进一步放宽分位点阈值约束。当评价区间分别替换为第</w:t>
      </w:r>
      <w:r>
        <w:t xml:space="preserve"> 80 </w:t>
      </w:r>
      <w:r>
        <w:rPr>
          <w:rFonts w:hint="eastAsia"/>
        </w:rPr>
        <w:t xml:space="preserve">与</w:t>
      </w:r>
      <w:r>
        <w:t xml:space="preserve"> 20 </w:t>
      </w:r>
      <w:r>
        <w:rPr>
          <w:rFonts w:hint="eastAsia"/>
        </w:rPr>
        <w:t xml:space="preserve">百分位数组合、第</w:t>
      </w:r>
      <w:r>
        <w:t xml:space="preserve"> 90 </w:t>
      </w:r>
      <w:r>
        <w:rPr>
          <w:rFonts w:hint="eastAsia"/>
        </w:rPr>
        <w:t xml:space="preserve">与</w:t>
      </w:r>
      <w:r>
        <w:t xml:space="preserve"> 40 </w:t>
      </w:r>
      <w:r>
        <w:rPr>
          <w:rFonts w:hint="eastAsia"/>
        </w:rPr>
        <w:t xml:space="preserve">百分位数组合时，ET-PRL</w:t>
      </w:r>
      <w:r>
        <w:t xml:space="preserve"> </w:t>
      </w:r>
      <w:r>
        <w:rPr>
          <w:rFonts w:hint="eastAsia"/>
        </w:rPr>
        <w:t xml:space="preserve">的高低变化区触发率比值依然稳定在</w:t>
      </w:r>
      <w:r>
        <w:t xml:space="preserve"> 1.91 </w:t>
      </w:r>
      <w:r>
        <w:rPr>
          <w:rFonts w:hint="eastAsia"/>
        </w:rPr>
        <w:t xml:space="preserve">与</w:t>
      </w:r>
      <w:r>
        <w:t xml:space="preserve"> 2.02。</w:t>
      </w:r>
    </w:p>
    <w:p>
      <w:pPr>
        <w:pStyle w:val="BodyText"/>
      </w:pPr>
      <w:r>
        <w:rPr>
          <w:rFonts w:hint="eastAsia"/>
        </w:rPr>
        <w:t xml:space="preserve">从系统能效优化的内在机理看，控制动作稀疏化带来的收益不仅体现在执行机构机械磨损的物理衰减，更体现在对冷水机组频繁调节所致瞬态能效惩罚的抑制。传统固定步长高频反馈控制会促使离心式冷水机组反复进入非稳态过渡阶段，偏离最优性能系数对应的稳态运行边界；而</w:t>
      </w:r>
      <w:r>
        <w:t xml:space="preserve"> ET-PRL </w:t>
      </w:r>
      <w:r>
        <w:rPr>
          <w:rFonts w:hint="eastAsia"/>
        </w:rPr>
        <w:t xml:space="preserve">展现出的长时保持特性，为机组提供了更宽裕的连续稳态运行时间窗口。该工作模式能够规避由工况高频切换导致的额外能耗损失，实现设备损耗抑制与运行能效提升的协同优化。</w:t>
      </w:r>
    </w:p>
    <w:p>
      <w:pPr>
        <w:pStyle w:val="BodyText"/>
      </w:pPr>
      <w:r>
        <w:rPr>
          <w:rFonts w:hint="eastAsia"/>
        </w:rPr>
        <w:t xml:space="preserve">综上所述，所提</w:t>
      </w:r>
      <w:r>
        <w:t xml:space="preserve"> ET-PRL </w:t>
      </w:r>
      <w:r>
        <w:rPr>
          <w:rFonts w:hint="eastAsia"/>
        </w:rPr>
        <w:t xml:space="preserve">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pPr>
        <w:pStyle w:val="Compact"/>
        <w:numPr>
          <w:ilvl w:val="0"/>
          <w:numId w:val="1021"/>
        </w:numPr>
      </w:pPr>
      <w:r>
        <w:rPr>
          <w:rFonts w:hint="eastAsia"/>
        </w:rPr>
        <w:t xml:space="preserve">消融实验分析</w:t>
      </w:r>
    </w:p>
    <w:p>
      <w:pPr>
        <w:pStyle w:val="FirstParagraph"/>
      </w:pPr>
      <w:r>
        <w:rPr>
          <w:rFonts w:hint="eastAsia"/>
        </w:rPr>
        <w:t xml:space="preserve">为验证所提框架各组成模块的实际贡献，本节采用控制变量法开展消融实验。除特别说明外，各组实验保持一致的训练配置、测试数据集与评价协议。消融组共</w:t>
      </w:r>
      <w:r>
        <w:t xml:space="preserve"> 6 </w:t>
      </w:r>
      <w:r>
        <w:rPr>
          <w:rFonts w:hint="eastAsia"/>
        </w:rPr>
        <w:t xml:space="preserve">种策略，用于分别考察双阈值退化、单尺度退化及完整模型在统一比较基线下的表现。表</w:t>
      </w:r>
      <w:r>
        <w:t xml:space="preserve"> 5-4 </w:t>
      </w:r>
      <w:r>
        <w:rPr>
          <w:rFonts w:hint="eastAsia"/>
        </w:rPr>
        <w:t xml:space="preserve">汇总了不同策略在测试集上的结果。相关指标的计算基线均为固定步长策略</w:t>
      </w:r>
      <w:r>
        <w:t xml:space="preserve"> TTC-RL-1。</w:t>
      </w:r>
    </w:p>
    <w:p>
      <w:pPr>
        <w:pStyle w:val="BodyText"/>
      </w:pPr>
      <w:r>
        <w:rPr>
          <w:rFonts w:hint="eastAsia"/>
        </w:rPr>
        <w:t xml:space="preserve">表</w:t>
      </w:r>
      <w:r>
        <w:t xml:space="preserve"> 5-4 </w:t>
      </w:r>
      <w:r>
        <w:rPr>
          <w:rFonts w:hint="eastAsia"/>
        </w:rPr>
        <w:t xml:space="preserve">关键模块消融实验结果</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update</m:t>
                  </m:r>
                </m:sub>
              </m:sSub>
            </m:oMath>
          </w:p>
        </w:tc>
        <w:tc>
          <w:tcPr/>
          <w:p>
            <w:pPr>
              <w:pStyle w:val="Compact"/>
            </w:pPr>
            <m:oMath>
              <m:sSub>
                <m:e>
                  <m:r>
                    <m:t>N</m:t>
                  </m:r>
                </m:e>
                <m:sub>
                  <m:r>
                    <m:rPr>
                      <m:nor/>
                      <m:sty m:val="p"/>
                    </m:rPr>
                    <m:t>daily</m:t>
                  </m:r>
                </m:sub>
              </m:sSub>
            </m:oMath>
          </w:p>
        </w:tc>
        <w:tc>
          <w:tcPr/>
          <w:p>
            <w:pPr>
              <w:pStyle w:val="Compact"/>
            </w:pPr>
            <m:oMath>
              <m:sSub>
                <m:e>
                  <m:r>
                    <m:t>E</m:t>
                  </m:r>
                </m:e>
                <m:sub>
                  <m:r>
                    <m:rPr>
                      <m:nor/>
                      <m:sty m:val="p"/>
                    </m:rPr>
                    <m:t>daily</m:t>
                  </m:r>
                </m:sub>
              </m:sSub>
            </m:oMath>
            <w:r>
              <w:t xml:space="preserve"> </w:t>
            </w:r>
            <w:r>
              <w:t xml:space="preserve">(kWh/day)</w:t>
            </w:r>
          </w:p>
        </w:tc>
        <w:tc>
          <w:tcPr/>
          <w:p>
            <w:pPr>
              <w:pStyle w:val="Compact"/>
            </w:pPr>
            <w:r>
              <w:t xml:space="preserve">ACR</w:t>
            </w:r>
          </w:p>
        </w:tc>
        <w:tc>
          <w:tcPr/>
          <w:p>
            <w:pPr>
              <w:pStyle w:val="Compact"/>
            </w:pPr>
            <w:r>
              <w:t xml:space="preserve">PPR</w:t>
            </w:r>
          </w:p>
        </w:tc>
      </w:tr>
      <w:tr>
        <w:tc>
          <w:tcPr/>
          <w:p>
            <w:pPr>
              <w:pStyle w:val="Compact"/>
            </w:pPr>
            <w:r>
              <w:t xml:space="preserve">TTC-RL-1 (Reference)</w:t>
            </w:r>
          </w:p>
        </w:tc>
        <w:tc>
          <w:tcPr/>
          <w:p>
            <w:pPr>
              <w:pStyle w:val="Compact"/>
            </w:pPr>
            <w:r>
              <w:t xml:space="preserve">2054.63</w:t>
            </w:r>
          </w:p>
        </w:tc>
        <w:tc>
          <w:tcPr/>
          <w:p>
            <w:pPr>
              <w:pStyle w:val="Compact"/>
            </w:pPr>
            <w:r>
              <w:t xml:space="preserve">4404</w:t>
            </w:r>
          </w:p>
        </w:tc>
        <w:tc>
          <w:tcPr/>
          <w:p>
            <w:pPr>
              <w:pStyle w:val="Compact"/>
            </w:pPr>
            <w:r>
              <w:t xml:space="preserve">288.00</w:t>
            </w:r>
          </w:p>
        </w:tc>
        <w:tc>
          <w:tcPr/>
          <w:p>
            <w:pPr>
              <w:pStyle w:val="Compact"/>
            </w:pPr>
            <w:r>
              <w:t xml:space="preserve">7491.14</w:t>
            </w:r>
          </w:p>
        </w:tc>
        <w:tc>
          <w:tcPr/>
          <w:p>
            <w:pPr>
              <w:pStyle w:val="Compact"/>
            </w:pPr>
            <w:r>
              <w:t xml:space="preserve">1.0000</w:t>
            </w:r>
          </w:p>
        </w:tc>
        <w:tc>
          <w:tcPr/>
          <w:p>
            <w:pPr>
              <w:pStyle w:val="Compact"/>
            </w:pPr>
            <w:r>
              <w:t xml:space="preserve">100.00%</w:t>
            </w:r>
          </w:p>
        </w:tc>
      </w:tr>
      <w:tr>
        <w:tc>
          <w:tcPr/>
          <w:p>
            <w:pPr>
              <w:pStyle w:val="Compact"/>
            </w:pPr>
            <w:r>
              <w:t xml:space="preserve">Local Threshold Only</w:t>
            </w:r>
          </w:p>
        </w:tc>
        <w:tc>
          <w:tcPr/>
          <w:p>
            <w:pPr>
              <w:pStyle w:val="Compact"/>
            </w:pPr>
            <w:r>
              <w:t xml:space="preserve">1958.05</w:t>
            </w:r>
          </w:p>
        </w:tc>
        <w:tc>
          <w:tcPr/>
          <w:p>
            <w:pPr>
              <w:pStyle w:val="Compact"/>
            </w:pPr>
            <w:r>
              <w:t xml:space="preserve">2257</w:t>
            </w:r>
          </w:p>
        </w:tc>
        <w:tc>
          <w:tcPr/>
          <w:p>
            <w:pPr>
              <w:pStyle w:val="Compact"/>
            </w:pPr>
            <w:r>
              <w:t xml:space="preserve">147.60</w:t>
            </w:r>
          </w:p>
        </w:tc>
        <w:tc>
          <w:tcPr/>
          <w:p>
            <w:pPr>
              <w:pStyle w:val="Compact"/>
            </w:pPr>
            <w:r>
              <w:t xml:space="preserve">7367.57</w:t>
            </w:r>
          </w:p>
        </w:tc>
        <w:tc>
          <w:tcPr/>
          <w:p>
            <w:pPr>
              <w:pStyle w:val="Compact"/>
            </w:pPr>
            <w:r>
              <w:t xml:space="preserve">1.9513</w:t>
            </w:r>
          </w:p>
        </w:tc>
        <w:tc>
          <w:tcPr/>
          <w:p>
            <w:pPr>
              <w:pStyle w:val="Compact"/>
            </w:pPr>
            <w:r>
              <w:t xml:space="preserve">95.30%</w:t>
            </w:r>
          </w:p>
        </w:tc>
      </w:tr>
      <w:tr>
        <w:tc>
          <w:tcPr/>
          <w:p>
            <w:pPr>
              <w:pStyle w:val="Compact"/>
            </w:pPr>
            <w:r>
              <w:t xml:space="preserve">Global Threshold Only</w:t>
            </w:r>
          </w:p>
        </w:tc>
        <w:tc>
          <w:tcPr/>
          <w:p>
            <w:pPr>
              <w:pStyle w:val="Compact"/>
            </w:pPr>
            <w:r>
              <w:t xml:space="preserve">1977.54</w:t>
            </w:r>
          </w:p>
        </w:tc>
        <w:tc>
          <w:tcPr/>
          <w:p>
            <w:pPr>
              <w:pStyle w:val="Compact"/>
            </w:pPr>
            <w:r>
              <w:t xml:space="preserve">2251</w:t>
            </w:r>
          </w:p>
        </w:tc>
        <w:tc>
          <w:tcPr/>
          <w:p>
            <w:pPr>
              <w:pStyle w:val="Compact"/>
            </w:pPr>
            <w:r>
              <w:t xml:space="preserve">147.20</w:t>
            </w:r>
          </w:p>
        </w:tc>
        <w:tc>
          <w:tcPr/>
          <w:p>
            <w:pPr>
              <w:pStyle w:val="Compact"/>
            </w:pPr>
            <w:r>
              <w:t xml:space="preserve">7409.42</w:t>
            </w:r>
          </w:p>
        </w:tc>
        <w:tc>
          <w:tcPr/>
          <w:p>
            <w:pPr>
              <w:pStyle w:val="Compact"/>
            </w:pPr>
            <w:r>
              <w:t xml:space="preserve">1.9565</w:t>
            </w:r>
          </w:p>
        </w:tc>
        <w:tc>
          <w:tcPr/>
          <w:p>
            <w:pPr>
              <w:pStyle w:val="Compact"/>
            </w:pPr>
            <w:r>
              <w:t xml:space="preserve">96.25%</w:t>
            </w:r>
          </w:p>
        </w:tc>
      </w:tr>
      <w:tr>
        <w:tc>
          <w:tcPr/>
          <w:p>
            <w:pPr>
              <w:pStyle w:val="Compact"/>
            </w:pPr>
            <w:r>
              <w:t xml:space="preserve">Short-scale Only</w:t>
            </w:r>
          </w:p>
        </w:tc>
        <w:tc>
          <w:tcPr/>
          <w:p>
            <w:pPr>
              <w:pStyle w:val="Compact"/>
            </w:pPr>
            <w:r>
              <w:t xml:space="preserve">1951.74</w:t>
            </w:r>
          </w:p>
        </w:tc>
        <w:tc>
          <w:tcPr/>
          <w:p>
            <w:pPr>
              <w:pStyle w:val="Compact"/>
            </w:pPr>
            <w:r>
              <w:t xml:space="preserve">2122</w:t>
            </w:r>
          </w:p>
        </w:tc>
        <w:tc>
          <w:tcPr/>
          <w:p>
            <w:pPr>
              <w:pStyle w:val="Compact"/>
            </w:pPr>
            <w:r>
              <w:t xml:space="preserve">138.77</w:t>
            </w:r>
          </w:p>
        </w:tc>
        <w:tc>
          <w:tcPr/>
          <w:p>
            <w:pPr>
              <w:pStyle w:val="Compact"/>
            </w:pPr>
            <w:r>
              <w:t xml:space="preserve">7407.03</w:t>
            </w:r>
          </w:p>
        </w:tc>
        <w:tc>
          <w:tcPr/>
          <w:p>
            <w:pPr>
              <w:pStyle w:val="Compact"/>
            </w:pPr>
            <w:r>
              <w:t xml:space="preserve">2.0754</w:t>
            </w:r>
          </w:p>
        </w:tc>
        <w:tc>
          <w:tcPr/>
          <w:p>
            <w:pPr>
              <w:pStyle w:val="Compact"/>
            </w:pPr>
            <w:r>
              <w:t xml:space="preserve">94.99%</w:t>
            </w:r>
          </w:p>
        </w:tc>
      </w:tr>
      <w:tr>
        <w:tc>
          <w:tcPr/>
          <w:p>
            <w:pPr>
              <w:pStyle w:val="Compact"/>
            </w:pPr>
            <w:r>
              <w:t xml:space="preserve">Medium-scale Only</w:t>
            </w:r>
          </w:p>
        </w:tc>
        <w:tc>
          <w:tcPr/>
          <w:p>
            <w:pPr>
              <w:pStyle w:val="Compact"/>
            </w:pPr>
            <w:r>
              <w:t xml:space="preserve">2041.96</w:t>
            </w:r>
          </w:p>
        </w:tc>
        <w:tc>
          <w:tcPr/>
          <w:p>
            <w:pPr>
              <w:pStyle w:val="Compact"/>
            </w:pPr>
            <w:r>
              <w:t xml:space="preserve">3891</w:t>
            </w:r>
          </w:p>
        </w:tc>
        <w:tc>
          <w:tcPr/>
          <w:p>
            <w:pPr>
              <w:pStyle w:val="Compact"/>
            </w:pPr>
            <w:r>
              <w:t xml:space="preserve">254.45</w:t>
            </w:r>
          </w:p>
        </w:tc>
        <w:tc>
          <w:tcPr/>
          <w:p>
            <w:pPr>
              <w:pStyle w:val="Compact"/>
            </w:pPr>
            <w:r>
              <w:t xml:space="preserve">7484.70</w:t>
            </w:r>
          </w:p>
        </w:tc>
        <w:tc>
          <w:tcPr/>
          <w:p>
            <w:pPr>
              <w:pStyle w:val="Compact"/>
            </w:pPr>
            <w:r>
              <w:t xml:space="preserve">1.1318</w:t>
            </w:r>
          </w:p>
        </w:tc>
        <w:tc>
          <w:tcPr/>
          <w:p>
            <w:pPr>
              <w:pStyle w:val="Compact"/>
            </w:pPr>
            <w:r>
              <w:t xml:space="preserve">99.38%</w:t>
            </w:r>
          </w:p>
        </w:tc>
      </w:tr>
      <w:tr>
        <w:tc>
          <w:tcPr/>
          <w:p>
            <w:pPr>
              <w:pStyle w:val="Compact"/>
            </w:pPr>
            <w:r>
              <w:t xml:space="preserve">Long-scale Only</w:t>
            </w:r>
          </w:p>
        </w:tc>
        <w:tc>
          <w:tcPr/>
          <w:p>
            <w:pPr>
              <w:pStyle w:val="Compact"/>
            </w:pPr>
            <w:r>
              <w:t xml:space="preserve">2032.01</w:t>
            </w:r>
          </w:p>
        </w:tc>
        <w:tc>
          <w:tcPr/>
          <w:p>
            <w:pPr>
              <w:pStyle w:val="Compact"/>
            </w:pPr>
            <w:r>
              <w:t xml:space="preserve">4334</w:t>
            </w:r>
          </w:p>
        </w:tc>
        <w:tc>
          <w:tcPr/>
          <w:p>
            <w:pPr>
              <w:pStyle w:val="Compact"/>
            </w:pPr>
            <w:r>
              <w:t xml:space="preserve">283.42</w:t>
            </w:r>
          </w:p>
        </w:tc>
        <w:tc>
          <w:tcPr/>
          <w:p>
            <w:pPr>
              <w:pStyle w:val="Compact"/>
            </w:pPr>
            <w:r>
              <w:t xml:space="preserve">7431.26</w:t>
            </w:r>
          </w:p>
        </w:tc>
        <w:tc>
          <w:tcPr/>
          <w:p>
            <w:pPr>
              <w:pStyle w:val="Compact"/>
            </w:pPr>
            <w:r>
              <w:t xml:space="preserve">1.0162</w:t>
            </w:r>
          </w:p>
        </w:tc>
        <w:tc>
          <w:tcPr/>
          <w:p>
            <w:pPr>
              <w:pStyle w:val="Compact"/>
            </w:pPr>
            <w:r>
              <w:t xml:space="preserve">98.90%</w:t>
            </w:r>
          </w:p>
        </w:tc>
      </w:tr>
      <w:tr>
        <w:tc>
          <w:tcPr/>
          <w:p>
            <w:pPr>
              <w:pStyle w:val="Compact"/>
            </w:pPr>
            <w:r>
              <w:rPr>
                <w:b/>
                <w:bCs/>
              </w:rPr>
              <w:t xml:space="preserve">Full ET-PRL (Ours)</w:t>
            </w:r>
          </w:p>
        </w:tc>
        <w:tc>
          <w:tcPr/>
          <w:p>
            <w:pPr>
              <w:pStyle w:val="Compact"/>
            </w:pPr>
            <w:r>
              <w:rPr>
                <w:b/>
                <w:bCs/>
              </w:rPr>
              <w:t xml:space="preserve">1939.74</w:t>
            </w:r>
          </w:p>
        </w:tc>
        <w:tc>
          <w:tcPr/>
          <w:p>
            <w:pPr>
              <w:pStyle w:val="Compact"/>
            </w:pPr>
            <w:r>
              <w:rPr>
                <w:b/>
                <w:bCs/>
              </w:rPr>
              <w:t xml:space="preserve">2046</w:t>
            </w:r>
          </w:p>
        </w:tc>
        <w:tc>
          <w:tcPr/>
          <w:p>
            <w:pPr>
              <w:pStyle w:val="Compact"/>
            </w:pPr>
            <w:r>
              <w:rPr>
                <w:b/>
                <w:bCs/>
              </w:rPr>
              <w:t xml:space="preserve">133.80</w:t>
            </w:r>
          </w:p>
        </w:tc>
        <w:tc>
          <w:tcPr/>
          <w:p>
            <w:pPr>
              <w:pStyle w:val="Compact"/>
            </w:pPr>
            <w:r>
              <w:rPr>
                <w:b/>
                <w:bCs/>
              </w:rPr>
              <w:t xml:space="preserve">7331.85</w:t>
            </w:r>
          </w:p>
        </w:tc>
        <w:tc>
          <w:tcPr/>
          <w:p>
            <w:pPr>
              <w:pStyle w:val="Compact"/>
            </w:pPr>
            <w:r>
              <w:rPr>
                <w:b/>
                <w:bCs/>
              </w:rPr>
              <w:t xml:space="preserve">2.1525</w:t>
            </w:r>
          </w:p>
        </w:tc>
        <w:tc>
          <w:tcPr/>
          <w:p>
            <w:pPr>
              <w:pStyle w:val="Compact"/>
            </w:pPr>
            <w:r>
              <w:rPr>
                <w:b/>
                <w:bCs/>
              </w:rPr>
              <w:t xml:space="preserve">94.41%</w:t>
            </w:r>
          </w:p>
        </w:tc>
      </w:tr>
    </w:tbl>
    <w:p>
      <w:pPr>
        <w:pStyle w:val="CaptionedFigure"/>
      </w:pPr>
      <w:r>
        <w:drawing>
          <wp:inline>
            <wp:extent cx="5334000" cy="3823771"/>
            <wp:effectExtent b="0" l="0" r="0" t="0"/>
            <wp:docPr descr="图 5-2-5 消融策略多目标权衡散点图" title="" id="43" name="Picture"/>
            <a:graphic>
              <a:graphicData uri="http://schemas.openxmlformats.org/drawingml/2006/picture">
                <pic:pic>
                  <pic:nvPicPr>
                    <pic:cNvPr descr="../pics/fig_5_2_5_ablation_pareto_scatter.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3823771"/>
                    </a:xfrm>
                    <a:prstGeom prst="rect">
                      <a:avLst/>
                    </a:prstGeom>
                    <a:noFill/>
                    <a:ln w="9525">
                      <a:noFill/>
                      <a:headEnd/>
                      <a:tailEnd/>
                    </a:ln>
                  </pic:spPr>
                </pic:pic>
              </a:graphicData>
            </a:graphic>
          </wp:inline>
        </w:drawing>
      </w:r>
    </w:p>
    <w:p>
      <w:pPr>
        <w:pStyle w:val="ImageCaption"/>
      </w:pPr>
      <w:r>
        <w:rPr>
          <w:rFonts w:hint="eastAsia"/>
        </w:rPr>
        <w:t xml:space="preserve">图</w:t>
      </w:r>
      <w:r>
        <w:t xml:space="preserve"> 5-2-5 </w:t>
      </w:r>
      <w:r>
        <w:rPr>
          <w:rFonts w:hint="eastAsia"/>
        </w:rPr>
        <w:t xml:space="preserve">消融策略多目标权衡散点图</w:t>
      </w:r>
    </w:p>
    <w:p>
      <w:pPr>
        <w:pStyle w:val="BodyText"/>
      </w:pPr>
      <w:r>
        <w:rPr>
          <w:rFonts w:hint="eastAsia"/>
        </w:rPr>
        <w:t xml:space="preserve">图</w:t>
      </w:r>
      <w:r>
        <w:t xml:space="preserve"> 5-2-5 </w:t>
      </w:r>
      <w:r>
        <w:rPr>
          <w:rFonts w:hint="eastAsia"/>
        </w:rPr>
        <w:t xml:space="preserve">消融策略能耗-性能-稀疏性三目标权衡散点图（横轴为日均能耗，纵轴为</w:t>
      </w:r>
      <w:r>
        <w:t xml:space="preserve"> </w:t>
      </w:r>
      <w:r>
        <w:rPr>
          <w:rFonts w:hint="eastAsia"/>
        </w:rPr>
        <w:t xml:space="preserve">PPR；颜色表示</w:t>
      </w:r>
      <w:r>
        <w:t xml:space="preserve"> </w:t>
      </w:r>
      <w:r>
        <w:rPr>
          <w:rFonts w:hint="eastAsia"/>
        </w:rPr>
        <w:t xml:space="preserve">ACR；文本标签标注各消融策略）</w:t>
      </w:r>
    </w:p>
    <w:p>
      <w:pPr>
        <w:pStyle w:val="BodyText"/>
      </w:pPr>
      <w:r>
        <w:rPr>
          <w:rFonts w:hint="eastAsia"/>
        </w:rPr>
        <w:t xml:space="preserve">由图</w:t>
      </w:r>
      <w:r>
        <w:t xml:space="preserve"> 5-2-5 </w:t>
      </w:r>
      <w:r>
        <w:rPr>
          <w:rFonts w:hint="eastAsia"/>
        </w:rPr>
        <w:t xml:space="preserve">可见，在以</w:t>
      </w:r>
      <w:r>
        <w:t xml:space="preserve"> </w:t>
      </w:r>
      <m:oMath>
        <m:sSub>
          <m:e>
            <m:r>
              <m:t>E</m:t>
            </m:r>
          </m:e>
          <m:sub>
            <m:r>
              <m:rPr>
                <m:nor/>
                <m:sty m:val="p"/>
              </m:rPr>
              <m:t>daily</m:t>
            </m:r>
          </m:sub>
        </m:sSub>
      </m:oMath>
      <w:r>
        <w:t xml:space="preserve"> </w:t>
      </w:r>
      <w:r>
        <w:rPr>
          <w:rFonts w:hint="eastAsia"/>
        </w:rPr>
        <w:t xml:space="preserve">最小化、PPR</w:t>
      </w:r>
      <w:r>
        <w:t xml:space="preserve"> </w:t>
      </w:r>
      <w:r>
        <w:rPr>
          <w:rFonts w:hint="eastAsia"/>
        </w:rPr>
        <w:t xml:space="preserve">与</w:t>
      </w:r>
      <w:r>
        <w:t xml:space="preserve"> ACR </w:t>
      </w:r>
      <w:r>
        <w:rPr>
          <w:rFonts w:hint="eastAsia"/>
        </w:rPr>
        <w:t xml:space="preserve">最大化为目标的三目标权衡中，Full</w:t>
      </w:r>
      <w:r>
        <w:t xml:space="preserve"> ET-PRL </w:t>
      </w:r>
      <w:r>
        <w:rPr>
          <w:rFonts w:hint="eastAsia"/>
        </w:rPr>
        <w:t xml:space="preserve">位于低能耗-高稀疏性区域，并在</w:t>
      </w:r>
      <w:r>
        <w:t xml:space="preserve"> PPR </w:t>
      </w:r>
      <w:r>
        <w:rPr>
          <w:rFonts w:hint="eastAsia"/>
        </w:rPr>
        <w:t xml:space="preserve">保持</w:t>
      </w:r>
      <w:r>
        <w:t xml:space="preserve"> 94.41% </w:t>
      </w:r>
      <w:r>
        <w:rPr>
          <w:rFonts w:hint="eastAsia"/>
        </w:rPr>
        <w:t xml:space="preserve">的前提下取得消融组最低</w:t>
      </w:r>
      <w:r>
        <w:t xml:space="preserve"> </w:t>
      </w:r>
      <m:oMath>
        <m:sSub>
          <m:e>
            <m:r>
              <m:t>E</m:t>
            </m:r>
          </m:e>
          <m:sub>
            <m:r>
              <m:rPr>
                <m:nor/>
                <m:sty m:val="p"/>
              </m:rPr>
              <m:t>daily</m:t>
            </m:r>
          </m:sub>
        </m:sSub>
      </m:oMath>
      <w:r>
        <w:t xml:space="preserve"> </w:t>
      </w:r>
      <w:r>
        <w:rPr>
          <w:rFonts w:hint="eastAsia"/>
        </w:rPr>
        <w:t xml:space="preserve">与最高</w:t>
      </w:r>
      <w:r>
        <w:t xml:space="preserve"> </w:t>
      </w:r>
      <w:r>
        <w:rPr>
          <w:rFonts w:hint="eastAsia"/>
        </w:rPr>
        <w:t xml:space="preserve">ACR，因此在当前样本集上表现为更接近理想综合折衷解的候选点。</w:t>
      </w:r>
    </w:p>
    <w:p>
      <w:pPr>
        <w:pStyle w:val="BodyText"/>
      </w:pPr>
      <w:r>
        <w:rPr>
          <w:rFonts w:hint="eastAsia"/>
        </w:rPr>
        <w:t xml:space="preserve">在时序尺度消融方面，Short-scale</w:t>
      </w:r>
      <w:r>
        <w:t xml:space="preserve"> Only </w:t>
      </w:r>
      <w:r>
        <w:rPr>
          <w:rFonts w:hint="eastAsia"/>
        </w:rPr>
        <w:t xml:space="preserve">相比</w:t>
      </w:r>
      <w:r>
        <w:t xml:space="preserve"> Full ET-PRL </w:t>
      </w:r>
      <w:r>
        <w:rPr>
          <w:rFonts w:hint="eastAsia"/>
        </w:rPr>
        <w:t xml:space="preserve">的</w:t>
      </w:r>
      <w:r>
        <w:t xml:space="preserve"> PPR </w:t>
      </w:r>
      <w:r>
        <w:rPr>
          <w:rFonts w:hint="eastAsia"/>
        </w:rPr>
        <w:t xml:space="preserve">略高（94.99%</w:t>
      </w:r>
      <w:r>
        <w:t xml:space="preserve"> vs </w:t>
      </w:r>
      <w:r>
        <w:rPr>
          <w:rFonts w:hint="eastAsia"/>
        </w:rPr>
        <w:t xml:space="preserve">94.41%），但其</w:t>
      </w:r>
      <w:r>
        <w:t xml:space="preserve"> ACR </w:t>
      </w:r>
      <w:r>
        <w:rPr>
          <w:rFonts w:hint="eastAsia"/>
        </w:rPr>
        <w:t xml:space="preserve">下降</w:t>
      </w:r>
      <w:r>
        <w:t xml:space="preserve"> </w:t>
      </w:r>
      <w:r>
        <w:rPr>
          <w:rFonts w:hint="eastAsia"/>
        </w:rPr>
        <w:t xml:space="preserve">3.58%（2.0754</w:t>
      </w:r>
      <w:r>
        <w:t xml:space="preserve"> vs </w:t>
      </w:r>
      <w:r>
        <w:rPr>
          <w:rFonts w:hint="eastAsia"/>
        </w:rPr>
        <w:t xml:space="preserve">2.1525），且日均能耗增加</w:t>
      </w:r>
      <w:r>
        <w:t xml:space="preserve"> 75.18 </w:t>
      </w:r>
      <w:r>
        <w:rPr>
          <w:rFonts w:hint="eastAsia"/>
        </w:rPr>
        <w:t xml:space="preserve">kWh/day（7407.03</w:t>
      </w:r>
      <w:r>
        <w:t xml:space="preserve"> vs </w:t>
      </w:r>
      <w:r>
        <w:rPr>
          <w:rFonts w:hint="eastAsia"/>
        </w:rPr>
        <w:t xml:space="preserve">7331.85）。在本研究设定的舒适约束下，两者</w:t>
      </w:r>
      <w:r>
        <w:t xml:space="preserve"> PPR </w:t>
      </w:r>
      <w:r>
        <w:rPr>
          <w:rFonts w:hint="eastAsia"/>
        </w:rPr>
        <w:t xml:space="preserve">均处于</w:t>
      </w:r>
      <w:r>
        <w:t xml:space="preserve"> 94% </w:t>
      </w:r>
      <w:r>
        <w:rPr>
          <w:rFonts w:hint="eastAsia"/>
        </w:rPr>
        <w:t xml:space="preserve">以上区间，0.58</w:t>
      </w:r>
      <w:r>
        <w:t xml:space="preserve"> </w:t>
      </w:r>
      <w:r>
        <w:rPr>
          <w:rFonts w:hint="eastAsia"/>
        </w:rPr>
        <w:t xml:space="preserve">个百分点的差异属于有限边际变化；与之对应，动作压缩能力下降与能耗增加会直接转化为执行层负担与运行成本上升。进一步地，Medium-scale</w:t>
      </w:r>
      <w:r>
        <w:t xml:space="preserve"> Only </w:t>
      </w:r>
      <w:r>
        <w:rPr>
          <w:rFonts w:hint="eastAsia"/>
        </w:rPr>
        <w:t xml:space="preserve">与</w:t>
      </w:r>
      <w:r>
        <w:t xml:space="preserve"> Long-scale Only </w:t>
      </w:r>
      <w:r>
        <w:rPr>
          <w:rFonts w:hint="eastAsia"/>
        </w:rPr>
        <w:t xml:space="preserve">虽保持较高</w:t>
      </w:r>
      <w:r>
        <w:t xml:space="preserve"> </w:t>
      </w:r>
      <w:r>
        <w:rPr>
          <w:rFonts w:hint="eastAsia"/>
        </w:rPr>
        <w:t xml:space="preserve">PPR（99.38%</w:t>
      </w:r>
      <w:r>
        <w:t xml:space="preserve"> </w:t>
      </w:r>
      <w:r>
        <w:rPr>
          <w:rFonts w:hint="eastAsia"/>
        </w:rPr>
        <w:t xml:space="preserve">和</w:t>
      </w:r>
      <w:r>
        <w:t xml:space="preserve"> </w:t>
      </w:r>
      <w:r>
        <w:rPr>
          <w:rFonts w:hint="eastAsia"/>
        </w:rPr>
        <w:t xml:space="preserve">98.90%），但触发稀疏性显著退化（</w:t>
      </w:r>
      <m:oMath>
        <m:sSub>
          <m:e>
            <m:r>
              <m:t>N</m:t>
            </m:r>
          </m:e>
          <m:sub>
            <m:r>
              <m:rPr>
                <m:nor/>
                <m:sty m:val="p"/>
              </m:rPr>
              <m:t>daily</m:t>
            </m:r>
          </m:sub>
        </m:sSub>
      </m:oMath>
      <w:r>
        <w:t xml:space="preserve"> </w:t>
      </w:r>
      <w:r>
        <w:rPr>
          <w:rFonts w:hint="eastAsia"/>
        </w:rPr>
        <w:t xml:space="preserve">分别为</w:t>
      </w:r>
      <w:r>
        <w:t xml:space="preserve"> 254.45 </w:t>
      </w:r>
      <w:r>
        <w:rPr>
          <w:rFonts w:hint="eastAsia"/>
        </w:rPr>
        <w:t xml:space="preserve">和</w:t>
      </w:r>
      <w:r>
        <w:t xml:space="preserve"> </w:t>
      </w:r>
      <w:r>
        <w:rPr>
          <w:rFonts w:hint="eastAsia"/>
        </w:rPr>
        <w:t xml:space="preserve">283.42），且能耗改善不明显（7484.70</w:t>
      </w:r>
      <w:r>
        <w:t xml:space="preserve"> </w:t>
      </w:r>
      <w:r>
        <w:rPr>
          <w:rFonts w:hint="eastAsia"/>
        </w:rPr>
        <w:t xml:space="preserve">和</w:t>
      </w:r>
      <w:r>
        <w:t xml:space="preserve"> 7431.26 </w:t>
      </w:r>
      <w:r>
        <w:rPr>
          <w:rFonts w:hint="eastAsia"/>
        </w:rPr>
        <w:t xml:space="preserve">kWh/day）。该组结果表明，单一尺度统计难以同时兼顾短时扰动响应与长期漂移纠偏。</w:t>
      </w:r>
    </w:p>
    <w:p>
      <w:pPr>
        <w:pStyle w:val="BodyText"/>
      </w:pPr>
      <w:r>
        <w:rPr>
          <w:rFonts w:hint="eastAsia"/>
        </w:rPr>
        <w:t xml:space="preserve">本研究采用紧凑的</w:t>
      </w:r>
      <w:r>
        <w:t xml:space="preserve"> 3 </w:t>
      </w:r>
      <w:r>
        <w:rPr>
          <w:rFonts w:hint="eastAsia"/>
        </w:rPr>
        <w:t xml:space="preserve">维状态空间</w:t>
      </w:r>
      <w:r>
        <w:t xml:space="preserve"> </w:t>
      </w:r>
      <m:oMath>
        <m:d>
          <m:dPr>
            <m:begChr m:val="("/>
            <m:sepChr m:val=""/>
            <m:endChr m:val=")"/>
            <m:grow/>
          </m:dPr>
          <m:e>
            <m:sSubSup>
              <m:e>
                <m:r>
                  <m:t>Q</m:t>
                </m:r>
              </m:e>
              <m:sub>
                <m:r>
                  <m:rPr>
                    <m:sty m:val="p"/>
                  </m:rPr>
                  <m:t>l</m:t>
                </m:r>
                <m:r>
                  <m:rPr>
                    <m:sty m:val="p"/>
                  </m:rPr>
                  <m:t>o</m:t>
                </m:r>
                <m:r>
                  <m:rPr>
                    <m:sty m:val="p"/>
                  </m:rPr>
                  <m:t>a</m:t>
                </m:r>
                <m:r>
                  <m:rPr>
                    <m:sty m:val="p"/>
                  </m:rP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e>
        </m:d>
      </m:oMath>
      <w:r>
        <w:rPr>
          <w:rFonts w:hint="eastAsia"/>
        </w:rPr>
        <w:t xml:space="preserve">，未引入高维历史序列堆叠。该设计降低了在线推理开销，但也意味着长期历史信息需由门控机制补偿。若仅依赖短尺度统计，门控分数易对慢漂移产生同化，削弱对长期能效退化的识别能力。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 xml:space="preserve">附近），并使机组持续运行于偏离最优</w:t>
      </w:r>
      <w:r>
        <w:t xml:space="preserve"> COP </w:t>
      </w:r>
      <w:r>
        <w:rPr>
          <w:rFonts w:hint="eastAsia"/>
        </w:rPr>
        <w:t xml:space="preserve">的工况，最终表现为日均能耗上升。Full</w:t>
      </w:r>
      <w:r>
        <w:t xml:space="preserve"> ET-PRL </w:t>
      </w:r>
      <w:r>
        <w:rPr>
          <w:rFonts w:hint="eastAsia"/>
        </w:rPr>
        <w:t xml:space="preserve">通过引入中长尺度分数，为紧凑状态智能体提供隐式历史信息补偿，能够将慢性设备衰退与季节漂移重新识别为需干预事件，从而在季节尺度上维持全局能效下界。</w:t>
      </w:r>
    </w:p>
    <w:p>
      <w:pPr>
        <w:pStyle w:val="BodyText"/>
      </w:pPr>
      <w:r>
        <w:rPr>
          <w:rFonts w:hint="eastAsia"/>
        </w:rPr>
        <w:t xml:space="preserve">在双阈值机制消融方面，Local</w:t>
      </w:r>
      <w:r>
        <w:t xml:space="preserve"> Threshold Only </w:t>
      </w:r>
      <w:r>
        <w:rPr>
          <w:rFonts w:hint="eastAsia"/>
        </w:rPr>
        <w:t xml:space="preserve">与</w:t>
      </w:r>
      <w:r>
        <w:t xml:space="preserve"> Global Threshold Only </w:t>
      </w:r>
      <w:r>
        <w:rPr>
          <w:rFonts w:hint="eastAsia"/>
        </w:rPr>
        <w:t xml:space="preserve">的</w:t>
      </w:r>
      <w:r>
        <w:t xml:space="preserve"> ACR </w:t>
      </w:r>
      <w:r>
        <w:rPr>
          <w:rFonts w:hint="eastAsia"/>
        </w:rPr>
        <w:t xml:space="preserve">分别为</w:t>
      </w:r>
      <w:r>
        <w:t xml:space="preserve"> 1.9513 </w:t>
      </w:r>
      <w:r>
        <w:rPr>
          <w:rFonts w:hint="eastAsia"/>
        </w:rPr>
        <w:t xml:space="preserve">和</w:t>
      </w:r>
      <w:r>
        <w:t xml:space="preserve"> </w:t>
      </w:r>
      <w:r>
        <w:rPr>
          <w:rFonts w:hint="eastAsia"/>
        </w:rPr>
        <w:t xml:space="preserve">1.9565，均低于</w:t>
      </w:r>
      <w:r>
        <w:t xml:space="preserve"> Full ET-PRL </w:t>
      </w:r>
      <w:r>
        <w:rPr>
          <w:rFonts w:hint="eastAsia"/>
        </w:rPr>
        <w:t xml:space="preserve">的</w:t>
      </w:r>
      <w:r>
        <w:t xml:space="preserve"> </w:t>
      </w:r>
      <w:r>
        <w:rPr>
          <w:rFonts w:hint="eastAsia"/>
        </w:rPr>
        <w:t xml:space="preserve">2.1525；其日均能耗分别为</w:t>
      </w:r>
      <w:r>
        <w:t xml:space="preserve"> 7367.57 </w:t>
      </w:r>
      <w:r>
        <w:rPr>
          <w:rFonts w:hint="eastAsia"/>
        </w:rPr>
        <w:t xml:space="preserve">和</w:t>
      </w:r>
      <w:r>
        <w:t xml:space="preserve"> 7409.42 </w:t>
      </w:r>
      <w:r>
        <w:rPr>
          <w:rFonts w:hint="eastAsia"/>
        </w:rPr>
        <w:t xml:space="preserve">kWh/day，也均高于</w:t>
      </w:r>
      <w:r>
        <w:t xml:space="preserve"> Full </w:t>
      </w:r>
      <w:r>
        <w:rPr>
          <w:rFonts w:hint="eastAsia"/>
        </w:rPr>
        <w:t xml:space="preserve">ET-PRL。机理上，Local</w:t>
      </w:r>
      <w:r>
        <w:t xml:space="preserve"> Threshold Only </w:t>
      </w:r>
      <w:r>
        <w:rPr>
          <w:rFonts w:hint="eastAsia"/>
        </w:rPr>
        <w:t xml:space="preserve">易出现短视跟随，即对短时扰动过敏而缺乏慢变量基线约束；Global</w:t>
      </w:r>
      <w:r>
        <w:t xml:space="preserve"> Threshold Only </w:t>
      </w:r>
      <w:r>
        <w:rPr>
          <w:rFonts w:hint="eastAsia"/>
        </w:rPr>
        <w:t xml:space="preserve">易出现响应滞后，即对分钟级外扰吸收不足并在后续需要更大幅度补偿控制。两类退化分别对应快速响应能力与长期稳态约束的单侧缺失。两者协同后，ET-PRL</w:t>
      </w:r>
      <w:r>
        <w:t xml:space="preserve"> </w:t>
      </w:r>
      <w:r>
        <w:rPr>
          <w:rFonts w:hint="eastAsia"/>
        </w:rPr>
        <w:t xml:space="preserve">才能在能耗、性能保持率与动作稀疏性之间实现稳定且可复现的综合优势。</w:t>
      </w:r>
    </w:p>
    <w:p>
      <w:pPr>
        <w:pStyle w:val="Compact"/>
        <w:numPr>
          <w:ilvl w:val="0"/>
          <w:numId w:val="1022"/>
        </w:numPr>
      </w:pPr>
      <w:r>
        <w:rPr>
          <w:rFonts w:hint="eastAsia"/>
        </w:rPr>
        <w:t xml:space="preserve">参数敏感性分析</w:t>
      </w:r>
    </w:p>
    <w:p>
      <w:pPr>
        <w:pStyle w:val="FirstParagraph"/>
      </w:pPr>
      <w:r>
        <w:rPr>
          <w:rFonts w:hint="eastAsia"/>
        </w:rPr>
        <w:t xml:space="preserve">为评估</w:t>
      </w:r>
      <w:r>
        <w:t xml:space="preserve"> ET-PRL </w:t>
      </w:r>
      <w:r>
        <w:rPr>
          <w:rFonts w:hint="eastAsia"/>
        </w:rPr>
        <w:t xml:space="preserve">门控机制对超参数扰动的稳健性，本文对在线异常门控关键参数开展敏感性分析。结合第</w:t>
      </w:r>
      <w:r>
        <w:t xml:space="preserve"> 3.2 </w:t>
      </w:r>
      <w:r>
        <w:rPr>
          <w:rFonts w:hint="eastAsia"/>
        </w:rPr>
        <w:t xml:space="preserve">节与第</w:t>
      </w:r>
      <w:r>
        <w:t xml:space="preserve"> 3.3 </w:t>
      </w:r>
      <w:r>
        <w:rPr>
          <w:rFonts w:hint="eastAsia"/>
        </w:rPr>
        <w:t xml:space="preserve">节的机制定义，相关参数可归纳为两类。其一为阈值判定参数，包括阈值偏置项、分位数阈值、MAD（Median</w:t>
      </w:r>
      <w:r>
        <w:t xml:space="preserve"> Absolute </w:t>
      </w:r>
      <w:r>
        <w:rPr>
          <w:rFonts w:hint="eastAsia"/>
        </w:rPr>
        <w:t xml:space="preserve">Deviation）尺度系数、阈值局部更新率与触发滞回边际，主要影响触发边界的位置与判定严格程度。其二为统计结构参数，包括局部窗口长度、全局指数滑动平均衰减率（EMA</w:t>
      </w:r>
      <w:r>
        <w:t xml:space="preserve"> </w:t>
      </w:r>
      <w:r>
        <w:rPr>
          <w:rFonts w:hint="eastAsia"/>
        </w:rPr>
        <w:t xml:space="preserve">decay）、参考样本规模与阈值优化最小样本数，主要影响门控对分布漂移的响应尺度与更新稳定性。</w:t>
      </w:r>
    </w:p>
    <w:p>
      <w:pPr>
        <w:pStyle w:val="BodyText"/>
      </w:pPr>
      <w:r>
        <w:rPr>
          <w:rFonts w:hint="eastAsia"/>
        </w:rPr>
        <w:t xml:space="preserve">优化结果显示，阈值判定参数对触发稀疏性与性能保持能力具有显著影响。较优参数组合对应阈值偏置项</w:t>
      </w:r>
      <w:r>
        <w:t xml:space="preserve"> </w:t>
      </w:r>
      <w:r>
        <w:rPr>
          <w:rFonts w:hint="eastAsia"/>
        </w:rPr>
        <w:t xml:space="preserve">-0.0431、分位数阈值</w:t>
      </w:r>
      <w:r>
        <w:t xml:space="preserve"> 0.6675、MAD </w:t>
      </w:r>
      <w:r>
        <w:rPr>
          <w:rFonts w:hint="eastAsia"/>
        </w:rPr>
        <w:t xml:space="preserve">尺度系数</w:t>
      </w:r>
      <w:r>
        <w:t xml:space="preserve"> </w:t>
      </w:r>
      <w:r>
        <w:rPr>
          <w:rFonts w:hint="eastAsia"/>
        </w:rPr>
        <w:t xml:space="preserve">1.1353、阈值局部更新率</w:t>
      </w:r>
      <w:r>
        <w:t xml:space="preserve"> </w:t>
      </w:r>
      <w:r>
        <w:rPr>
          <w:rFonts w:hint="eastAsia"/>
        </w:rPr>
        <w:t xml:space="preserve">0.5957、触发滞回边际</w:t>
      </w:r>
      <w:r>
        <w:t xml:space="preserve"> </w:t>
      </w:r>
      <w:r>
        <w:rPr>
          <w:rFonts w:hint="eastAsia"/>
        </w:rPr>
        <w:t xml:space="preserve">0.0218。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pPr>
        <w:pStyle w:val="BodyText"/>
      </w:pPr>
      <w:r>
        <w:rPr>
          <w:rFonts w:hint="eastAsia"/>
        </w:rPr>
        <w:t xml:space="preserve">从近最优解分布看，在目标函数值较最优值放宽</w:t>
      </w:r>
      <w:r>
        <w:t xml:space="preserve"> 10% </w:t>
      </w:r>
      <w:r>
        <w:rPr>
          <w:rFonts w:hint="eastAsia"/>
        </w:rPr>
        <w:t xml:space="preserve">的可行区域内，阈值偏置项稳定落在</w:t>
      </w:r>
      <w:r>
        <w:t xml:space="preserve"> -0.0431 </w:t>
      </w:r>
      <w:r>
        <w:rPr>
          <w:rFonts w:hint="eastAsia"/>
        </w:rPr>
        <w:t xml:space="preserve">至</w:t>
      </w:r>
      <w:r>
        <w:t xml:space="preserve"> </w:t>
      </w:r>
      <w:r>
        <w:rPr>
          <w:rFonts w:hint="eastAsia"/>
        </w:rPr>
        <w:t xml:space="preserve">-0.0329，分位数阈值稳定落在</w:t>
      </w:r>
      <w:r>
        <w:t xml:space="preserve"> 0.6338 </w:t>
      </w:r>
      <w:r>
        <w:rPr>
          <w:rFonts w:hint="eastAsia"/>
        </w:rPr>
        <w:t xml:space="preserve">至</w:t>
      </w:r>
      <w:r>
        <w:t xml:space="preserve"> </w:t>
      </w:r>
      <w:r>
        <w:rPr>
          <w:rFonts w:hint="eastAsia"/>
        </w:rPr>
        <w:t xml:space="preserve">0.6675，污染率参数稳定落在</w:t>
      </w:r>
      <w:r>
        <w:t xml:space="preserve"> 0.2571 </w:t>
      </w:r>
      <w:r>
        <w:rPr>
          <w:rFonts w:hint="eastAsia"/>
        </w:rPr>
        <w:t xml:space="preserve">至</w:t>
      </w:r>
      <w:r>
        <w:t xml:space="preserve"> </w:t>
      </w:r>
      <w:r>
        <w:rPr>
          <w:rFonts w:hint="eastAsia"/>
        </w:rPr>
        <w:t xml:space="preserve">0.3104。该结果进一步说明，阈值判定参数并非单点可行，而是在有限区间内存在可复现的稳定解域。</w:t>
      </w:r>
    </w:p>
    <w:p>
      <w:pPr>
        <w:pStyle w:val="BodyText"/>
      </w:pPr>
      <w:r>
        <w:rPr>
          <w:rFonts w:hint="eastAsia"/>
        </w:rPr>
        <w:t xml:space="preserve">优化结果同时表明，统计结构参数主要决定门控对短期扰动与长期漂移的折衷方式。较优参数组合为局部权重</w:t>
      </w:r>
      <w:r>
        <w:t xml:space="preserve"> </w:t>
      </w:r>
      <w:r>
        <w:rPr>
          <w:rFonts w:hint="eastAsia"/>
        </w:rPr>
        <w:t xml:space="preserve">0.9486、全局</w:t>
      </w:r>
      <w:r>
        <w:t xml:space="preserve"> EMA </w:t>
      </w:r>
      <w:r>
        <w:rPr>
          <w:rFonts w:hint="eastAsia"/>
        </w:rPr>
        <w:t xml:space="preserve">衰减率</w:t>
      </w:r>
      <w:r>
        <w:t xml:space="preserve"> </w:t>
      </w:r>
      <w:r>
        <w:rPr>
          <w:rFonts w:hint="eastAsia"/>
        </w:rPr>
        <w:t xml:space="preserve">0.0819、局部窗口长度</w:t>
      </w:r>
      <w:r>
        <w:t xml:space="preserve"> </w:t>
      </w:r>
      <w:r>
        <w:rPr>
          <w:rFonts w:hint="eastAsia"/>
        </w:rPr>
        <w:t xml:space="preserve">227、参考样本规模</w:t>
      </w:r>
      <w:r>
        <w:t xml:space="preserve"> </w:t>
      </w:r>
      <w:r>
        <w:rPr>
          <w:rFonts w:hint="eastAsia"/>
        </w:rPr>
        <w:t xml:space="preserve">910、阈值优化最小样本数</w:t>
      </w:r>
      <w:r>
        <w:t xml:space="preserve"> </w:t>
      </w:r>
      <w:r>
        <w:rPr>
          <w:rFonts w:hint="eastAsia"/>
        </w:rPr>
        <w:t xml:space="preserve">104。相较默认配置，局部窗口长度由</w:t>
      </w:r>
      <w:r>
        <w:t xml:space="preserve"> 135 </w:t>
      </w:r>
      <w:r>
        <w:rPr>
          <w:rFonts w:hint="eastAsia"/>
        </w:rPr>
        <w:t xml:space="preserve">增加至</w:t>
      </w:r>
      <w:r>
        <w:t xml:space="preserve"> </w:t>
      </w:r>
      <w:r>
        <w:rPr>
          <w:rFonts w:hint="eastAsia"/>
        </w:rPr>
        <w:t xml:space="preserve">227，参考样本规模由</w:t>
      </w:r>
      <w:r>
        <w:t xml:space="preserve"> 700 </w:t>
      </w:r>
      <w:r>
        <w:rPr>
          <w:rFonts w:hint="eastAsia"/>
        </w:rPr>
        <w:t xml:space="preserve">增加至</w:t>
      </w:r>
      <w:r>
        <w:t xml:space="preserve"> </w:t>
      </w:r>
      <w:r>
        <w:rPr>
          <w:rFonts w:hint="eastAsia"/>
        </w:rPr>
        <w:t xml:space="preserve">910，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pPr>
        <w:pStyle w:val="BodyText"/>
      </w:pPr>
      <w:r>
        <w:rPr>
          <w:rFonts w:hint="eastAsia"/>
        </w:rPr>
        <w:t xml:space="preserve">进一步地，在目标函数值放宽</w:t>
      </w:r>
      <w:r>
        <w:t xml:space="preserve"> 10% </w:t>
      </w:r>
      <w:r>
        <w:rPr>
          <w:rFonts w:hint="eastAsia"/>
        </w:rPr>
        <w:t xml:space="preserve">的近最优区域中，局部权重集中于</w:t>
      </w:r>
      <w:r>
        <w:t xml:space="preserve"> 0.8965 </w:t>
      </w:r>
      <w:r>
        <w:rPr>
          <w:rFonts w:hint="eastAsia"/>
        </w:rPr>
        <w:t xml:space="preserve">至</w:t>
      </w:r>
      <w:r>
        <w:t xml:space="preserve"> </w:t>
      </w:r>
      <w:r>
        <w:rPr>
          <w:rFonts w:hint="eastAsia"/>
        </w:rPr>
        <w:t xml:space="preserve">0.9486，全局</w:t>
      </w:r>
      <w:r>
        <w:t xml:space="preserve"> EMA </w:t>
      </w:r>
      <w:r>
        <w:rPr>
          <w:rFonts w:hint="eastAsia"/>
        </w:rPr>
        <w:t xml:space="preserve">衰减率集中于</w:t>
      </w:r>
      <w:r>
        <w:t xml:space="preserve"> 0.0745 </w:t>
      </w:r>
      <w:r>
        <w:rPr>
          <w:rFonts w:hint="eastAsia"/>
        </w:rPr>
        <w:t xml:space="preserve">至</w:t>
      </w:r>
      <w:r>
        <w:t xml:space="preserve"> </w:t>
      </w:r>
      <w:r>
        <w:rPr>
          <w:rFonts w:hint="eastAsia"/>
        </w:rPr>
        <w:t xml:space="preserve">0.0819，局部窗口长度集中于</w:t>
      </w:r>
      <w:r>
        <w:t xml:space="preserve"> 225 </w:t>
      </w:r>
      <w:r>
        <w:rPr>
          <w:rFonts w:hint="eastAsia"/>
        </w:rPr>
        <w:t xml:space="preserve">至</w:t>
      </w:r>
      <w:r>
        <w:t xml:space="preserve"> </w:t>
      </w:r>
      <w:r>
        <w:rPr>
          <w:rFonts w:hint="eastAsia"/>
        </w:rPr>
        <w:t xml:space="preserve">227。该分布表明，统计结构参数的有效区间相对收敛，门控机制在该区间内表现出较好的配置稳定性。</w:t>
      </w:r>
    </w:p>
    <w:p>
      <w:pPr>
        <w:pStyle w:val="BodyText"/>
      </w:pPr>
      <w:r>
        <w:rPr>
          <w:rFonts w:hint="eastAsia"/>
        </w:rPr>
        <w:t xml:space="preserve">如图</w:t>
      </w:r>
      <w:r>
        <w:t xml:space="preserve"> 5-2-6 </w:t>
      </w:r>
      <w:r>
        <w:rPr>
          <w:rFonts w:hint="eastAsia"/>
        </w:rPr>
        <w:t xml:space="preserve">所示，各关键参数在近最优目标值邻域内均呈现出稳定区间，表明</w:t>
      </w:r>
      <w:r>
        <w:t xml:space="preserve"> ET-PRL </w:t>
      </w:r>
      <w:r>
        <w:rPr>
          <w:rFonts w:hint="eastAsia"/>
        </w:rPr>
        <w:t xml:space="preserve">门控参数并非单点可行，而是存在可复现的有效解域。</w:t>
      </w:r>
    </w:p>
    <w:p>
      <w:pPr>
        <w:pStyle w:val="CaptionedFigure"/>
      </w:pPr>
      <w:r>
        <w:drawing>
          <wp:inline>
            <wp:extent cx="5334000" cy="2771472"/>
            <wp:effectExtent b="0" l="0" r="0" t="0"/>
            <wp:docPr descr="图 5-2-6 门控关键参数敏感性与近最优解域" title="" id="46" name="Picture"/>
            <a:graphic>
              <a:graphicData uri="http://schemas.openxmlformats.org/drawingml/2006/picture">
                <pic:pic>
                  <pic:nvPicPr>
                    <pic:cNvPr descr="../pics/fig_5_2_6_gate_key_parameter_sensitivity_and_near_optimal_region.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2771472"/>
                    </a:xfrm>
                    <a:prstGeom prst="rect">
                      <a:avLst/>
                    </a:prstGeom>
                    <a:noFill/>
                    <a:ln w="9525">
                      <a:noFill/>
                      <a:headEnd/>
                      <a:tailEnd/>
                    </a:ln>
                  </pic:spPr>
                </pic:pic>
              </a:graphicData>
            </a:graphic>
          </wp:inline>
        </w:drawing>
      </w:r>
    </w:p>
    <w:p>
      <w:pPr>
        <w:pStyle w:val="ImageCaption"/>
      </w:pPr>
      <w:r>
        <w:rPr>
          <w:rFonts w:hint="eastAsia"/>
        </w:rPr>
        <w:t xml:space="preserve">图</w:t>
      </w:r>
      <w:r>
        <w:t xml:space="preserve"> 5-2-6 </w:t>
      </w:r>
      <w:r>
        <w:rPr>
          <w:rFonts w:hint="eastAsia"/>
        </w:rPr>
        <w:t xml:space="preserve">门控关键参数敏感性与近最优解域</w:t>
      </w:r>
    </w:p>
    <w:p>
      <w:pPr>
        <w:pStyle w:val="BodyText"/>
      </w:pPr>
      <w:r>
        <w:rPr>
          <w:rFonts w:hint="eastAsia"/>
        </w:rPr>
        <w:t xml:space="preserve">图</w:t>
      </w:r>
      <w:r>
        <w:t xml:space="preserve"> 5-2-6 </w:t>
      </w:r>
      <w:r>
        <w:rPr>
          <w:rFonts w:hint="eastAsia"/>
        </w:rPr>
        <w:t xml:space="preserve">门控关键参数敏感性与近最优解域</w:t>
      </w:r>
    </w:p>
    <w:p>
      <w:pPr>
        <w:pStyle w:val="BodyText"/>
      </w:pPr>
      <w:r>
        <w:rPr>
          <w:rFonts w:hint="eastAsia"/>
        </w:rPr>
        <w:t xml:space="preserve">综上，ET-PRL</w:t>
      </w:r>
      <w:r>
        <w:t xml:space="preserve"> </w:t>
      </w:r>
      <w:r>
        <w:rPr>
          <w:rFonts w:hint="eastAsia"/>
        </w:rPr>
        <w:t xml:space="preserve">的参数敏感性本质上体现为触发稀疏性与控制保持能力之间的结构化权衡。过低阈值会导致更新过密，过高阈值会削弱对负荷变化的及时响应；局部窗口长度、参考样本规模与局部-全局融合权重共同决定该权衡在跨工况条件下的稳定性。由此可见，本框架的性能改进并非来源于单一参数取值，而是由阈值判定、统计平滑与多尺度分数融合的协同机制共同实现。</w:t>
      </w:r>
    </w:p>
    <w:bookmarkEnd w:id="48"/>
    <w:bookmarkEnd w:id="49"/>
    <w:bookmarkStart w:id="50" w:name="总结"/>
    <w:p>
      <w:pPr>
        <w:pStyle w:val="Heading1"/>
      </w:pPr>
      <w:r>
        <w:t xml:space="preserve">6. </w:t>
      </w:r>
      <w:r>
        <w:rPr>
          <w:rFonts w:hint="eastAsia"/>
        </w:rPr>
        <w:t xml:space="preserve">总结</w:t>
      </w:r>
    </w:p>
    <w:bookmarkEnd w:id="50"/>
    <w:bookmarkStart w:id="51" w:name="附录-a-评价指标体系与优化方向"/>
    <w:p>
      <w:pPr>
        <w:pStyle w:val="Heading1"/>
      </w:pPr>
      <w:r>
        <w:rPr>
          <w:rFonts w:hint="eastAsia"/>
        </w:rPr>
        <w:t xml:space="preserve">附录</w:t>
      </w:r>
      <w:r>
        <w:t xml:space="preserve"> A </w:t>
      </w:r>
      <w:r>
        <w:rPr>
          <w:rFonts w:hint="eastAsia"/>
        </w:rPr>
        <w:t xml:space="preserve">评价指标体系与优化方向</w:t>
      </w:r>
    </w:p>
    <w:p>
      <w:pPr>
        <w:pStyle w:val="FirstParagraph"/>
      </w:pPr>
      <w:r>
        <w:rPr>
          <w:rFonts w:hint="eastAsia"/>
        </w:rPr>
        <w:t xml:space="preserve">表</w:t>
      </w:r>
      <w:r>
        <w:t xml:space="preserve"> A </w:t>
      </w:r>
      <w:r>
        <w:rPr>
          <w:rFonts w:hint="eastAsia"/>
        </w:rPr>
        <w:t xml:space="preserve">评价指标体系与优化方向</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kW</w:t>
            </w:r>
          </w:p>
        </w:tc>
        <w:tc>
          <w:tcPr/>
          <w:p>
            <w:pPr>
              <w:pStyle w:val="Compact"/>
            </w:pPr>
            <w:r>
              <w:t xml:space="preserve">Minimize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动作更新总次数</w:t>
            </w:r>
          </w:p>
        </w:tc>
        <w:tc>
          <w:tcPr/>
          <w:p>
            <w:pPr>
              <w:pStyle w:val="Compact"/>
            </w:pPr>
            <m:oMath>
              <m:sSub>
                <m:e>
                  <m:r>
                    <m:t>N</m:t>
                  </m:r>
                </m:e>
                <m:sub>
                  <m:r>
                    <m:rPr>
                      <m:nor/>
                      <m:sty m:val="p"/>
                    </m:rPr>
                    <m:t>update</m:t>
                  </m:r>
                </m:sub>
              </m:sSub>
            </m:oMath>
          </w:p>
        </w:tc>
        <w:tc>
          <w:tcPr/>
          <w:p>
            <w:pPr>
              <w:pStyle w:val="Compact"/>
            </w:pPr>
            <w:r>
              <w:t xml:space="preserve">count</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动作减少率</w:t>
            </w:r>
          </w:p>
        </w:tc>
        <w:tc>
          <w:tcPr/>
          <w:p>
            <w:pPr>
              <w:pStyle w:val="Compact"/>
            </w:pPr>
            <w:r>
              <w:t xml:space="preserve">ARR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总奖励</w:t>
            </w:r>
          </w:p>
        </w:tc>
        <w:tc>
          <w:tcPr/>
          <w:p>
            <w:pPr>
              <w:pStyle w:val="Compact"/>
            </w:pPr>
            <m:oMath>
              <m:sSub>
                <m:e>
                  <m:r>
                    <m:t>R</m:t>
                  </m:r>
                </m:e>
                <m:sub>
                  <m:r>
                    <m:rPr>
                      <m:nor/>
                      <m:sty m:val="p"/>
                    </m:rPr>
                    <m:t>test</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svg" /><Relationship Type="http://schemas.openxmlformats.org/officeDocument/2006/relationships/image" Id="rId21" Target="media/rId21.svg" /><Relationship Type="http://schemas.openxmlformats.org/officeDocument/2006/relationships/image" Id="rId26" Target="media/rId26.svg" /><Relationship Type="http://schemas.openxmlformats.org/officeDocument/2006/relationships/image" Id="rId30" Target="media/rId30.svg" /><Relationship Type="http://schemas.openxmlformats.org/officeDocument/2006/relationships/image" Id="rId33" Target="media/rId33.svg" /><Relationship Type="http://schemas.openxmlformats.org/officeDocument/2006/relationships/image" Id="rId36" Target="media/rId36.svg" /><Relationship Type="http://schemas.openxmlformats.org/officeDocument/2006/relationships/image" Id="rId39" Target="media/rId39.svg" /><Relationship Type="http://schemas.openxmlformats.org/officeDocument/2006/relationships/image" Id="rId42" Target="media/rId42.svg" /><Relationship Type="http://schemas.openxmlformats.org/officeDocument/2006/relationships/image" Id="rId45" Target="media/rId4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2026-04-27T07:42:32Z</dcterms:created>
  <dcterms:modified xsi:type="dcterms:W3CDTF">2026-04-27T07:42:32Z</dcterms:modified>
</cp:coreProperties>
</file>

<file path=docProps/custom.xml><?xml version="1.0" encoding="utf-8"?>
<Properties xmlns="http://schemas.openxmlformats.org/officeDocument/2006/custom-properties" xmlns:vt="http://schemas.openxmlformats.org/officeDocument/2006/docPropsVTypes"/>
</file>