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引言"/>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These systems also serve as key resources for demand response. In central air conditioning systems, the chiller is the main energy consuming component, and its operating efficiency directly determines the overall system performance. Optimizing the chilled water supply temperature (</w:t>
      </w:r>
      <m:oMath>
        <m:sSub>
          <m:e>
            <m:r>
              <m:t>T</m:t>
            </m:r>
          </m:e>
          <m:sub>
            <m:r>
              <m:rPr>
                <m:nor/>
                <m:sty m:val="p"/>
              </m:rPr>
              <m:t>chws</m:t>
            </m:r>
          </m:sub>
        </m:sSub>
      </m:oMath>
      <w:r>
        <w:t xml:space="preserve">) is a proven and effective way to balance energy consumption with indoor thermal comfort. However, real world HVAC control faces significant challenges. Building thermal loads depend on a combination of dynamic factors, including outdoor weather conditions, indoor occupancy, and equipment heat dissipation. Therefore, the system exhibits high nonlinearity, time varying behavior, and a large inertial lag.</w:t>
      </w:r>
    </w:p>
    <w:p>
      <w:pPr>
        <w:pStyle w:val="BodyText"/>
      </w:pPr>
      <w:r>
        <w:rPr>
          <w:rFonts w:hint="eastAsia"/>
        </w:rPr>
        <w:t xml:space="preserve">针对上述挑战，工业界与学术界长期依赖基于显式先验知识的控制范式。具体而言，以基于规则的控制（RBC）和比例</w:t>
      </w:r>
      <w:r>
        <w:t xml:space="preserve"> - </w:t>
      </w:r>
      <w:r>
        <w:rPr>
          <w:rFonts w:hint="eastAsia"/>
        </w:rPr>
        <w:t xml:space="preserve">积分</w:t>
      </w:r>
      <w:r>
        <w:t xml:space="preserve"> - </w:t>
      </w:r>
      <w:r>
        <w:rPr>
          <w:rFonts w:hint="eastAsia"/>
        </w:rPr>
        <w:t xml:space="preserve">微分（PID）为代表的传统方法，高度依赖工程师人工标定的静态参数与经验规则；而以模型预测控制（MPC）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t xml:space="preserve">To address these challenges, the industry and academia have long relied on control methods based on explicit prior knowledge. For example, traditional approaches like rule based control (RBC) and proportional integral derivative (PID) control heavily depend on static parameters and empirical rules that engineers calibrate manually. On the other hand, global optimization algorithms like model predictive control (MPC) require building highly accurate physical or gray box models tailored to each specific building. Although these model based or rule based methods perform well under specific steady conditions, they struggle in highly diverse real world scenarios. Identifying the system and creating precise models for every single building takes a lot of time and money. Furthermore, as equipment wears down over time and building thermal characteristics change with the seasons, fixed parameter physical models tend to lose their effectiveness. This traditional approach relies too much on explicit environmental models and expert knowledge, making it unable to adapt to changing operating conditions. Therefore, there is an urgent need for new, intelligent control architectures.</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进一步提升了智能体的前瞻预测能力，有效缓解了建筑大热惯性带来的控制滞后。然而，现有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t xml:space="preserve">To overcome the limits of traditional control, deep reinforcement learning (DRL) has shown great promise for HVAC control in recent years because it can make adaptive decisions without needing a predefined model. DRL can directly interact with complex and changing environments to learn and adapt to nonlinear conditions on its own. Predictive DRL takes this a step further by including time related features. This improves the system’s ability to look ahead and effectively reduces the control lag caused by the large thermal inertia of buildings. However, current DRL methods used in actual engineering are still limited by the standard practice of time triggered control (TTC), that is, fixed time step control. Under this setup, the agent checks the status and updates actions strictly following a set clock cycle. This ignores the fact that building thermal loads do not change at a uniform rate over time. This fixed frequency approach creates a natural conflict between response speed and control cost. Updating at a high frequency allows the system to react quickly to environmental changes, but it requires a lot of computing power and causes mechanical wear on the equipment. Updating at a low frequency reduces hardware wear but easily leads to poor temperature control.</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基于按需决策理念，仅在系统状态发生显著偏离时激活控制更新。这种稀疏控制机制有效突破了时间步长的硬性约束，为平衡响应速度与控制代价提供了可行途径。然而，现有</w:t>
      </w:r>
      <w:r>
        <w:t xml:space="preserve"> ETC </w:t>
      </w:r>
      <w:r>
        <w:rPr>
          <w:rFonts w:hint="eastAsia"/>
        </w:rPr>
        <w:t xml:space="preserve">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pPr>
        <w:pStyle w:val="BodyText"/>
      </w:pPr>
      <w:r>
        <w:t xml:space="preserve">The event triggered control (ETC) mechanism was created to reduce the extra computation and equipment wear caused by TTC. ETC uses on demand decision making and only updates the control system when the system conditions change significantly. This sparse control method breaks free from the strict limits of fixed time steps and offers a practical way to balance response speed and control cost. However, most current ETC methods rely on static rules based on expert experience, such as setting fixed temperature deadbands or load fluctuation limits. These static triggering mechanisms lack the ability to adapt when faced with real building environments that are highly nonlinear and constantly changing. They struggle to adjust to differences in thermal inertia between buildings or performance changes as equipment gets older. As a result, they easily cause frequent false alarms or delayed control responses.</w:t>
      </w:r>
    </w:p>
    <w:p>
      <w:pPr>
        <w:pStyle w:val="BodyText"/>
      </w:pPr>
      <w:r>
        <w:rPr>
          <w:rFonts w:hint="eastAsia"/>
        </w:rPr>
        <w:t xml:space="preserve">基于上述动机，本文提出了一种结合时序预测与无监督动态事件触发的新型</w:t>
      </w:r>
      <w:r>
        <w:t xml:space="preserve"> HVAC </w:t>
      </w:r>
      <w:r>
        <w:rPr>
          <w:rFonts w:hint="eastAsia"/>
        </w:rPr>
        <w:t xml:space="preserve">控制框架（ET-PRL）。本文的主要贡献如下：</w:t>
      </w:r>
    </w:p>
    <w:p>
      <w:pPr>
        <w:pStyle w:val="BodyText"/>
      </w:pPr>
      <w:r>
        <w:t xml:space="preserve">Driven by these motivations, this paper proposes a new HVAC control framework that combines time series prediction with unsupervised dynamic event triggering (ET-PRL).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The ET-PRL framework builds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numPr>
          <w:ilvl w:val="0"/>
          <w:numId w:val="1001"/>
        </w:numPr>
      </w:pPr>
      <w:r>
        <w:rPr>
          <w:b/>
          <w:bCs/>
        </w:rPr>
        <w:t xml:space="preserve">We construct a time decoupled, event driven predictive control architecture</w:t>
      </w:r>
      <w:r>
        <w:t xml:space="preserve">: The event gating mechanism is smoothly integrated into the predictive reinforcement learning framework. The policy network only turns on during critical disturbances and uses a zero order hold (ZOH) to maintain the control output during stable periods. By closely connecting with predictive state features, this design effectively solves the problems of observation blind spots and lost prediction ability caused by sparse, on demand execution.</w:t>
      </w:r>
    </w:p>
    <w:p>
      <w:pPr>
        <w:numPr>
          <w:ilvl w:val="0"/>
          <w:numId w:val="1001"/>
        </w:numPr>
      </w:pPr>
      <w:r>
        <w:rPr>
          <w:rFonts w:hint="eastAsia"/>
          <w:b/>
          <w:bCs/>
        </w:rPr>
        <w:t xml:space="preserve">实现控制精度与系统执行代价的有效折衷</w:t>
      </w:r>
      <w:r>
        <w:rPr>
          <w:rFonts w:hint="eastAsia"/>
        </w:rPr>
        <w:t xml:space="preserve">：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pPr>
        <w:numPr>
          <w:ilvl w:val="0"/>
          <w:numId w:val="1001"/>
        </w:numPr>
      </w:pPr>
      <w:r>
        <w:rPr>
          <w:b/>
          <w:bCs/>
        </w:rPr>
        <w:t xml:space="preserve">We achieve an effective balance between control accuracy and system execution cost</w:t>
      </w:r>
      <w:r>
        <w:t xml:space="preserve">: A thorough evaluation using real chiller operation data shows that our proposed framework can effectively stop high frequency, useless adjustments during stable conditions. It does this within a measurable performance range while also achieving noticeable energy savings. These real world results prove that on demand control mechanisms work well in complex nonlinear thermal systems. They also offer a practical way to deploy deep reinforcement learning algorithms with low equipment wear in real engineering projects.</w:t>
      </w:r>
    </w:p>
    <w:bookmarkEnd w:id="10"/>
    <w:bookmarkStart w:id="11" w:name="相关工作"/>
    <w:p>
      <w:pPr>
        <w:pStyle w:val="Heading1"/>
      </w:pPr>
      <w:r>
        <w:t xml:space="preserve">2. </w:t>
      </w:r>
      <w:r>
        <w:rPr>
          <w:rFonts w:hint="eastAsia"/>
        </w:rPr>
        <w:t xml:space="preserve">相关工作</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[1]。其中，Choi</w:t>
      </w:r>
      <w:r>
        <w:t xml:space="preserve"> </w:t>
      </w:r>
      <w:r>
        <w:rPr>
          <w:rFonts w:hint="eastAsia"/>
        </w:rPr>
        <w:t xml:space="preserve">等</w:t>
      </w:r>
      <w:r>
        <w:t xml:space="preserve"> [2]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[3]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[4] </w:t>
      </w:r>
      <w:r>
        <w:rPr>
          <w:rFonts w:hint="eastAsia"/>
        </w:rPr>
        <w:t xml:space="preserve">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p>
    <w:p>
      <w:pPr>
        <w:pStyle w:val="BodyText"/>
      </w:pPr>
      <w:r>
        <w:t xml:space="preserve">Coordinated control between energy efficiency optimization and thermal comfort assurance in building HVAC systems has long faced engineering challenges. To address the requirements of building energy consumption growth and operational stability, traditional research mainly adopts classic methods such as rule-based control (RBC) and proportional-integral-derivative (PID) [1]. Among them, Choi et al. [2] improved the operability of HVAC rule-based control through optimization-informed rule extraction, Lee et al. [3] applied deep reinforcement learning to PID parameter tuning to improve tracking performance; additionally, Chojecki et al. [4] further introduced fuzzy control concepts to enhance the adaptability of traditional controllers under specific operating conditions. Although these methods are easy to deploy and highly reliable in industrial scenarios, their core still relies on static rules or linear feedback assumptions. They struggle to fully capture the nonlinear coupling, time-varying disturbances, and large lag characteristics in building thermal environments, making it difficult to balance energy saving and comfort simultaneously under complex operation and maintenance conditions [5].</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智能控制的重要方向。Savino</w:t>
      </w:r>
      <w:r>
        <w:t xml:space="preserve"> </w:t>
      </w:r>
      <w:r>
        <w:rPr>
          <w:rFonts w:hint="eastAsia"/>
        </w:rPr>
        <w:t xml:space="preserve">等</w:t>
      </w:r>
      <w:r>
        <w:t xml:space="preserve"> [6] </w:t>
      </w:r>
      <w:r>
        <w:rPr>
          <w:rFonts w:hint="eastAsia"/>
        </w:rPr>
        <w:t xml:space="preserve">系统展示了深度强化学习在多区域低层控制中的应用潜力；Wang</w:t>
      </w:r>
      <w:r>
        <w:t xml:space="preserve"> </w:t>
      </w:r>
      <w:r>
        <w:rPr>
          <w:rFonts w:hint="eastAsia"/>
        </w:rPr>
        <w:t xml:space="preserve">与</w:t>
      </w:r>
      <w:r>
        <w:t xml:space="preserve"> Lin [7] </w:t>
      </w:r>
      <w:r>
        <w:rPr>
          <w:rFonts w:hint="eastAsia"/>
        </w:rPr>
        <w:t xml:space="preserve">以及</w:t>
      </w:r>
      <w:r>
        <w:t xml:space="preserve"> Zhuang </w:t>
      </w:r>
      <w:r>
        <w:rPr>
          <w:rFonts w:hint="eastAsia"/>
        </w:rPr>
        <w:t xml:space="preserve">等</w:t>
      </w:r>
      <w:r>
        <w:t xml:space="preserve"> [8]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等范式构建了从高维传感状态到控制动作的映射，验证了强化学习在复杂场景中的优化优势。然而，标准强化学习多采用基于当前观测的反应式决策，在具有显著热惯性与时滞的系统中容易出现控制滞后与振荡</w:t>
      </w:r>
      <w:r>
        <w:t xml:space="preserve"> </w:t>
      </w:r>
      <w:r>
        <w:rPr>
          <w:rFonts w:hint="eastAsia"/>
        </w:rPr>
        <w:t xml:space="preserve">[9]。为此，Li</w:t>
      </w:r>
      <w:r>
        <w:t xml:space="preserve"> </w:t>
      </w:r>
      <w:r>
        <w:rPr>
          <w:rFonts w:hint="eastAsia"/>
        </w:rPr>
        <w:t xml:space="preserve">等</w:t>
      </w:r>
      <w:r>
        <w:t xml:space="preserve"> [10]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w:t>
      </w:r>
    </w:p>
    <w:p>
      <w:pPr>
        <w:pStyle w:val="BodyText"/>
      </w:pPr>
      <w:r>
        <w:t xml:space="preserve">To break through the bottlenecks of traditional control in modeling and adaptability, data-driven methods have gradually become an important direction for HVAC intelligent control. Savino et al. [6] systematically demonstrated the application potential of deep reinforcement learning in multi-zone low-level control. Wang and Lin [7] as well as Zhuang et al. [8] constructed mappings from high-dimensional sensing states to control actions based on paradigms such as DQN and DDPG respectively, verifying the optimization advantages of reinforcement learning in complex scenarios. However, standard reinforcement learning mostly adopts reactive decision-making based on current observations, which easily leads to control lag and oscillation in systems with significant thermal inertia and time delay [9]. To address this, Li et al. [10] integrated temporal models such as LSTM into the decision-making process, enhancing the strategy’s perception of environmental evolution by introducing forward-looking prediction information and improving control stability to a certain extent.</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[11] </w:t>
      </w:r>
      <w:r>
        <w:rPr>
          <w:rFonts w:hint="eastAsia"/>
        </w:rPr>
        <w:t xml:space="preserve">与</w:t>
      </w:r>
      <w:r>
        <w:t xml:space="preserve"> Xue </w:t>
      </w:r>
      <w:r>
        <w:rPr>
          <w:rFonts w:hint="eastAsia"/>
        </w:rPr>
        <w:t xml:space="preserve">等</w:t>
      </w:r>
      <w:r>
        <w:t xml:space="preserve"> [12] </w:t>
      </w:r>
      <w:r>
        <w:rPr>
          <w:rFonts w:hint="eastAsia"/>
        </w:rPr>
        <w:t xml:space="preserve">的研究表明，事件驱动控制（ETC）通过“按需更新”机制，能够在状态越限或事件发生时才触发控制与通信，从而有效减少时间触发控制中的无效更新。与此同时，Liu</w:t>
      </w:r>
      <w:r>
        <w:t xml:space="preserve"> </w:t>
      </w:r>
      <w:r>
        <w:rPr>
          <w:rFonts w:hint="eastAsia"/>
        </w:rPr>
        <w:t xml:space="preserve">等</w:t>
      </w:r>
      <w:r>
        <w:t xml:space="preserve"> [13]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w:t>
      </w:r>
      <w:r>
        <w:rPr>
          <w:rFonts w:hint="eastAsia"/>
        </w:rPr>
        <w:t xml:space="preserve">[14]。这也说明构建数据驱动的动态事件定义机制具有现实必要性。</w:t>
      </w:r>
    </w:p>
    <w:p>
      <w:pPr>
        <w:pStyle w:val="BodyText"/>
      </w:pPr>
      <w:r>
        <w:t xml:space="preserve">While control strategies continue to evolve from rule-driven to data-driven, how to reduce redundant computation and actuator wear has become another key issue. The research by Liu et al. [11] and Xue et al. [12] shows that event-triggered control (ETC) can trigger control and communication only when states exceed limits or events occur through an on-demand update mechanism, thereby effectively reducing invalid updates in TTC. At the same time, Liu et al. [13] pointed out that existing ETC still generally relies on static threshold rules set by experts in engineering implementation. Facing non-stationary factors such as building thermal characteristic drift, climate fluctuations, and equipment aging, fixed thresholds often struggle to balance sensitivity and stability, easily causing excessive triggering or response lag, which in turn affects computational efficiency and comfort performance [14]. This also indicates the practical necessity of constructing data-driven dynamic event definition mechanisms.</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pPr>
        <w:pStyle w:val="BodyText"/>
      </w:pPr>
      <w:r>
        <w:t xml:space="preserve">Based on the above research progress, this paper reconstructs the HVAC event triggering process as an online unsupervised anomaly detection problem and proposes an on-demand control framework (ET-PRL) that couples dynamic gating with predictive reinforcement learning. Compared with traditional methods that rely on static rules and existing ETC schemes, this paper achieves dynamic updates of triggering conditions through streaming feature tracking and adaptive threshold determination, reducing dependence on manual experience and improving adaptability to long-term concept drift. Unlike fixed-step reinforcement learning, this framework further decouples decision timing in an event-driven manner. While reducing redundant inference and equipment wear, it uses predictive features to compensate for observation blind spots under sparse control, ultimately achieving an effective trade-off between control performance and execution cost in real building non-stationary operating conditions.</w:t>
      </w:r>
    </w:p>
    <w:p>
      <w:pPr>
        <w:pStyle w:val="BlockText"/>
      </w:pPr>
      <w:r>
        <w:t xml:space="preserve">[1]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16" w:name="方法"/>
    <w:p>
      <w:pPr>
        <w:pStyle w:val="Heading1"/>
      </w:pPr>
      <w:r>
        <w:t xml:space="preserve">3. </w:t>
      </w:r>
      <w:r>
        <w:rPr>
          <w:rFonts w:hint="eastAsia"/>
        </w:rPr>
        <w:t xml:space="preserve">方法</w:t>
      </w:r>
    </w:p>
    <w:bookmarkStart w:id="12" w:name="总体框架"/>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3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p>
      <w:pPr>
        <w:pStyle w:val="BlockText"/>
      </w:pPr>
      <w:r>
        <w:rPr>
          <w:rFonts w:hint="eastAsia"/>
          <w:b/>
          <w:bCs/>
        </w:rPr>
        <w:t xml:space="preserve">图</w:t>
      </w:r>
      <w:r>
        <w:rPr>
          <w:b/>
          <w:bCs/>
        </w:rPr>
        <w:t xml:space="preserve"> 3 </w:t>
      </w:r>
      <w:r>
        <w:rPr>
          <w:rFonts w:hint="eastAsia"/>
          <w:b/>
          <w:bCs/>
        </w:rPr>
        <w:t xml:space="preserve">占位：ET-PRL</w:t>
      </w:r>
      <w:r>
        <w:rPr>
          <w:b/>
          <w:bCs/>
        </w:rPr>
        <w:t xml:space="preserve"> </w:t>
      </w:r>
      <w:r>
        <w:rPr>
          <w:rFonts w:hint="eastAsia"/>
          <w:b/>
          <w:bCs/>
        </w:rPr>
        <w:t xml:space="preserve">总体框架图</w:t>
      </w:r>
    </w:p>
    <w:bookmarkEnd w:id="12"/>
    <w:bookmarkStart w:id="13" w:name="基于流式特征追踪的动态事件触发机制设计"/>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pPr>
        <w:pStyle w:val="BodyText"/>
      </w:pPr>
      <w:r>
        <w:rPr>
          <w:rFonts w:hint="eastAsia"/>
        </w:rPr>
        <w:t xml:space="preserve">设门控状态为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为判别阈值。上述定义表明，事件识别本质上是对是否偏离常态区域的二值判定；当状态进入高偏离区域时触发策略更新，否则维持当前控制节奏。</w:t>
      </w:r>
    </w:p>
    <w:p>
      <w:pPr>
        <w:pStyle w:val="BodyText"/>
      </w:pPr>
      <w:r>
        <w:rPr>
          <w:rFonts w:hint="eastAsia"/>
        </w:rPr>
        <w:t xml:space="preserve">为满足在线部署需求，本文采用异常分数函数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作为偏离度代理，并将集合判别转化为可计算的阈值比较：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为触发阈值。该形式具有两点优势：一是可与流式统计量直接耦合，支持逐步更新；二是便于与后续门控逻辑统一，实现由异常评分到触发决策的端到端建模与实现。</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r>
            <m:t>a</m:t>
          </m:r>
          <m:sSub>
            <m:e>
              <m:r>
                <m:t>u</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表示由历史异常分数驱动的阈值更新算子。该设计用于在灵敏性与稳定性之间取得平衡：在扰动增强时提高事件覆盖率，在平稳区间抑制冗余触发，从而降低误触发与漏触发风险。</w:t>
      </w:r>
    </w:p>
    <w:p>
      <w:pPr>
        <w:pStyle w:val="Compact"/>
        <w:numPr>
          <w:ilvl w:val="0"/>
          <w:numId w:val="1003"/>
        </w:numPr>
      </w:pP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pPr>
        <w:pStyle w:val="Compact"/>
        <w:numPr>
          <w:ilvl w:val="0"/>
          <w:numId w:val="1004"/>
        </w:numPr>
      </w:pP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Compact"/>
        <w:numPr>
          <w:ilvl w:val="0"/>
          <w:numId w:val="1005"/>
        </w:numPr>
      </w:pP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w:t>
      </w:r>
      <m:oMath>
        <m:sSub>
          <m:e>
            <m:r>
              <m:t>b</m:t>
            </m:r>
          </m:e>
          <m:sub>
            <m:r>
              <m:rPr>
                <m:sty m:val="p"/>
              </m:rPr>
              <m:t>b</m:t>
            </m:r>
            <m:r>
              <m:rPr>
                <m:sty m:val="p"/>
              </m:rPr>
              <m:t>i</m:t>
            </m:r>
            <m:r>
              <m:rPr>
                <m:sty m:val="p"/>
              </m:rPr>
              <m:t>a</m:t>
            </m:r>
            <m:r>
              <m:rPr>
                <m:sty m:val="p"/>
              </m:rPr>
              <m:t>s</m:t>
            </m:r>
          </m:sub>
        </m:sSub>
      </m:oMath>
      <w:r>
        <w:t xml:space="preserve"> </w:t>
      </w:r>
      <w:r>
        <w:rPr>
          <w:rFonts w:hint="eastAsia"/>
        </w:rPr>
        <w:t xml:space="preserve">为偏置项。在运行状态高度平稳的阶段，例如夜间低负荷时段，系统方差与绝对中位差可能收敛至较小数值，导致阈值过度收缩。引入偏置项为系统设置绝对了触发下限，从而避免因阈值过小而产生高频误触发。</w:t>
      </w:r>
    </w:p>
    <w:bookmarkEnd w:id="13"/>
    <w:bookmarkStart w:id="14" w:name="在线流式事件门控模块构建"/>
    <w:p>
      <w:pPr>
        <w:pStyle w:val="Heading2"/>
      </w:pPr>
      <w:r>
        <w:t xml:space="preserve">3.3 </w:t>
      </w:r>
      <w:r>
        <w:rPr>
          <w:rFonts w:hint="eastAsia"/>
        </w:rPr>
        <w:t xml:space="preserve">在线流式事件门控模块构建</w:t>
      </w:r>
    </w:p>
    <w:p>
      <w:pPr>
        <w:pStyle w:val="FirstParagraph"/>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bookmarkEnd w:id="14"/>
    <w:bookmarkStart w:id="15" w:name="基于动态阈值事件触发的预测型强化学习控制算法"/>
    <w:p>
      <w:pPr>
        <w:pStyle w:val="Heading2"/>
      </w:pPr>
      <w:r>
        <w:t xml:space="preserve">3.4 </w:t>
      </w:r>
      <w:r>
        <w:rPr>
          <w:rFonts w:hint="eastAsia"/>
        </w:rPr>
        <w:t xml:space="preserve">基于动态阈值事件触发的预测型强化学习控制算法</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时，则不进行推理计算，而是由底层控制系统通过零阶保持器维持先前的控制指令。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pPr>
        <w:pStyle w:val="Compact"/>
        <w:numPr>
          <w:ilvl w:val="0"/>
          <w:numId w:val="1006"/>
        </w:numPr>
      </w:pPr>
      <w:r>
        <w:rPr>
          <w:rFonts w:hint="eastAsia"/>
        </w:rPr>
        <w:t xml:space="preserve">任务建模与问题定义</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w:t>
      </w:r>
    </w:p>
    <w:p>
      <w:pPr>
        <w:pStyle w:val="Compact"/>
        <w:numPr>
          <w:ilvl w:val="0"/>
          <w:numId w:val="1007"/>
        </w:numPr>
      </w:pPr>
      <w:r>
        <w:rPr>
          <w:rFonts w:hint="eastAsia"/>
        </w:rPr>
        <w:t xml:space="preserve">预测型强化学习决策机制</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 xml:space="preserve">动作覆盖的连续性，提升经验回放与目标网络更新的数值稳定性。这种设计使策略网络在训练期间充分覆盖状态</w:t>
      </w:r>
      <w:r>
        <w:t xml:space="preserve"> - </w:t>
      </w:r>
      <w:r>
        <w:rPr>
          <w:rFonts w:hint="eastAsia"/>
        </w:rPr>
        <w:t xml:space="preserve">动作空间，部署时再借助门控机制实现动作更新的稀疏化。</w:t>
      </w:r>
    </w:p>
    <w:p>
      <w:pPr>
        <w:pStyle w:val="Compact"/>
        <w:numPr>
          <w:ilvl w:val="0"/>
          <w:numId w:val="1008"/>
        </w:numPr>
      </w:pPr>
      <w:r>
        <w:rPr>
          <w:rFonts w:hint="eastAsia"/>
        </w:rPr>
        <w:t xml:space="preserve">事件驱动在线执行算法</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rPr>
          <w:b/>
          <w:bCs/>
        </w:rPr>
        <w:t xml:space="preserve">Algorithm 1.</w:t>
      </w:r>
      <w:r>
        <w:t xml:space="preserve"> </w:t>
      </w:r>
      <w:r>
        <w:t xml:space="preserve">Event-Triggered Predictive RL (ET-PRL) Online Control Procedure</w:t>
      </w:r>
    </w:p>
    <w:p>
      <w:pPr>
        <w:pStyle w:val="SourceCode"/>
      </w:pPr>
      <w:r>
        <w:rPr>
          <w:rStyle w:val="VerbatimChar"/>
        </w:rPr>
        <w:t xml:space="preserve">Require: Trained policy network π_DQN, gate parameters Ω, min trigger interval Δ_min, total steps T</w:t>
      </w:r>
      <w:r>
        <w:br/>
      </w:r>
      <w:r>
        <w:rPr>
          <w:rStyle w:val="VerbatimChar"/>
        </w:rPr>
        <w:t xml:space="preserve">Require: Initial action u_0, last trigger time t_last ← −∞, anomaly score window A_0</w:t>
      </w:r>
      <w:r>
        <w:br/>
      </w:r>
      <w:r>
        <w:rPr>
          <w:rStyle w:val="VerbatimChar"/>
        </w:rPr>
        <w:t xml:space="preserve">1: for t = 1 to T do</w:t>
      </w:r>
      <w:r>
        <w:br/>
      </w:r>
      <w:r>
        <w:rPr>
          <w:rStyle w:val="VerbatimChar"/>
        </w:rPr>
        <w:t xml:space="preserve">2:     Collect Q_load^t, T_wb^t, Q̂_load^(t+1), form state s_t = [Q_load^t, T_wb^t, Q̂_load^(t+1)]</w:t>
      </w:r>
      <w:r>
        <w:br/>
      </w:r>
      <w:r>
        <w:rPr>
          <w:rStyle w:val="VerbatimChar"/>
        </w:rPr>
        <w:t xml:space="preserve">3:     Compute anomaly scores A_short(s_t), A_medium(s_t), A_long(s_t) on short/medium/long windows</w:t>
      </w:r>
      <w:r>
        <w:br/>
      </w:r>
      <w:r>
        <w:rPr>
          <w:rStyle w:val="VerbatimChar"/>
        </w:rPr>
        <w:t xml:space="preserve">4:     Fuse to obtain overall anomaly score:</w:t>
      </w:r>
      <w:r>
        <w:br/>
      </w:r>
      <w:r>
        <w:rPr>
          <w:rStyle w:val="VerbatimChar"/>
        </w:rPr>
        <w:t xml:space="preserve">5:     A(s_t) = w_s·A_short(s_t) + w_m·A_medium(s_t) + w_l·A_long(s_t)</w:t>
      </w:r>
      <w:r>
        <w:br/>
      </w:r>
      <w:r>
        <w:rPr>
          <w:rStyle w:val="VerbatimChar"/>
        </w:rPr>
        <w:t xml:space="preserve">6:     Compute candidate local threshold from window A_t:</w:t>
      </w:r>
      <w:r>
        <w:br/>
      </w:r>
      <w:r>
        <w:rPr>
          <w:rStyle w:val="VerbatimChar"/>
        </w:rPr>
        <w:t xml:space="preserve">7:     τ_cand^(t) = ω_q·τ_q^(t) + (1−ω_q)·τ_mad^(t)</w:t>
      </w:r>
      <w:r>
        <w:br/>
      </w:r>
      <w:r>
        <w:rPr>
          <w:rStyle w:val="VerbatimChar"/>
        </w:rPr>
        <w:t xml:space="preserve">8:     Update local threshold: τ_local^(t) = (1−λ_local)·τ_local^(t−1) + λ_local·τ_cand^(t)</w:t>
      </w:r>
      <w:r>
        <w:br/>
      </w:r>
      <w:r>
        <w:rPr>
          <w:rStyle w:val="VerbatimChar"/>
        </w:rPr>
        <w:t xml:space="preserve">9:     Update global threshold: τ_global^(t) = (1−λ_g)·τ_global^(t−1) + λ_g·τ_local^(t)</w:t>
      </w:r>
      <w:r>
        <w:br/>
      </w:r>
      <w:r>
        <w:rPr>
          <w:rStyle w:val="VerbatimChar"/>
        </w:rPr>
        <w:t xml:space="preserve">10:    τ̃_t = α_local·τ_local^(t) + (1−α_local)·τ_global^(t) + b_bias</w:t>
      </w:r>
      <w:r>
        <w:br/>
      </w:r>
      <w:r>
        <w:rPr>
          <w:rStyle w:val="VerbatimChar"/>
        </w:rPr>
        <w:t xml:space="preserve">11:    τ_t^* = clip(τ̃_t + m_hys, 0, 1)</w:t>
      </w:r>
      <w:r>
        <w:br/>
      </w:r>
      <w:r>
        <w:rPr>
          <w:rStyle w:val="VerbatimChar"/>
        </w:rPr>
        <w:t xml:space="preserve">12:    if A(s_t) &gt; τ_t^* and (t − t_last) &gt; Δ_min then</w:t>
      </w:r>
      <w:r>
        <w:br/>
      </w:r>
      <w:r>
        <w:rPr>
          <w:rStyle w:val="VerbatimChar"/>
        </w:rPr>
        <w:t xml:space="preserve">13:        u_t ← π_DQN(s_t); t_last ← t</w:t>
      </w:r>
      <w:r>
        <w:br/>
      </w:r>
      <w:r>
        <w:rPr>
          <w:rStyle w:val="VerbatimChar"/>
        </w:rPr>
        <w:t xml:space="preserve">14:    else</w:t>
      </w:r>
      <w:r>
        <w:br/>
      </w:r>
      <w:r>
        <w:rPr>
          <w:rStyle w:val="VerbatimChar"/>
        </w:rPr>
        <w:t xml:space="preserve">15:        u_t ← u_(t−1)    ⟹  ZOH hold</w:t>
      </w:r>
      <w:r>
        <w:br/>
      </w:r>
      <w:r>
        <w:rPr>
          <w:rStyle w:val="VerbatimChar"/>
        </w:rPr>
        <w:t xml:space="preserve">16:    end if</w:t>
      </w:r>
      <w:r>
        <w:br/>
      </w:r>
      <w:r>
        <w:rPr>
          <w:rStyle w:val="VerbatimChar"/>
        </w:rPr>
        <w:t xml:space="preserve">17:    Execute u_t; append A(s_t) to window for t+1 threshold update</w:t>
      </w:r>
      <w:r>
        <w:br/>
      </w:r>
      <w:r>
        <w:rPr>
          <w:rStyle w:val="VerbatimChar"/>
        </w:rPr>
        <w:t xml:space="preserve">18: end for</w:t>
      </w:r>
    </w:p>
    <w:bookmarkEnd w:id="15"/>
    <w:bookmarkEnd w:id="16"/>
    <w:bookmarkStart w:id="19" w:name="案例系统与仿真环境"/>
    <w:p>
      <w:pPr>
        <w:pStyle w:val="Heading1"/>
      </w:pPr>
      <w:r>
        <w:t xml:space="preserve">4. </w:t>
      </w:r>
      <w:r>
        <w:rPr>
          <w:rFonts w:hint="eastAsia"/>
        </w:rPr>
        <w:t xml:space="preserve">案例系统与仿真环境</w:t>
      </w:r>
    </w:p>
    <w:bookmarkStart w:id="17"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7"/>
    <w:bookmarkStart w:id="18"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w:t>
      </w:r>
      <w:r>
        <w:t xml:space="preserve"> 4-2-1 </w:t>
      </w:r>
      <w:r>
        <w:rPr>
          <w:rFonts w:hint="eastAsia"/>
        </w:rPr>
        <w:t xml:space="preserve">展示了冷负荷与气象变量在不同时间尺度上的变化特征。图</w:t>
      </w:r>
      <w:r>
        <w:t xml:space="preserve"> 4-2-1(a)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w:t>
      </w:r>
      <w:r>
        <w:t xml:space="preserve"> 4-2-1(b)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w:t>
      </w:r>
      <w:r>
        <w:t xml:space="preserve"> 4-2-2 </w:t>
      </w:r>
      <w:r>
        <w:rPr>
          <w:rFonts w:hint="eastAsia"/>
        </w:rPr>
        <w:t xml:space="preserve">进一步展示了关键变量的边际分布与联合分布特征。图</w:t>
      </w:r>
      <w:r>
        <w:t xml:space="preserve"> 4-2-2(a) </w:t>
      </w:r>
      <w:r>
        <w:rPr>
          <w:rFonts w:hint="eastAsia"/>
        </w:rPr>
        <w:t xml:space="preserve">表明冷负荷分布呈明显右偏与长尾特性，说明高负荷样本占比虽低但持续存在。图</w:t>
      </w:r>
      <w:r>
        <w:t xml:space="preserve"> 4-2-2(b) </w:t>
      </w:r>
      <w:r>
        <w:rPr>
          <w:rFonts w:hint="eastAsia"/>
        </w:rPr>
        <w:t xml:space="preserve">表明湿球温度主要集中于相对狭窄区间，刻画了外生气象扰动的有效波动边界。图</w:t>
      </w:r>
      <w:r>
        <w:t xml:space="preserve"> 4-2-2(c)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w:t>
      </w:r>
      <w:r>
        <w:t xml:space="preserve"> 4-2-1 </w:t>
      </w:r>
      <w:r>
        <w:rPr>
          <w:rFonts w:hint="eastAsia"/>
        </w:rPr>
        <w:t xml:space="preserve">与图</w:t>
      </w:r>
      <w:r>
        <w:t xml:space="preserve"> 4-2-2 </w:t>
      </w:r>
      <w:r>
        <w:rPr>
          <w:rFonts w:hint="eastAsia"/>
        </w:rPr>
        <w:t xml:space="preserve">可知，该数据集同时具备显著时序周期性与非线性联合分布特征，可为门控机制中的联合特征建模与动态判别提供数据依据。</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4-2-1 </w:t>
            </w:r>
            <w:r>
              <w:rPr>
                <w:rFonts w:hint="eastAsia"/>
              </w:rPr>
              <w:t xml:space="preserve">数据集时序特征可视化（全时段序列与日内统计轮廓）</w:t>
            </w:r>
          </w:p>
        </w:tc>
      </w:tr>
    </w:tbl>
    <w:p>
      <w:pPr>
        <w:pStyle w:val="ImageCaption"/>
      </w:pPr>
      <w:r>
        <w:rPr>
          <w:rFonts w:hint="eastAsia"/>
        </w:rPr>
        <w:t xml:space="preserve">图</w:t>
      </w:r>
      <w:r>
        <w:t xml:space="preserve"> 4-2-1 </w:t>
      </w:r>
      <w:r>
        <w:rPr>
          <w:rFonts w:hint="eastAsia"/>
        </w:rPr>
        <w:t xml:space="preserve">数据集时序特征可视化（全时段序列与日内统计轮廓）</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4-2-2 </w:t>
            </w:r>
            <w:r>
              <w:rPr>
                <w:rFonts w:hint="eastAsia"/>
              </w:rPr>
              <w:t xml:space="preserve">数据集分布与特征依赖关系可视化</w:t>
            </w:r>
          </w:p>
        </w:tc>
      </w:tr>
    </w:tbl>
    <w:p>
      <w:pPr>
        <w:pStyle w:val="ImageCaption"/>
      </w:pPr>
      <w:r>
        <w:rPr>
          <w:rFonts w:hint="eastAsia"/>
        </w:rPr>
        <w:t xml:space="preserve">图</w:t>
      </w:r>
      <w:r>
        <w:t xml:space="preserve"> 4-2-2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18"/>
    <w:bookmarkEnd w:id="19"/>
    <w:bookmarkStart w:id="22" w:name="实验及结果"/>
    <w:p>
      <w:pPr>
        <w:pStyle w:val="Heading1"/>
      </w:pPr>
      <w:r>
        <w:t xml:space="preserve">5. </w:t>
      </w:r>
      <w:r>
        <w:rPr>
          <w:rFonts w:hint="eastAsia"/>
        </w:rPr>
        <w:t xml:space="preserve">实验及结果</w:t>
      </w:r>
    </w:p>
    <w:bookmarkStart w:id="20" w:name="实验设置-experimental-setup"/>
    <w:p>
      <w:pPr>
        <w:pStyle w:val="Heading2"/>
      </w:pPr>
      <w:r>
        <w:t xml:space="preserve">5.1 </w:t>
      </w:r>
      <w:r>
        <w:rPr>
          <w:rFonts w:hint="eastAsia"/>
        </w:rPr>
        <w:t xml:space="preserve">实验设置</w:t>
      </w:r>
      <w:r>
        <w:t xml:space="preserve"> (Experimental Setup)</w:t>
      </w:r>
    </w:p>
    <w:p>
      <w:pPr>
        <w:pStyle w:val="Compact"/>
        <w:numPr>
          <w:ilvl w:val="0"/>
          <w:numId w:val="1009"/>
        </w:numPr>
      </w:pP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10"/>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10"/>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Compact"/>
        <w:numPr>
          <w:ilvl w:val="0"/>
          <w:numId w:val="1011"/>
        </w:numPr>
      </w:pP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12"/>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13"/>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13"/>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13"/>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12"/>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14"/>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14"/>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12"/>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15"/>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15"/>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15"/>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15"/>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16"/>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16"/>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Compact"/>
        <w:numPr>
          <w:ilvl w:val="0"/>
          <w:numId w:val="1017"/>
        </w:numPr>
      </w:pPr>
      <w:r>
        <w:rPr>
          <w:rFonts w:hint="eastAsia"/>
        </w:rPr>
        <w:t xml:space="preserve">基线策略训练稳定性与模型选择</w:t>
      </w:r>
    </w:p>
    <w:p>
      <w:pPr>
        <w:pStyle w:val="FirstParagraph"/>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5-1-1 TTC-RL </w:t>
            </w:r>
            <w:r>
              <w:rPr>
                <w:rFonts w:hint="eastAsia"/>
              </w:rPr>
              <w:t xml:space="preserve">基线训练奖励曲线</w:t>
            </w:r>
          </w:p>
        </w:tc>
      </w:tr>
    </w:tbl>
    <w:p>
      <w:pPr>
        <w:pStyle w:val="ImageCaption"/>
      </w:pPr>
      <w:r>
        <w:rPr>
          <w:rFonts w:hint="eastAsia"/>
        </w:rPr>
        <w:t xml:space="preserve">图</w:t>
      </w:r>
      <w:r>
        <w:t xml:space="preserve"> 5-1-1 TTC-RL </w:t>
      </w:r>
      <w:r>
        <w:rPr>
          <w:rFonts w:hint="eastAsia"/>
        </w:rPr>
        <w:t xml:space="preserve">基线训练奖励曲线</w:t>
      </w:r>
    </w:p>
    <w:p>
      <w:pPr>
        <w:pStyle w:val="BodyText"/>
      </w:pPr>
      <w:r>
        <w:rPr>
          <w:rFonts w:hint="eastAsia"/>
        </w:rPr>
        <w:t xml:space="preserve">图</w:t>
      </w:r>
      <w:r>
        <w:t xml:space="preserve"> 5-1-1 TTC-RL </w:t>
      </w:r>
      <w:r>
        <w:rPr>
          <w:rFonts w:hint="eastAsia"/>
        </w:rPr>
        <w:t xml:space="preserve">基线训练奖励曲线</w:t>
      </w:r>
    </w:p>
    <w:bookmarkEnd w:id="20"/>
    <w:bookmarkStart w:id="21" w:name="实验结果分析"/>
    <w:p>
      <w:pPr>
        <w:pStyle w:val="Heading2"/>
      </w:pPr>
      <w:r>
        <w:t xml:space="preserve">5.2 </w:t>
      </w:r>
      <w:r>
        <w:rPr>
          <w:rFonts w:hint="eastAsia"/>
        </w:rPr>
        <w:t xml:space="preserve">实验结果分析</w:t>
      </w:r>
    </w:p>
    <w:p>
      <w:pPr>
        <w:pStyle w:val="Compact"/>
        <w:numPr>
          <w:ilvl w:val="0"/>
          <w:numId w:val="1018"/>
        </w:numPr>
      </w:pPr>
      <w:r>
        <w:rPr>
          <w:rFonts w:hint="eastAsia"/>
        </w:rPr>
        <w:t xml:space="preserve">整体性能分析</w:t>
      </w:r>
    </w:p>
    <w:p>
      <w:pPr>
        <w:pStyle w:val="FirstParagraph"/>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可见，与</w:t>
      </w:r>
      <w:r>
        <w:t xml:space="preserve"> TTC-RL-1 </w:t>
      </w:r>
      <w:r>
        <w:rPr>
          <w:rFonts w:hint="eastAsia"/>
        </w:rPr>
        <w:t xml:space="preserve">相比，ET-PRL</w:t>
      </w:r>
      <w:r>
        <w:t xml:space="preserve"> </w:t>
      </w:r>
      <w:r>
        <w:rPr>
          <w:rFonts w:hint="eastAsia"/>
        </w:rPr>
        <w:t xml:space="preserve">的日均能耗由</w:t>
      </w:r>
      <w:r>
        <w:t xml:space="preserve"> 7491.14 </w:t>
      </w:r>
      <w:r>
        <w:rPr>
          <w:rFonts w:hint="eastAsia"/>
        </w:rPr>
        <w:t xml:space="preserve">降至</w:t>
      </w:r>
      <w:r>
        <w:t xml:space="preserve"> 7331.85 </w:t>
      </w:r>
      <w:r>
        <w:rPr>
          <w:rFonts w:hint="eastAsia"/>
        </w:rPr>
        <w:t xml:space="preserve">kWh/day，相对节能率为</w:t>
      </w:r>
      <w:r>
        <w:t xml:space="preserve"> </w:t>
      </w:r>
      <w:r>
        <w:rPr>
          <w:rFonts w:hint="eastAsia"/>
        </w:rPr>
        <w:t xml:space="preserve">2.13%；动作更新总次数由</w:t>
      </w:r>
      <w:r>
        <w:t xml:space="preserve"> 4404 </w:t>
      </w:r>
      <w:r>
        <w:rPr>
          <w:rFonts w:hint="eastAsia"/>
        </w:rPr>
        <w:t xml:space="preserve">降至</w:t>
      </w:r>
      <w:r>
        <w:t xml:space="preserve"> </w:t>
      </w:r>
      <w:r>
        <w:rPr>
          <w:rFonts w:hint="eastAsia"/>
        </w:rPr>
        <w:t xml:space="preserve">2046，动作减少率为</w:t>
      </w:r>
      <w:r>
        <w:t xml:space="preserve"> </w:t>
      </w:r>
      <w:r>
        <w:rPr>
          <w:rFonts w:hint="eastAsia"/>
        </w:rPr>
        <w:t xml:space="preserve">53.54%。按测试周期归一化后，ET-PRL</w:t>
      </w:r>
      <w:r>
        <w:t xml:space="preserve"> </w:t>
      </w:r>
      <w:r>
        <w:rPr>
          <w:rFonts w:hint="eastAsia"/>
        </w:rPr>
        <w:t xml:space="preserve">的日均动作次数为</w:t>
      </w:r>
      <w:r>
        <w:t xml:space="preserve"> 133.80 </w:t>
      </w:r>
      <w:r>
        <w:rPr>
          <w:rFonts w:hint="eastAsia"/>
        </w:rPr>
        <w:t xml:space="preserve">次/日，低于</w:t>
      </w:r>
      <w:r>
        <w:t xml:space="preserve"> TTC-RL-1 </w:t>
      </w:r>
      <w:r>
        <w:rPr>
          <w:rFonts w:hint="eastAsia"/>
        </w:rPr>
        <w:t xml:space="preserve">的</w:t>
      </w:r>
      <w:r>
        <w:t xml:space="preserve"> 288.00 </w:t>
      </w:r>
      <w:r>
        <w:rPr>
          <w:rFonts w:hint="eastAsia"/>
        </w:rPr>
        <w:t xml:space="preserve">次/日。与</w:t>
      </w:r>
      <w:r>
        <w:t xml:space="preserve"> ST-ETC </w:t>
      </w:r>
      <w:r>
        <w:rPr>
          <w:rFonts w:hint="eastAsia"/>
        </w:rPr>
        <w:t xml:space="preserve">相比，ET-PRL</w:t>
      </w:r>
      <w:r>
        <w:t xml:space="preserve"> </w:t>
      </w:r>
      <w:r>
        <w:rPr>
          <w:rFonts w:hint="eastAsia"/>
        </w:rPr>
        <w:t xml:space="preserve">的动作更新总次数进一步减少</w:t>
      </w:r>
      <w:r>
        <w:t xml:space="preserve"> </w:t>
      </w:r>
      <w:r>
        <w:rPr>
          <w:rFonts w:hint="eastAsia"/>
        </w:rPr>
        <w:t xml:space="preserve">41.96%，且日均能耗继续下降，表明性能提升主要来源于触发时机质量提高，而非仅依赖触发频率下降。</w:t>
      </w:r>
    </w:p>
    <w:p>
      <w:pPr>
        <w:pStyle w:val="BodyText"/>
      </w:pPr>
      <w:r>
        <w:rPr>
          <w:rFonts w:hint="eastAsia"/>
        </w:rPr>
        <w:t xml:space="preserve">在可比性层面，除</w:t>
      </w:r>
      <w:r>
        <w:t xml:space="preserve"> PID </w:t>
      </w:r>
      <w:r>
        <w:rPr>
          <w:rFonts w:hint="eastAsia"/>
        </w:rPr>
        <w:t xml:space="preserve">与</w:t>
      </w:r>
      <w:r>
        <w:t xml:space="preserve"> RBC </w:t>
      </w:r>
      <w:r>
        <w:rPr>
          <w:rFonts w:hint="eastAsia"/>
        </w:rPr>
        <w:t xml:space="preserve">外，其余强化学习策略均复用</w:t>
      </w:r>
      <w:r>
        <w:t xml:space="preserve"> TTC-RL-1 </w:t>
      </w:r>
      <w:r>
        <w:rPr>
          <w:rFonts w:hint="eastAsia"/>
        </w:rPr>
        <w:t xml:space="preserve">的同一组预训练参数，差异仅体现在动作更新时间调度与触发机制。因此，ET-PRL</w:t>
      </w:r>
      <w:r>
        <w:t xml:space="preserve"> </w:t>
      </w:r>
      <w:r>
        <w:rPr>
          <w:rFonts w:hint="eastAsia"/>
        </w:rPr>
        <w:t xml:space="preserve">的动作压缩与节能收益可归因于门控层设计，而非新增策略网络或联合再训练。该结果说明，在不改变</w:t>
      </w:r>
      <w:r>
        <w:t xml:space="preserve"> DQN </w:t>
      </w:r>
      <w:r>
        <w:rPr>
          <w:rFonts w:hint="eastAsia"/>
        </w:rPr>
        <w:t xml:space="preserve">主体结构且几乎不增加训练开销的前提下，动态事件触发仍可提升部署经济性。</w:t>
      </w:r>
    </w:p>
    <w:p>
      <w:pPr>
        <w:pStyle w:val="BodyText"/>
      </w:pPr>
      <w:r>
        <w:rPr>
          <w:rFonts w:hint="eastAsia"/>
        </w:rPr>
        <w:t xml:space="preserve">从机制层面看，关键结论不在于单一指标的领先幅度，而在于冗余更新抑制与能效提升能够同时成立。在建筑热惯性显著且扰动非平稳的</w:t>
      </w:r>
      <w:r>
        <w:t xml:space="preserve"> HVAC </w:t>
      </w:r>
      <w:r>
        <w:rPr>
          <w:rFonts w:hint="eastAsia"/>
        </w:rPr>
        <w:t xml:space="preserve">场景下，高频时间触发会使冷水机组频繁进入非稳态过渡区，导致实际</w:t>
      </w:r>
      <w:r>
        <w:t xml:space="preserve"> COP </w:t>
      </w:r>
      <w:r>
        <w:rPr>
          <w:rFonts w:hint="eastAsia"/>
        </w:rPr>
        <w:t xml:space="preserve">偏离稳态高效运行区间；动态事件触发仅在关键扰动时介入，为机组提供更长稳态运行窗口，从而降低执行代价并改善运行能效。</w:t>
      </w:r>
    </w:p>
    <w:p>
      <w:pPr>
        <w:pStyle w:val="BodyText"/>
      </w:pPr>
      <w:r>
        <w:rPr>
          <w:rFonts w:hint="eastAsia"/>
        </w:rPr>
        <w:t xml:space="preserve">静态阈值策略在长期运行中易出现边界失配，即阈值偏松导致冗余触发、阈值偏紧抑制必要更新。该现象在本研究覆盖的完整制冷季数据中具有代表性。测试时段为</w:t>
      </w:r>
      <w:r>
        <w:t xml:space="preserve"> 7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102 </w:t>
      </w:r>
      <w:r>
        <w:rPr>
          <w:rFonts w:hint="eastAsia"/>
        </w:rPr>
        <w:t xml:space="preserve">天，覆盖盛夏高温至初秋回落的持续气象与负荷漂移。ET-PRL</w:t>
      </w:r>
      <w:r>
        <w:t xml:space="preserve"> </w:t>
      </w:r>
      <w:r>
        <w:rPr>
          <w:rFonts w:hint="eastAsia"/>
        </w:rPr>
        <w:t xml:space="preserve">通过流式统计与双层动态阈值在线修正触发边界，在月尺度非平稳条件下维持了较高触发质量。</w:t>
      </w:r>
    </w:p>
    <w:p>
      <w:pPr>
        <w:pStyle w:val="BodyText"/>
      </w:pPr>
      <w:r>
        <w:rPr>
          <w:rFonts w:hint="eastAsia"/>
        </w:rPr>
        <w:t xml:space="preserve">表</w:t>
      </w:r>
      <w:r>
        <w:t xml:space="preserve"> 5-3 </w:t>
      </w:r>
      <w:r>
        <w:rPr>
          <w:rFonts w:hint="eastAsia"/>
        </w:rPr>
        <w:t xml:space="preserve">同时表明，离散温度误差闭环</w:t>
      </w:r>
      <w:r>
        <w:t xml:space="preserve"> PID </w:t>
      </w:r>
      <w:r>
        <w:rPr>
          <w:rFonts w:hint="eastAsia"/>
        </w:rPr>
        <w:t xml:space="preserve">与固定设定值</w:t>
      </w:r>
      <w:r>
        <w:t xml:space="preserve"> RBC </w:t>
      </w:r>
      <w:r>
        <w:rPr>
          <w:rFonts w:hint="eastAsia"/>
        </w:rPr>
        <w:t xml:space="preserve">在当前测试工况下的日均能耗分别为</w:t>
      </w:r>
      <w:r>
        <w:t xml:space="preserve"> 8486.90 </w:t>
      </w:r>
      <w:r>
        <w:rPr>
          <w:rFonts w:hint="eastAsia"/>
        </w:rPr>
        <w:t xml:space="preserve">与</w:t>
      </w:r>
      <w:r>
        <w:t xml:space="preserve"> 8548.72 </w:t>
      </w:r>
      <w:r>
        <w:rPr>
          <w:rFonts w:hint="eastAsia"/>
        </w:rPr>
        <w:t xml:space="preserve">kWh/day，均高于强化学习策略。PID</w:t>
      </w:r>
      <w:r>
        <w:t xml:space="preserve"> </w:t>
      </w:r>
      <w:r>
        <w:rPr>
          <w:rFonts w:hint="eastAsia"/>
        </w:rPr>
        <w:t xml:space="preserve">依赖高频误差反馈实现设定值跟踪，RBC</w:t>
      </w:r>
      <w:r>
        <w:t xml:space="preserve"> </w:t>
      </w:r>
      <w:r>
        <w:rPr>
          <w:rFonts w:hint="eastAsia"/>
        </w:rPr>
        <w:t xml:space="preserve">采用固定设定值控制且缺乏工况自适应能力。该对比说明，仅依赖固定规则或固定反馈频率难以在非平稳工况下同时兼顾能效与执行代价。</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2026-04-21T06:13:43Z</dcterms:created>
  <dcterms:modified xsi:type="dcterms:W3CDTF">2026-04-21T06:13:43Z</dcterms:modified>
</cp:coreProperties>
</file>

<file path=docProps/custom.xml><?xml version="1.0" encoding="utf-8"?>
<Properties xmlns="http://schemas.openxmlformats.org/officeDocument/2006/custom-properties" xmlns:vt="http://schemas.openxmlformats.org/officeDocument/2006/docPropsVTypes"/>
</file>