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1.svg" ContentType="image/svg+xml"/>
  <Override PartName="/word/media/rId16.svg" ContentType="image/svg+xml"/>
  <Override PartName="/word/media/rId24.svg" ContentType="image/svg+xml"/>
  <Override PartName="/word/media/rId27.svg" ContentType="image/svg+xml"/>
  <Override PartName="/word/media/rId36.svg" ContentType="image/svg+xml"/>
  <Override PartName="/word/media/rId39.svg" ContentType="image/svg+xml"/>
  <Override PartName="/word/media/rId42.svg" ContentType="image/svg+xml"/>
  <Override PartName="/word/media/rId45.svg" ContentType="image/svg+xml"/>
  <Override PartName="/word/media/rId4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4cee04bf2a246021ce4e654352c5fc897f90d4"/>
    <w:p>
      <w:pPr>
        <w:pStyle w:val="Heading1"/>
      </w:pPr>
      <w:r>
        <w:t xml:space="preserve">HVAC Predictive Control Method Based on Dynamic Event Triggering</w:t>
      </w:r>
    </w:p>
    <w:bookmarkEnd w:id="9"/>
    <w:bookmarkStart w:id="10" w:name="abstract"/>
    <w:p>
      <w:pPr>
        <w:pStyle w:val="Heading1"/>
      </w:pPr>
      <w:r>
        <w:t xml:space="preserve">Abstract</w:t>
      </w:r>
    </w:p>
    <w:p>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defined by expert experience and lack dynamic adaptability to long-term operating condition drift. To address these issues, we propose event-triggered predictive reinforcement learning with unsupervised dynamic event gating (ET-PRL), which reformulates event triggering as an online unsupervised anomaly detection problem. Specifically, a streaming isolation depth algorithm computes anomaly scores over multi-scale sliding windows, and a local-global two-layer adaptive threshold determines whether to trigger a control update, forming an adaptive gating module that is deeply coupled with a predictive DQN controller. When the gate triggers, the DQN generates a new chilled water supply temperature setpoint based on the current system state. Otherwise, the current setpoint is held. Experimental results show that, compared with the fixed-step baseline, the proposed method reduces action updates by 53.54%, achieves a 2.13% energy saving, and retains 94.41% of baseline performance, demonstrating robustness and practical deployability.</w:t>
      </w:r>
    </w:p>
    <w:bookmarkEnd w:id="10"/>
    <w:bookmarkStart w:id="14" w:name="introduction"/>
    <w:p>
      <w:pPr>
        <w:pStyle w:val="Heading1"/>
      </w:pPr>
      <w:r>
        <w:t xml:space="preserve">1. Introduction</w:t>
      </w:r>
    </w:p>
    <w:p>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2" name="Picture"/>
            <a:graphic>
              <a:graphicData uri="http://schemas.openxmlformats.org/drawingml/2006/picture">
                <pic:pic>
                  <pic:nvPicPr>
                    <pic:cNvPr descr="../pics/fig1_update_strategy_comparison.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t xml:space="preserve">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b/>
          <w:bCs/>
        </w:rPr>
        <w:t xml:space="preserve">Comprehensive experimental validation of effectiveness and robustness</w:t>
      </w:r>
      <w:r>
        <w:t xml:space="preserve">: Using 102 days of real chiller operation data, systematic comparisons, ablation and sensitivity studies show that the proposed method reduces action updates by 53.54%, achieves a 2.13% energy saving with average daily consumption reduced from 7491 to 7332 kWh/day, and retains 94.41% of baseline performance, demonstrating robustness and practical deployability.</w:t>
      </w:r>
    </w:p>
    <w:p>
      <w:pPr>
        <w:numPr>
          <w:ilvl w:val="0"/>
          <w:numId w:val="1001"/>
        </w:numPr>
      </w:pPr>
      <w:r>
        <w:rPr>
          <w:b/>
          <w:bCs/>
        </w:rPr>
        <w:t xml:space="preserve">Open source code and data</w:t>
      </w:r>
      <w:r>
        <w:t xml:space="preserve">: The code and data are publicly available at https://github.com/landfallbox/ET-PRL.git to support reproducible research.</w:t>
      </w:r>
    </w:p>
    <w:bookmarkEnd w:id="14"/>
    <w:bookmarkStart w:id="15" w:name="related-work"/>
    <w:p>
      <w:pPr>
        <w:pStyle w:val="Heading1"/>
      </w:pPr>
      <w:r>
        <w:t xml:space="preserve">2. Related Work</w:t>
      </w:r>
    </w:p>
    <w:p>
      <w:pPr>
        <w:pStyle w:val="FirstParagraph"/>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5"/>
    <w:bookmarkStart w:id="22" w:name="methodology"/>
    <w:p>
      <w:pPr>
        <w:pStyle w:val="Heading1"/>
      </w:pPr>
      <w:r>
        <w:t xml:space="preserve">3. Methodology</w:t>
      </w:r>
    </w:p>
    <w:p>
      <w:pPr>
        <w:pStyle w:val="FirstParagraph"/>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pPr>
        <w:pStyle w:val="CaptionedFigure"/>
      </w:pPr>
      <w:r>
        <w:drawing>
          <wp:inline>
            <wp:extent cx="5334000" cy="2000250"/>
            <wp:effectExtent b="0" l="0" r="0" t="0"/>
            <wp:docPr descr="Figure 2 Architecture of the proposed ET-PRL method, comprising offline training and model preparation (Step 1) and online streaming event detection and control (Step 2)" title="" id="17" name="Picture"/>
            <a:graphic>
              <a:graphicData uri="http://schemas.openxmlformats.org/drawingml/2006/picture">
                <pic:pic>
                  <pic:nvPicPr>
                    <pic:cNvPr descr="../pics/fig2.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2 Architecture of the proposed ET-PRL method, comprising offline training and model preparation (Step 1) and online streaming event detection and control (Step 2)</w:t>
      </w:r>
    </w:p>
    <w:p>
      <w:pPr>
        <w:pStyle w:val="BodyText"/>
      </w:pPr>
      <w:r>
        <w:t xml:space="preserve">Figure 2 presents the architecture of the proposed ET-PRL method, which comprises two stages: offline training and model preparation (Step 1), and online streaming event detection and control (Step 2).</w:t>
      </w:r>
    </w:p>
    <w:p>
      <w:pPr>
        <w:pStyle w:val="BodyText"/>
      </w:pPr>
      <w:r>
        <w:t xml:space="preserve">In Step 1, the raw operational data, including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and outdoor wet-bulb temperature</w:t>
      </w:r>
      <w:r>
        <w:t xml:space="preserve"> </w:t>
      </w:r>
      <m:oMath>
        <m:sSubSup>
          <m:e>
            <m:r>
              <m:t>T</m:t>
            </m:r>
          </m:e>
          <m:sub>
            <m:r>
              <m:rPr>
                <m:sty m:val="p"/>
              </m:rPr>
              <m:t>w</m:t>
            </m:r>
            <m:r>
              <m:rPr>
                <m:sty m:val="p"/>
              </m:rPr>
              <m:t>b</m:t>
            </m:r>
          </m:sub>
          <m:sup>
            <m:r>
              <m:t>t</m:t>
            </m:r>
          </m:sup>
        </m:sSubSup>
      </m:oMath>
      <w:r>
        <w:t xml:space="preserve">, are first used to train an LSTM that generates one-step-ahead load predictions</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The trained LSTM then provides</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as an input feature for the state builder to construct the predictive state</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rPr>
                <m:sty m:val="p"/>
              </m:rPr>
              <m:t>w</m:t>
            </m:r>
            <m:r>
              <m:rPr>
                <m:sty m:val="p"/>
              </m:rP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which is subsequently used to train the DQN policy network offline. Both models are frozen after training and deployed for online inference.</w:t>
      </w:r>
    </w:p>
    <w:p>
      <w:pPr>
        <w:pStyle w:val="BodyText"/>
      </w:pPr>
      <w:r>
        <w:t xml:space="preserve">In Step 2, the HVAC environment continuously supplies real-time measurements to the state builder, which assembles the predictive state</w:t>
      </w:r>
      <w:r>
        <w:t xml:space="preserve"> </w:t>
      </w:r>
      <m:oMath>
        <m:sSub>
          <m:e>
            <m:r>
              <m:t>s</m:t>
            </m:r>
          </m:e>
          <m:sub>
            <m:r>
              <m:t>t</m:t>
            </m:r>
          </m:sub>
        </m:sSub>
      </m:oMath>
      <w:r>
        <w:t xml:space="preserve"> </w:t>
      </w:r>
      <w:r>
        <w:t xml:space="preserve">at each sampling step. The online streaming gate operates through three cascaded modules to determine whether a control update is required. First, the multi-scale sliding window module maintains three reference windows of different lengths: a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with size</w:t>
      </w:r>
      <w:r>
        <w:t xml:space="preserve"> </w:t>
      </w:r>
      <m:oMath>
        <m:sSub>
          <m:e>
            <m:r>
              <m:t>n</m:t>
            </m:r>
          </m:e>
          <m:sub>
            <m:r>
              <m:t>s</m:t>
            </m:r>
          </m:sub>
        </m:sSub>
      </m:oMath>
      <w:r>
        <w:t xml:space="preserve"> </w:t>
      </w:r>
      <w:r>
        <w:t xml:space="preserve">for capturing high-frequency fluctuations, a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with size</w:t>
      </w:r>
      <w:r>
        <w:t xml:space="preserve"> </w:t>
      </w:r>
      <m:oMath>
        <m:sSub>
          <m:e>
            <m:r>
              <m:t>n</m:t>
            </m:r>
          </m:e>
          <m:sub>
            <m:r>
              <m:t>m</m:t>
            </m:r>
          </m:sub>
        </m:sSub>
      </m:oMath>
      <w:r>
        <w:t xml:space="preserve"> </w:t>
      </w:r>
      <w:r>
        <w:t xml:space="preserve">for representing intraday cycles, and a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with size</w:t>
      </w:r>
      <w:r>
        <w:t xml:space="preserve"> </w:t>
      </w:r>
      <m:oMath>
        <m:sSub>
          <m:e>
            <m:r>
              <m:t>n</m:t>
            </m:r>
          </m:e>
          <m:sub>
            <m:r>
              <m:t>l</m:t>
            </m:r>
          </m:sub>
        </m:sSub>
      </m:oMath>
      <w:r>
        <w:t xml:space="preserve"> </w:t>
      </w:r>
      <w:r>
        <w:t xml:space="preserve">for tracking seasonal drift. Second, the anomaly scoring module computes scale-specific anomaly scores by combining streaming statistics with a streaming isolation depth mechanism, and then fuses them into a composite anomaly score</w:t>
      </w:r>
      <w:r>
        <w:t xml:space="preserve"> </w:t>
      </w:r>
      <m:oMath>
        <m:r>
          <m:t>A</m:t>
        </m:r>
        <m:r>
          <m:rPr>
            <m:sty m:val="p"/>
          </m:rPr>
          <m:t>(</m:t>
        </m:r>
        <m:sSub>
          <m:e>
            <m:r>
              <m:t>s</m:t>
            </m:r>
          </m:e>
          <m:sub>
            <m:r>
              <m:t>t</m:t>
            </m:r>
          </m:sub>
        </m:sSub>
        <m:r>
          <m:rPr>
            <m:sty m:val="p"/>
          </m:rPr>
          <m:t>)</m:t>
        </m:r>
      </m:oMath>
      <w:r>
        <w:t xml:space="preserve"> </w:t>
      </w:r>
      <w:r>
        <w:t xml:space="preserve">through weighted aggregation. Third, the dynamic threshold module constructs a two-layer adaptive threshold</w:t>
      </w:r>
      <w:r>
        <w:t xml:space="preserve"> </w:t>
      </w:r>
      <m:oMath>
        <m:sSub>
          <m:e>
            <m:acc>
              <m:accPr>
                <m:chr m:val="̃"/>
              </m:accPr>
              <m:e>
                <m:r>
                  <m:t>τ</m:t>
                </m:r>
              </m:e>
            </m:acc>
          </m:e>
          <m:sub>
            <m:r>
              <m:t>t</m:t>
            </m:r>
          </m:sub>
        </m:sSub>
      </m:oMath>
      <w:r>
        <w:t xml:space="preserve"> </w:t>
      </w:r>
      <w:r>
        <w:t xml:space="preserve">by combining a quantile-based threshold</w:t>
      </w:r>
      <w:r>
        <w:t xml:space="preserve"> </w:t>
      </w:r>
      <m:oMath>
        <m:sSub>
          <m:e>
            <m:r>
              <m:t>τ</m:t>
            </m:r>
          </m:e>
          <m:sub>
            <m:r>
              <m:t>q</m:t>
            </m:r>
          </m:sub>
        </m:sSub>
      </m:oMath>
      <w:r>
        <w:t xml:space="preserve"> </w:t>
      </w:r>
      <w:r>
        <w:t xml:space="preserve">and a MAD-based threshold</w:t>
      </w:r>
      <w:r>
        <w:t xml:space="preserve"> </w:t>
      </w:r>
      <m:oMath>
        <m:sSub>
          <m:e>
            <m:r>
              <m:t>τ</m:t>
            </m:r>
          </m:e>
          <m:sub>
            <m:r>
              <m:rPr>
                <m:sty m:val="p"/>
              </m:rPr>
              <m:t>m</m:t>
            </m:r>
            <m:r>
              <m:rPr>
                <m:sty m:val="p"/>
              </m:rPr>
              <m:t>a</m:t>
            </m:r>
            <m:r>
              <m:rPr>
                <m:sty m:val="p"/>
              </m:rPr>
              <m:t>d</m:t>
            </m:r>
          </m:sub>
        </m:sSub>
      </m:oMath>
      <w:r>
        <w:t xml:space="preserve">, followed by local and global exponential smoothing to adapt to both short-term disturbances and long-term drift. The trigger rule evaluates two joint conditions: whether the anomaly score exceeds the adaptive threshold,</w:t>
      </w:r>
      <w:r>
        <w:t xml:space="preserve">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t xml:space="preserve">, and whether the minimum trigger interval has elapsed,</w:t>
      </w:r>
      <w:r>
        <w:t xml:space="preserve">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t xml:space="preserve">. When both conditions are satisfied, the DQN policy generates a new chilled water supply temperature setpoint</w:t>
      </w:r>
      <w:r>
        <w:t xml:space="preserve"> </w:t>
      </w:r>
      <m:oMath>
        <m:sSub>
          <m:e>
            <m:r>
              <m:t>a</m:t>
            </m:r>
          </m:e>
          <m:sub>
            <m:r>
              <m:t>t</m:t>
            </m:r>
          </m:sub>
        </m:sSub>
      </m:oMath>
      <w:r>
        <w:t xml:space="preserve">. Otherwise, a zero-order hold (ZOH) maintains the previous action</w:t>
      </w:r>
      <w:r>
        <w:t xml:space="preserve"> </w:t>
      </w:r>
      <m:oMath>
        <m:sSub>
          <m:e>
            <m:r>
              <m:t>a</m:t>
            </m:r>
          </m:e>
          <m:sub>
            <m:r>
              <m:t>t</m:t>
            </m:r>
            <m:r>
              <m:rPr>
                <m:sty m:val="p"/>
              </m:rPr>
              <m:t>−</m:t>
            </m:r>
            <m:r>
              <m:t>1</m:t>
            </m:r>
          </m:sub>
        </m:sSub>
      </m:oMath>
      <w:r>
        <w:t xml:space="preserve">. The selected action is executed in the HVAC environment, and the resulting reward</w:t>
      </w:r>
      <w:r>
        <w:t xml:space="preserve"> </w:t>
      </w:r>
      <m:oMath>
        <m:sSub>
          <m:e>
            <m:r>
              <m:t>r</m:t>
            </m:r>
          </m:e>
          <m:sub>
            <m:r>
              <m:t>t</m:t>
            </m:r>
          </m:sub>
        </m:sSub>
      </m:oMath>
      <w:r>
        <w:t xml:space="preserve"> </w:t>
      </w:r>
      <w:r>
        <w:t xml:space="preserve">is fed back to the DQN for policy improvement during any subsequent fine-tuning.</w:t>
      </w:r>
    </w:p>
    <w:bookmarkStart w:id="19" w:name="X9bb8af0081899262cc0b5b10d5c210e7c23309e"/>
    <w:p>
      <w:pPr>
        <w:pStyle w:val="Heading2"/>
      </w:pPr>
      <w:r>
        <w:t xml:space="preserve">3.1 Dynamic Event Triggering Design Based on Streaming Feature Tracking</w:t>
      </w:r>
    </w:p>
    <w:p>
      <w:pPr>
        <w:pStyle w:val="FirstParagraph"/>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Compact"/>
        <w:numPr>
          <w:ilvl w:val="0"/>
          <w:numId w:val="1002"/>
        </w:numPr>
      </w:pPr>
      <w:r>
        <w:t xml:space="preserve">Definition of System State Features</w:t>
      </w:r>
    </w:p>
    <w:p>
      <w:pPr>
        <w:pStyle w:val="FirstParagraph"/>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Compact"/>
        <w:numPr>
          <w:ilvl w:val="0"/>
          <w:numId w:val="1003"/>
        </w:numPr>
      </w:pPr>
      <w:r>
        <w:t xml:space="preserve">Streaming Isolation Depth and Multi-Scale Anomaly Tracking</w:t>
      </w:r>
    </w:p>
    <w:p>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Compact"/>
        <w:numPr>
          <w:ilvl w:val="0"/>
          <w:numId w:val="1004"/>
        </w:numPr>
      </w:pPr>
      <w:r>
        <w:t xml:space="preserve">Streaming Two-Layer Adaptive Threshold Optimization</w:t>
      </w:r>
    </w:p>
    <w:p>
      <w:pPr>
        <w:pStyle w:val="FirstParagraph"/>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9"/>
    <w:bookmarkStart w:id="20" w:name="X72a0f757d4b8bffff2d7dfe5703d413c5eb2231"/>
    <w:p>
      <w:pPr>
        <w:pStyle w:val="Heading2"/>
      </w:pPr>
      <w:r>
        <w:t xml:space="preserve">3.2 Online Streaming Event Gating Module Construction</w:t>
      </w:r>
    </w:p>
    <w:p>
      <w:pPr>
        <w:pStyle w:val="FirstParagraph"/>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20"/>
    <w:bookmarkStart w:id="21" w:name="Xaa88b99c3d00dddb9ea1ca418f985e9eb87907f"/>
    <w:p>
      <w:pPr>
        <w:pStyle w:val="Heading2"/>
      </w:pPr>
      <w:r>
        <w:t xml:space="preserve">3.3 Predictive RL Control Algorithm with Dynamic Event Triggering</w:t>
      </w:r>
    </w:p>
    <w:p>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Compact"/>
        <w:numPr>
          <w:ilvl w:val="0"/>
          <w:numId w:val="1005"/>
        </w:numPr>
      </w:pPr>
      <w:r>
        <w:t xml:space="preserve">Task formulation and problem definition</w:t>
      </w:r>
    </w:p>
    <w:p>
      <w:pPr>
        <w:pStyle w:val="FirstParagraph"/>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Compact"/>
        <w:numPr>
          <w:ilvl w:val="0"/>
          <w:numId w:val="1006"/>
        </w:numPr>
      </w:pPr>
      <w:r>
        <w:t xml:space="preserve">Predictive DQN network architecture and training procedure</w:t>
      </w:r>
    </w:p>
    <w:p>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Compact"/>
        <w:numPr>
          <w:ilvl w:val="0"/>
          <w:numId w:val="1007"/>
        </w:numPr>
      </w:pPr>
      <w:r>
        <w:t xml:space="preserve">Event-driven online execution algorithm</w:t>
      </w:r>
    </w:p>
    <w:p>
      <w:pPr>
        <w:pStyle w:val="FirstParagraph"/>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21"/>
    <w:bookmarkEnd w:id="22"/>
    <w:bookmarkStart w:id="31" w:name="case-system-and-simulation-environment"/>
    <w:p>
      <w:pPr>
        <w:pStyle w:val="Heading1"/>
      </w:pPr>
      <w:r>
        <w:t xml:space="preserve">4. Case System and Simulation Environment</w:t>
      </w:r>
    </w:p>
    <w:bookmarkStart w:id="23" w:name="building-thermal-system-modeling"/>
    <w:p>
      <w:pPr>
        <w:pStyle w:val="Heading2"/>
      </w:pPr>
      <w:r>
        <w:t xml:space="preserve">4.1 Building Thermal System Modeling</w:t>
      </w:r>
    </w:p>
    <w:p>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in Appendix A, where the coefficient of performance, COP, is defined as the ratio of cooling capacity to input power.</w:t>
      </w:r>
    </w:p>
    <w:bookmarkEnd w:id="23"/>
    <w:bookmarkStart w:id="30" w:name="weather-and-load-dataset-characteristics"/>
    <w:p>
      <w:pPr>
        <w:pStyle w:val="Heading2"/>
      </w:pPr>
      <w:r>
        <w:t xml:space="preserve">4.2 Weather and Load Dataset Characteristics</w:t>
      </w:r>
    </w:p>
    <w:p>
      <w:pPr>
        <w:pStyle w:val="FirstParagraph"/>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Figure 3 Visualization of dataset temporal characteristics, full period sequence and intraday statistical profiles" title="" id="25" name="Picture"/>
            <a:graphic>
              <a:graphicData uri="http://schemas.openxmlformats.org/drawingml/2006/picture">
                <pic:pic>
                  <pic:nvPicPr>
                    <pic:cNvPr descr="../pics/fig3_dataset_temporal_characteristics.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t xml:space="preserve">Figure 3 Visualization of dataset temporal characteristics, full period sequence and intraday statistical profiles</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Figure 4 Visualization of dataset distributions and feature dependence" title="" id="28" name="Picture"/>
            <a:graphic>
              <a:graphicData uri="http://schemas.openxmlformats.org/drawingml/2006/picture">
                <pic:pic>
                  <pic:nvPicPr>
                    <pic:cNvPr descr="../pics/fig4_dataset_distribution_and_correlation.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t xml:space="preserve">Figure 4 Visualization of dataset distributions and feature dependence</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30"/>
    <w:bookmarkEnd w:id="31"/>
    <w:bookmarkStart w:id="52" w:name="experiments-and-results"/>
    <w:p>
      <w:pPr>
        <w:pStyle w:val="Heading1"/>
      </w:pPr>
      <w:r>
        <w:t xml:space="preserve">5. Experiments and Results</w:t>
      </w:r>
    </w:p>
    <w:bookmarkStart w:id="35" w:name="experimental-setup"/>
    <w:p>
      <w:pPr>
        <w:pStyle w:val="Heading2"/>
      </w:pPr>
      <w:r>
        <w:t xml:space="preserve">5.1 Experimental Setup</w:t>
      </w:r>
    </w:p>
    <w:bookmarkStart w:id="32" w:name="experimental-and-hyperparameter-settings"/>
    <w:p>
      <w:pPr>
        <w:pStyle w:val="Heading3"/>
      </w:pPr>
      <w:r>
        <w:t xml:space="preserve">5.1.1 Experimental and Hyperparameter Settings</w:t>
      </w:r>
    </w:p>
    <w:p>
      <w:pPr>
        <w:pStyle w:val="FirstParagraph"/>
      </w:pPr>
      <w:r>
        <w:t xml:space="preserve">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bookmarkEnd w:id="32"/>
    <w:bookmarkStart w:id="33" w:name="comparison-methods"/>
    <w:p>
      <w:pPr>
        <w:pStyle w:val="Heading3"/>
      </w:pPr>
      <w:r>
        <w:t xml:space="preserve">5.1.2 Comparison Methods</w:t>
      </w:r>
    </w:p>
    <w:p>
      <w:pPr>
        <w:pStyle w:val="FirstParagraph"/>
      </w:pPr>
      <w:r>
        <w:t xml:space="preserve">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pPr>
        <w:pStyle w:val="BodyText"/>
      </w:pPr>
      <w:r>
        <w:t xml:space="preserve">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pPr>
        <w:pStyle w:val="BodyText"/>
      </w:pPr>
      <w:r>
        <w:t xml:space="preserve">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bookmarkEnd w:id="33"/>
    <w:bookmarkStart w:id="34" w:name="evaluation-metrics"/>
    <w:p>
      <w:pPr>
        <w:pStyle w:val="Heading3"/>
      </w:pPr>
      <w:r>
        <w:t xml:space="preserve">5.1.3 Evaluation Metrics</w:t>
      </w:r>
    </w:p>
    <w:p>
      <w:pPr>
        <w:pStyle w:val="FirstParagraph"/>
      </w:pPr>
      <w:r>
        <w:t xml:space="preserve">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pPr>
        <w:pStyle w:val="Compact"/>
        <w:numPr>
          <w:ilvl w:val="0"/>
          <w:numId w:val="1008"/>
        </w:numPr>
      </w:pPr>
      <w:r>
        <w:t xml:space="preserve">Energy efficiency metrics</w:t>
      </w:r>
    </w:p>
    <w:p>
      <w:pPr>
        <w:pStyle w:val="FirstParagraph"/>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9"/>
        </w:numPr>
      </w:pPr>
      <w:r>
        <w:t xml:space="preserve">Temperature control and stability metrics</w:t>
      </w:r>
    </w:p>
    <w:p>
      <w:pPr>
        <w:pStyle w:val="FirstParagraph"/>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10"/>
        </w:numPr>
      </w:pPr>
      <w:r>
        <w:t xml:space="preserve">Control sparsity metrics</w:t>
      </w:r>
    </w:p>
    <w:p>
      <w:pPr>
        <w:pStyle w:val="FirstParagraph"/>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11"/>
        </w:numPr>
      </w:pPr>
      <w:r>
        <w:t xml:space="preserve">Execution level statistics</w:t>
      </w:r>
    </w:p>
    <w:p>
      <w:pPr>
        <w:pStyle w:val="FirstParagraph"/>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t xml:space="preserve">The evaluation metrics and optimization objectives are summarized in Table A3 in Appendix A.</w:t>
      </w:r>
    </w:p>
    <w:bookmarkEnd w:id="34"/>
    <w:bookmarkEnd w:id="35"/>
    <w:bookmarkStart w:id="51" w:name="experimental-results-analysis"/>
    <w:p>
      <w:pPr>
        <w:pStyle w:val="Heading2"/>
      </w:pPr>
      <w:r>
        <w:t xml:space="preserve">5.2 Experimental Results Analysis</w:t>
      </w:r>
    </w:p>
    <w:p>
      <w:pPr>
        <w:pStyle w:val="Compact"/>
        <w:numPr>
          <w:ilvl w:val="0"/>
          <w:numId w:val="1012"/>
        </w:numPr>
      </w:pPr>
      <w:r>
        <w:t xml:space="preserve">Overall Performance Analysis</w:t>
      </w:r>
    </w:p>
    <w:p>
      <w:pPr>
        <w:pStyle w:val="FirstParagraph"/>
      </w:pPr>
      <w:r>
        <w:t xml:space="preserve">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53.54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94.41</w:t>
            </w:r>
          </w:p>
        </w:tc>
      </w:tr>
    </w:tbl>
    <w:p>
      <w:pPr>
        <w:pStyle w:val="BodyText"/>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t xml:space="preserve">For the reward,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Compact"/>
        <w:numPr>
          <w:ilvl w:val="0"/>
          <w:numId w:val="1013"/>
        </w:numPr>
      </w:pPr>
      <w:r>
        <w:t xml:space="preserve">Chilled Water Supply Temperature Setpoint Strategy Behavior Analysis</w:t>
      </w:r>
    </w:p>
    <w:p>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pPr>
        <w:pStyle w:val="CaptionedFigure"/>
      </w:pPr>
      <w:r>
        <w:drawing>
          <wp:inline>
            <wp:extent cx="5334000" cy="3230339"/>
            <wp:effectExtent b="0" l="0" r="0" t="0"/>
            <wp:docPr descr="Figure 5 Comparison of the T_{\mathrm{chws}} window distributions for ET-PRL, TTC-RL-1, and ST-ETC. Each bar represents the action proportion within a 10 h window" title="" id="37" name="Picture"/>
            <a:graphic>
              <a:graphicData uri="http://schemas.openxmlformats.org/drawingml/2006/picture">
                <pic:pic>
                  <pic:nvPicPr>
                    <pic:cNvPr descr="../pics/fig6_t_chws_macro_distribution.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3230339"/>
            <wp:effectExtent b="0" l="0" r="0" t="0"/>
            <wp:docPr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40" name="Picture"/>
            <a:graphic>
              <a:graphicData uri="http://schemas.openxmlformats.org/drawingml/2006/picture">
                <pic:pic>
                  <pic:nvPicPr>
                    <pic:cNvPr descr="../pics/fig7_t_chws_delta_analysis.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Compact"/>
        <w:numPr>
          <w:ilvl w:val="0"/>
          <w:numId w:val="1014"/>
        </w:numPr>
      </w:pPr>
      <w:r>
        <w:t xml:space="preserve">Event Triggered Control Sparsity and Temporal Dynamics Analysis</w:t>
      </w:r>
    </w:p>
    <w:p>
      <w:pPr>
        <w:pStyle w:val="FirstParagraph"/>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Trigger Interval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Action Holding Length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95th percentile</w:t>
            </w:r>
            <w:r>
              <w:rPr>
                <w:b/>
                <w:bCs/>
              </w:rPr>
              <w:t xml:space="preserve"> </w:t>
            </w:r>
            <m:oMath>
              <m:sSub>
                <m:e>
                  <m:r>
                    <m:t>P</m:t>
                  </m:r>
                </m:e>
                <m:sub>
                  <m:r>
                    <m:t>95</m:t>
                  </m:r>
                </m:sub>
              </m:sSub>
            </m:oMath>
            <w:r>
              <w:rPr>
                <w:b/>
                <w:bCs/>
              </w:rPr>
              <w:t xml:space="preserve"> </w:t>
            </w:r>
            <w:r>
              <w:rPr>
                <w:b/>
                <w:bCs/>
              </w:rP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275.25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42.9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220.31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2.117</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127.88</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11.56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57.0</w:t>
            </w:r>
          </w:p>
        </w:tc>
      </w:tr>
    </w:tbl>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230339"/>
            <wp:effectExtent b="0" l="0" r="0" t="0"/>
            <wp:docPr descr="Figure 7 Distribution of action update intervals under different control strategies. The main panel shows the share of each discrete bin, and the inset enlarges the long tail region" title="" id="43" name="Picture"/>
            <a:graphic>
              <a:graphicData uri="http://schemas.openxmlformats.org/drawingml/2006/picture">
                <pic:pic>
                  <pic:nvPicPr>
                    <pic:cNvPr descr="../pics/fig8_action_update_interval_distribution.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7 Distribution of action update intervals under different control strategies. The main panel shows the share of each discrete bin, and the inset enlarges the long tail region</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Figure 8 Alignment of daily load variation and trigger times on day 5 with 5 min sampling. Panel a shows the cooling load curve, panel b shows the trigger pulse raster of ET-PRL, ST-ETC, and TTC-RL-1, and the shaded band across panels indicates a typical high variation period" title="" id="46" name="Picture"/>
            <a:graphic>
              <a:graphicData uri="http://schemas.openxmlformats.org/drawingml/2006/picture">
                <pic:pic>
                  <pic:nvPicPr>
                    <pic:cNvPr descr="../pics/fig9_trigger_load_alignment.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Compact"/>
        <w:numPr>
          <w:ilvl w:val="0"/>
          <w:numId w:val="1015"/>
        </w:numPr>
      </w:pPr>
      <w:r>
        <w:t xml:space="preserve">Ablation Study Analysis</w:t>
      </w:r>
    </w:p>
    <w:p>
      <w:pPr>
        <w:pStyle w:val="FirstParagraph"/>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94.41%</w:t>
            </w:r>
          </w:p>
        </w:tc>
      </w:tr>
    </w:tbl>
    <w:p>
      <w:pPr>
        <w:pStyle w:val="CaptionedFigure"/>
      </w:pPr>
      <w:r>
        <w:drawing>
          <wp:inline>
            <wp:extent cx="5334000" cy="3230339"/>
            <wp:effectExtent b="0" l="0" r="0" t="0"/>
            <wp:docPr descr="Figure 9 Scatter plot of ablation strategies under the tradeoff among energy consumption, performance, and sparsity. The x axis indicates average daily energy consumption, the y axis indicates PPR, color encodes ACR, and text labels identify each ablation strategy" title="" id="49" name="Picture"/>
            <a:graphic>
              <a:graphicData uri="http://schemas.openxmlformats.org/drawingml/2006/picture">
                <pic:pic>
                  <pic:nvPicPr>
                    <pic:cNvPr descr="../pics/fig10_ablation_pareto_scatter.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pPr>
        <w:pStyle w:val="Compact"/>
        <w:numPr>
          <w:ilvl w:val="0"/>
          <w:numId w:val="1016"/>
        </w:numPr>
      </w:pPr>
      <w:r>
        <w:t xml:space="preserve">Parameter Sensitivity Analysis</w:t>
      </w:r>
    </w:p>
    <w:p>
      <w:pPr>
        <w:pStyle w:val="FirstParagraph"/>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17"/>
        </w:numPr>
      </w:pPr>
      <w:r>
        <w:t xml:space="preserve">Quantile Level</w:t>
      </w:r>
      <w:r>
        <w:t xml:space="preserve"> </w:t>
      </w:r>
      <m:oMath>
        <m:r>
          <m:t>q</m:t>
        </m:r>
      </m:oMath>
    </w:p>
    <w:p>
      <w:pPr>
        <w:pStyle w:val="FirstParagraph"/>
      </w:pPr>
      <w:r>
        <w:rPr>
          <w:b/>
          <w:bCs/>
        </w:rPr>
        <w:t xml:space="preserve">Table 3</w:t>
      </w:r>
      <w:r>
        <w:t xml:space="preserve"> </w:t>
      </w:r>
      <w:r>
        <w:t xml:space="preserve">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3,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18"/>
        </w:numPr>
      </w:pPr>
      <w:r>
        <w:t xml:space="preserve">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b/>
          <w:bCs/>
        </w:rPr>
        <w:t xml:space="preserve">Table 4</w:t>
      </w:r>
      <w:r>
        <w:t xml:space="preserve"> </w:t>
      </w:r>
      <w:r>
        <w:t xml:space="preserve">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7638.46</w:t>
            </w:r>
          </w:p>
        </w:tc>
      </w:tr>
    </w:tbl>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4,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of</w:t>
      </w:r>
      <w:r>
        <w:t xml:space="preserve"> </w:t>
      </w:r>
      <m:oMath>
        <m:sSub>
          <m:e>
            <m:r>
              <m:t>b</m:t>
            </m:r>
          </m:e>
          <m:sub>
            <m:r>
              <m:rPr>
                <m:sty m:val="p"/>
              </m:rPr>
              <m:t>b</m:t>
            </m:r>
            <m:r>
              <m:rPr>
                <m:sty m:val="p"/>
              </m:rPr>
              <m:t>i</m:t>
            </m:r>
            <m:r>
              <m:rPr>
                <m:sty m:val="p"/>
              </m:rPr>
              <m:t>a</m:t>
            </m:r>
            <m:r>
              <m:rPr>
                <m:sty m:val="p"/>
              </m:rPr>
              <m:t>s</m:t>
            </m:r>
          </m:sub>
        </m:sSub>
      </m:oMath>
      <w:r>
        <w:t xml:space="preserve"> </w:t>
      </w:r>
      <w:r>
        <w:t xml:space="preserve">can substantially improve reward, but an overly high value maintains high energy consumption while providing limited additional benefit.</w:t>
      </w:r>
    </w:p>
    <w:p>
      <w:pPr>
        <w:pStyle w:val="Compact"/>
        <w:numPr>
          <w:ilvl w:val="0"/>
          <w:numId w:val="1019"/>
        </w:numPr>
      </w:pPr>
      <w:r>
        <w:t xml:space="preserve">Hysteresis Margin</w:t>
      </w:r>
      <w:r>
        <w:t xml:space="preserve"> </w:t>
      </w:r>
      <m:oMath>
        <m:sSub>
          <m:e>
            <m:r>
              <m:t>m</m:t>
            </m:r>
          </m:e>
          <m:sub>
            <m:r>
              <m:rPr>
                <m:sty m:val="p"/>
              </m:rPr>
              <m:t>h</m:t>
            </m:r>
            <m:r>
              <m:rPr>
                <m:sty m:val="p"/>
              </m:rPr>
              <m:t>y</m:t>
            </m:r>
            <m:r>
              <m:rPr>
                <m:sty m:val="p"/>
              </m:rPr>
              <m:t>s</m:t>
            </m:r>
          </m:sub>
        </m:sSub>
      </m:oMath>
    </w:p>
    <w:p>
      <w:pPr>
        <w:pStyle w:val="FirstParagraph"/>
      </w:pPr>
      <w:r>
        <w:rPr>
          <w:b/>
          <w:bCs/>
        </w:rPr>
        <w:t xml:space="preserve">Table 5</w:t>
      </w:r>
      <w:r>
        <w:t xml:space="preserve"> </w:t>
      </w:r>
      <w:r>
        <w:t xml:space="preserve">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bl>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5,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20"/>
        </w:numPr>
      </w:pPr>
      <w:r>
        <w:t xml:space="preserve">Local Window Length</w:t>
      </w:r>
      <w:r>
        <w:t xml:space="preserve"> </w:t>
      </w:r>
      <m:oMath>
        <m:r>
          <m:t>W</m:t>
        </m:r>
      </m:oMath>
    </w:p>
    <w:p>
      <w:pPr>
        <w:pStyle w:val="FirstParagraph"/>
      </w:pPr>
      <w:r>
        <w:rPr>
          <w:b/>
          <w:bCs/>
        </w:rPr>
        <w:t xml:space="preserve">Table 6</w:t>
      </w:r>
      <w:r>
        <w:t xml:space="preserve"> </w:t>
      </w:r>
      <w:r>
        <w:t xml:space="preserve">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6157.48</w:t>
            </w:r>
          </w:p>
        </w:tc>
      </w:tr>
    </w:tbl>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6, under the window setting</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0.85 to 1.83, energy consumption decreases to 5971.89 to 7115.59 kWh/day, and the reward becomes lower than under the short window setting.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21"/>
        </w:numPr>
      </w:pPr>
      <w:r>
        <w:t xml:space="preserve">Short Scale Weight</w:t>
      </w:r>
      <w:r>
        <w:t xml:space="preserve"> </w:t>
      </w:r>
      <m:oMath>
        <m:sSub>
          <m:e>
            <m:r>
              <m:t>w</m:t>
            </m:r>
          </m:e>
          <m:sub>
            <m:r>
              <m:t>s</m:t>
            </m:r>
          </m:sub>
        </m:sSub>
      </m:oMath>
    </w:p>
    <w:p>
      <w:pPr>
        <w:pStyle w:val="FirstParagraph"/>
      </w:pPr>
      <w:r>
        <w:rPr>
          <w:b/>
          <w:bCs/>
        </w:rPr>
        <w:t xml:space="preserve">Table 7</w:t>
      </w:r>
      <w:r>
        <w:t xml:space="preserve"> </w:t>
      </w:r>
      <w:r>
        <w:t xml:space="preserve">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7806.51</w:t>
            </w:r>
          </w:p>
        </w:tc>
      </w:tr>
    </w:tbl>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7,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51"/>
    <w:bookmarkEnd w:id="52"/>
    <w:bookmarkStart w:id="53" w:name="conclusion"/>
    <w:p>
      <w:pPr>
        <w:pStyle w:val="Heading1"/>
      </w:pPr>
      <w:r>
        <w:t xml:space="preserve">6. Conclusion</w:t>
      </w:r>
    </w:p>
    <w:p>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demonstrating its ability to achieve an effective trade-off between control accuracy and execution cost. The multi-scale fusion weights and adaptive threshold parameters of the proposed ET-PRL method are currently determined through offline Bayesian optimization. Future work could incorporate these parameters into an end-to-end training framework for joint optimization with the reinforcement learning policy, enabling the gating trigger boundary to update alongside policy evolution and reducing manual effort in offline tuning. In addition, since our current experiments are based on a single chiller scenario, we could extend the proposed method to cooling source systems with multiple chillers operating in parallel by introducing distributed or hierarchical event-triggering mechanisms across units, allowing each chiller to independently decide its control update timing based on its own load conditions, thereby reducing total system computational overhead while maintaining overall energy efficiency.</w:t>
      </w:r>
    </w:p>
    <w:bookmarkEnd w:id="53"/>
    <w:bookmarkStart w:id="54" w:name="appendix-a-supplementary-tables"/>
    <w:p>
      <w:pPr>
        <w:pStyle w:val="Heading1"/>
      </w:pPr>
      <w:r>
        <w:t xml:space="preserve">Appendix A: Supplementary Tables</w:t>
      </w:r>
    </w:p>
    <w:p>
      <w:pPr>
        <w:pStyle w:val="FirstParagraph"/>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power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cooling capacity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flow rate (</w:t>
            </w:r>
            <m:oMath>
              <m:sSup>
                <m:e>
                  <m:r>
                    <m:rPr>
                      <m:sty m:val="p"/>
                    </m:rPr>
                    <m:t>m</m:t>
                  </m:r>
                </m:e>
                <m:sup>
                  <m:r>
                    <m:rPr>
                      <m:sty m:val="p"/>
                    </m:rPr>
                    <m:t>3</m:t>
                  </m:r>
                </m:sup>
              </m:sSup>
              <m:r>
                <m:rPr>
                  <m:sty m:val="p"/>
                </m:rPr>
                <m:t>/</m:t>
              </m:r>
              <m:r>
                <m:rPr>
                  <m:sty m:val="p"/>
                </m:rPr>
                <m:t>h</m:t>
              </m:r>
            </m:oMath>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range is</w:t>
            </w:r>
            <w:r>
              <w:t xml:space="preserve"> </w:t>
            </w:r>
            <m:oMath>
              <m:r>
                <m:rPr>
                  <m:sty m:val="p"/>
                </m:rPr>
                <m:t>[</m:t>
              </m:r>
              <m:r>
                <m:t>6</m:t>
              </m:r>
              <m:r>
                <m:rPr>
                  <m:sty m:val="p"/>
                </m:rPr>
                <m:t>,</m:t>
              </m:r>
              <m:r>
                <m:t>15</m:t>
              </m:r>
              <m:r>
                <m:rPr>
                  <m:sty m:val="p"/>
                </m:rPr>
                <m:t>]</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0.9620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0.0045</m:t>
              </m:r>
              <m:r>
                <m:rPr>
                  <m:sty m:val="p"/>
                </m:rPr>
                <m:t>,</m:t>
              </m:r>
              <m:r>
                <m:t>0.6109</m:t>
              </m:r>
              <m:r>
                <m:rPr>
                  <m:sty m:val="p"/>
                </m:rPr>
                <m:t>]</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0.5957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0.6750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0.0431</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0.6675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1.1353</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0.5750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0.0218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0.5500</m:t>
              </m:r>
              <m:r>
                <m:rPr>
                  <m:sty m:val="p"/>
                </m:rPr>
                <m:t>,</m:t>
              </m:r>
              <m:r>
                <m:t>0.2750</m:t>
              </m:r>
              <m:r>
                <m:rPr>
                  <m:sty m:val="p"/>
                </m:rPr>
                <m:t>,</m:t>
              </m:r>
              <m:r>
                <m:t>0.1750</m:t>
              </m:r>
            </m:oMath>
          </w:p>
        </w:tc>
      </w:tr>
    </w:tbl>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Category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Unit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Goal</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Energy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daily energy consumption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Relative energy saving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chiller power</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Temperature control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smoothness</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preservation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Control sparsity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Total action updates</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Actuation compression ratio</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reduction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Trigger interval</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Hold length</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Execution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Cumulative test reward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reward per update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4"/>
    <w:bookmarkStart w:id="55"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svg"/><Relationship Id="rId11" Type="http://schemas.openxmlformats.org/officeDocument/2006/relationships/image" Target="media/rId11.svg"/><Relationship Id="rId16" Type="http://schemas.openxmlformats.org/officeDocument/2006/relationships/image" Target="media/rId16.svg"/><Relationship Id="rId24" Type="http://schemas.openxmlformats.org/officeDocument/2006/relationships/image" Target="media/rId24.svg"/><Relationship Id="rId27" Type="http://schemas.openxmlformats.org/officeDocument/2006/relationships/image" Target="media/rId27.svg"/><Relationship Id="rId36" Type="http://schemas.openxmlformats.org/officeDocument/2006/relationships/image" Target="media/rId36.svg"/><Relationship Id="rId39" Type="http://schemas.openxmlformats.org/officeDocument/2006/relationships/image" Target="media/rId39.svg"/><Relationship Id="rId42" Type="http://schemas.openxmlformats.org/officeDocument/2006/relationships/image" Target="media/rId42.svg"/><Relationship Id="rId45" Type="http://schemas.openxmlformats.org/officeDocument/2006/relationships/image" Target="media/rId4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2026-06-25T06:03:22Z</dcterms:created>
  <dcterms:modified xsi:type="dcterms:W3CDTF">2026-06-25T06:03:22Z</dcterms:modified>
</cp:coreProperties>
</file>

<file path=docProps/custom.xml><?xml version="1.0" encoding="utf-8"?>
<Properties xmlns="http://schemas.openxmlformats.org/officeDocument/2006/custom-properties" xmlns:vt="http://schemas.openxmlformats.org/officeDocument/2006/docPropsVTypes"/>
</file>