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0.svg" ContentType="image/svg+xml"/>
  <Override PartName="/word/media/rId20.svg" ContentType="image/svg+xml"/>
  <Override PartName="/word/media/rId23.svg" ContentType="image/svg+xml"/>
  <Override PartName="/word/media/rId31.svg" ContentType="image/svg+xml"/>
  <Override PartName="/word/media/rId34.svg" ContentType="image/svg+xml"/>
  <Override PartName="/word/media/rId37.svg" ContentType="image/svg+xml"/>
  <Override PartName="/word/media/rId40.svg" ContentType="image/svg+xml"/>
  <Override PartName="/word/media/rId4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b0bc7f40d0a06fea82d73f5c490066b2d76f6f"/>
    <w:p>
      <w:pPr>
        <w:pStyle w:val="Heading1"/>
      </w:pPr>
      <w:r>
        <w:rPr>
          <w:rFonts w:hint="eastAsia"/>
        </w:rPr>
        <w:t xml:space="preserve">基于动态事件触发的</w:t>
      </w:r>
      <w:r>
        <w:t xml:space="preserve"> HVAC </w:t>
      </w:r>
      <w:r>
        <w:rPr>
          <w:rFonts w:hint="eastAsia"/>
        </w:rPr>
        <w:t xml:space="preserve">强化学习预测控制方法</w:t>
      </w:r>
      <w:r>
        <w:t xml:space="preserve"> / HVAC Predictive Control Method Based on Dynamic Event Triggering</w:t>
      </w:r>
    </w:p>
    <w:bookmarkEnd w:id="9"/>
    <w:bookmarkStart w:id="13" w:name="引言-introduction"/>
    <w:p>
      <w:pPr>
        <w:pStyle w:val="Heading1"/>
      </w:pPr>
      <w:r>
        <w:t xml:space="preserve">1. </w:t>
      </w:r>
      <w:r>
        <w:rPr>
          <w:rFonts w:hint="eastAsia"/>
        </w:rPr>
        <w:t xml:space="preserve">引言</w:t>
      </w:r>
      <w:r>
        <w:t xml:space="preserve"> / Introduction</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以上，其中供暖、通风与空调（HVAC）系统不仅占据了建筑整体能耗的约</w:t>
      </w:r>
      <w:r>
        <w:t xml:space="preserve"> </w:t>
      </w:r>
      <w:r>
        <w:rPr>
          <w:rFonts w:hint="eastAsia"/>
        </w:rPr>
        <w:t xml:space="preserve">50%，也是电力需求侧响应的关键调节资源</w:t>
      </w:r>
      <w:r>
        <w:t xml:space="preserve"> </w:t>
      </w:r>
      <w:r>
        <w:rPr>
          <w:rFonts w:hint="eastAsia"/>
        </w:rPr>
        <w:t xml:space="preserve">[1]。在中央空调系统中，冷水机组作为核心耗能部件，其运行效率直接决定了系统的整体性能。然而，实际工程中的</w:t>
      </w:r>
      <w:r>
        <w:t xml:space="preserve"> HVAC </w:t>
      </w:r>
      <w:r>
        <w:rPr>
          <w:rFonts w:hint="eastAsia"/>
        </w:rPr>
        <w:t xml:space="preserve">控制面临着严峻挑战：建筑热负荷受室外气象条件、室内人员流动及设备散热等多重动态因素的耦合影响，系统具有高度的非线性、时变性及大惯性滞后特征</w:t>
      </w:r>
      <w:r>
        <w:t xml:space="preserve"> [2]。</w:t>
      </w:r>
    </w:p>
    <w:p>
      <w:pPr>
        <w:pStyle w:val="BodyText"/>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控制领域展现出广阔的应用前景。DRL</w:t>
      </w:r>
      <w:r>
        <w:t xml:space="preserve"> </w:t>
      </w:r>
      <w:r>
        <w:rPr>
          <w:rFonts w:hint="eastAsia"/>
        </w:rPr>
        <w:t xml:space="preserve">能够通过与复杂时变环境的直接交互，自主学习并适应非线性工况</w:t>
      </w:r>
      <w:r>
        <w:t xml:space="preserve"> </w:t>
      </w:r>
      <w:r>
        <w:rPr>
          <w:rFonts w:hint="eastAsia"/>
        </w:rPr>
        <w:t xml:space="preserve">[3]；结合时序特征的预测型</w:t>
      </w:r>
      <w:r>
        <w:t xml:space="preserve"> DRL </w:t>
      </w:r>
      <w:r>
        <w:rPr>
          <w:rFonts w:hint="eastAsia"/>
        </w:rPr>
        <w:t xml:space="preserve">进一步提升了智能体的前瞻预测能力，有效缓解了建筑大热惯性带来的控制滞后</w:t>
      </w:r>
      <w:r>
        <w:t xml:space="preserve"> </w:t>
      </w:r>
      <w:r>
        <w:rPr>
          <w:rFonts w:hint="eastAsia"/>
        </w:rPr>
        <w:t xml:space="preserve">[4]。然而，现有</w:t>
      </w:r>
      <w:r>
        <w:t xml:space="preserve"> DRL </w:t>
      </w:r>
      <w:r>
        <w:rPr>
          <w:rFonts w:hint="eastAsia"/>
        </w:rPr>
        <w:t xml:space="preserve">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w:t>
      </w:r>
      <w:r>
        <w:t xml:space="preserve"> </w:t>
      </w:r>
      <w:r>
        <w:rPr>
          <w:rFonts w:hint="eastAsia"/>
        </w:rPr>
        <w:t xml:space="preserve">[5]。这种固定频率驱动方式导致了响应速度与控制代价之间的固有矛盾：高频控制虽能迅速响应环境扰动，却会带来显著的计算开销与执行器机械磨损；低频控制虽能降低硬件损耗，却易造成控温精度下降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[6]。</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pPr>
        <w:pStyle w:val="BodyText"/>
      </w:pPr>
      <w:r>
        <w:rPr>
          <w:rFonts w:hint="eastAsia"/>
        </w:rPr>
        <w:t xml:space="preserve">为缓解</w:t>
      </w:r>
      <w:r>
        <w:t xml:space="preserve"> TTC </w:t>
      </w:r>
      <w:r>
        <w:rPr>
          <w:rFonts w:hint="eastAsia"/>
        </w:rPr>
        <w:t xml:space="preserve">范式带来的计算冗余与设备磨损问题，事件驱动控制（Event-Triggered</w:t>
      </w:r>
      <w:r>
        <w:t xml:space="preserve"> Control, </w:t>
      </w:r>
      <w:r>
        <w:rPr>
          <w:rFonts w:hint="eastAsia"/>
        </w:rPr>
        <w:t xml:space="preserve">ETC）机制应运而生</w:t>
      </w:r>
      <w:r>
        <w:t xml:space="preserve"> [7]。ETC </w:t>
      </w:r>
      <w:r>
        <w:rPr>
          <w:rFonts w:hint="eastAsia"/>
        </w:rPr>
        <w:t xml:space="preserve">基于按需决策理念，仅在系统状态发生显著偏离时激活控制更新</w:t>
      </w:r>
      <w:r>
        <w:t xml:space="preserve"> </w:t>
      </w:r>
      <w:r>
        <w:rPr>
          <w:rFonts w:hint="eastAsia"/>
        </w:rPr>
        <w:t xml:space="preserve">[8]。这种稀疏控制机制有效突破了时间步长的硬性约束，为平衡响应速度与控制代价提供了可行途径。基于这一优势，已有研究在深度强化学习中引入</w:t>
      </w:r>
      <w:r>
        <w:t xml:space="preserve"> ETC </w:t>
      </w:r>
      <w:r>
        <w:rPr>
          <w:rFonts w:hint="eastAsia"/>
        </w:rPr>
        <w:t xml:space="preserve">范式以进一步优化系统运行。这类方法在触发特定的预设事件时调整控制策略，有助于在热舒适度与能源消耗之间实现更好的平衡</w:t>
      </w:r>
      <w:r>
        <w:t xml:space="preserve"> </w:t>
      </w:r>
      <w:r>
        <w:rPr>
          <w:rFonts w:hint="eastAsia"/>
        </w:rPr>
        <w:t xml:space="preserve">[9]。然而，现有</w:t>
      </w:r>
      <w:r>
        <w:t xml:space="preserve"> ETC </w:t>
      </w:r>
      <w:r>
        <w:rPr>
          <w:rFonts w:hint="eastAsia"/>
        </w:rPr>
        <w:t xml:space="preserve">方案主要依赖基于专家经验的静态规则，例如设定固定的温度死区或负荷波动阈值</w:t>
      </w:r>
      <w:r>
        <w:t xml:space="preserve"> </w:t>
      </w:r>
      <w:r>
        <w:rPr>
          <w:rFonts w:hint="eastAsia"/>
        </w:rPr>
        <w:t xml:space="preserve">[10]。静态触发机制在面对高度非线性且时变的真实建筑环境时缺乏动态适应能力，难以适应不同建筑的热惯性差异以及设备老化后的性能漂移，极易导致频繁误触发或控制响应迟滞现象</w:t>
      </w:r>
      <w:r>
        <w:t xml:space="preserve"> [11]。</w:t>
      </w:r>
    </w:p>
    <w:p>
      <w:pPr>
        <w:pStyle w:val="BodyText"/>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pPr>
        <w:pStyle w:val="BodyText"/>
      </w:pPr>
      <w:r>
        <w:rPr>
          <w:rFonts w:hint="eastAsia"/>
        </w:rPr>
        <w:t xml:space="preserve">考虑到上述问题，有必要引入一种可随系统运行状态调整触发边界的动态阈值更新策略，使触发边界由基于固定经验的预设规则转变为依据偏离信号演化过程的自适应判定。在</w:t>
      </w:r>
      <w:r>
        <w:t xml:space="preserve"> HVAC </w:t>
      </w:r>
      <w:r>
        <w:rPr>
          <w:rFonts w:hint="eastAsia"/>
        </w:rPr>
        <w:t xml:space="preserve">控制更新策略中，固定间隔更新策略以恒定节奏执行更新，无法区分扰动强弱时段；固定阈值更新策略虽可在偏离越限时触发响应，但其静态边界在面对时变工况时缺乏适应能力——阈值过松则平稳期冗余更新，过紧则扰动期响应迟滞。相比之下，动态阈值更新策略根据偏离趋势持续调整触发边界，在扰动增强时提升触发密度以保障响应性，在相对平稳时段降低触发频率以抑制冗余执行。这种自适应更新策略使得控制响应性与执行代价之间的平衡更加有效。</w:t>
      </w:r>
    </w:p>
    <w:p>
      <w:pPr>
        <w:pStyle w:val="BodyText"/>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periods to suppress redundant execution. Therefore, the dynamic-threshold update strategy enables a more effective balance between control responsiveness and execution cost.</w:t>
      </w:r>
    </w:p>
    <w:p>
      <w:pPr>
        <w:pStyle w:val="CaptionedFigure"/>
      </w:pPr>
      <w:r>
        <w:drawing>
          <wp:inline>
            <wp:extent cx="5334000" cy="1738273"/>
            <wp:effectExtent b="0" l="0" r="0" t="0"/>
            <wp:docPr descr="图1 固定间隔更新策略、固定阈值更新策略与动态阈值更新策略对比。上排为室温偏差信号与不同触发阈值的关系；下排为触发时刻的分布。虚线标记表示触发时刻 / 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title="" id="11" name="Picture"/>
            <a:graphic>
              <a:graphicData uri="http://schemas.openxmlformats.org/drawingml/2006/picture">
                <pic:pic>
                  <pic:nvPicPr>
                    <pic:cNvPr descr="../pics/fig1_update_strategy_comparison.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固定间隔更新策略、固定阈值更新策略与动态阈值更新策略对比。上排为室温偏差信号与不同触发阈值的关系；下排为触发时刻的分布。虚线标记表示触发时刻</w:t>
      </w:r>
      <w:r>
        <w:t xml:space="preserve"> / 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pPr>
        <w:pStyle w:val="BodyText"/>
      </w:pPr>
      <w:r>
        <w:rPr>
          <w:rFonts w:hint="eastAsia"/>
        </w:rPr>
        <w:t xml:space="preserve">基于上述动机，本文提出了一种基于无监督动态事件门控的事件触发预测强化学习控制方法（Event-Triggered</w:t>
      </w:r>
      <w:r>
        <w:t xml:space="preserve"> Predictive Reinforcement Learning with Unsupervised Dynamic Event Gating, </w:t>
      </w:r>
      <w:r>
        <w:rPr>
          <w:rFonts w:hint="eastAsia"/>
        </w:rPr>
        <w:t xml:space="preserve">ET-PRL），将时间序列预测、无监督动态事件门控与强化学习决策过程相结合。ET-PRL</w:t>
      </w:r>
      <w:r>
        <w:t xml:space="preserve"> </w:t>
      </w:r>
      <w:r>
        <w:rPr>
          <w:rFonts w:hint="eastAsia"/>
        </w:rPr>
        <w:t xml:space="preserve">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方法在关键干扰期间保持完全控制能力，同时在稳定期间抑制冗余更新。本文的主要贡献如下：</w:t>
      </w:r>
    </w:p>
    <w:p>
      <w:pPr>
        <w:pStyle w:val="BodyText"/>
      </w:pPr>
      <w:r>
        <w:t xml:space="preserve">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pPr>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方法中构建了融合多尺度异常追踪与双层自适应阈值的门控模块，摆脱了对静态人工规则的依赖，实现了对时变工况下非平稳扰动的自适应感知。</w:t>
      </w:r>
    </w:p>
    <w:p>
      <w:pPr>
        <w:numPr>
          <w:ilvl w:val="0"/>
          <w:numId w:val="1001"/>
        </w:numPr>
      </w:pPr>
      <w:r>
        <w:rPr>
          <w:b/>
          <w:bCs/>
        </w:rPr>
        <w:t xml:space="preserve">We propose an unsupervised dynamic event gating mechanism based on streaming features</w:t>
      </w:r>
      <w:r>
        <w:t xml:space="preserve">: We build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rFonts w:hint="eastAsia"/>
          <w:b/>
          <w:bCs/>
        </w:rPr>
        <w:t xml:space="preserve">构建时序解耦的事件驱动预测型控制方法</w:t>
      </w:r>
      <w:r>
        <w:rPr>
          <w:rFonts w:hint="eastAsia"/>
        </w:rPr>
        <w:t xml:space="preserve">：将事件门控机制无缝融入预测型强化学习方法，使策略网络仅在关键扰动时激活，并在平稳期依靠零阶保持器（ZOH）维持控制输出。该方法通过与预测状态特征深度耦合，有效补偿稀疏按需执行导致的信息缺失，并进一步增强策略的前瞻性决策能力。</w:t>
      </w:r>
    </w:p>
    <w:p>
      <w:pPr>
        <w:numPr>
          <w:ilvl w:val="0"/>
          <w:numId w:val="1001"/>
        </w:numPr>
      </w:pPr>
      <w:r>
        <w:rPr>
          <w:b/>
          <w:bCs/>
        </w:rPr>
        <w:t xml:space="preserve">We construct a time decoupled, event driven predictive control method</w:t>
      </w:r>
      <w:r>
        <w:t xml:space="preserve">: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method effectively compensates for information loss caused by sparse on demand execution and further improves the policy’s anticipatory decision making capability.</w:t>
      </w:r>
    </w:p>
    <w:p>
      <w:pPr>
        <w:numPr>
          <w:ilvl w:val="0"/>
          <w:numId w:val="1001"/>
        </w:numPr>
      </w:pPr>
      <w:r>
        <w:rPr>
          <w:rFonts w:hint="eastAsia"/>
          <w:b/>
          <w:bCs/>
        </w:rPr>
        <w:t xml:space="preserve">实现控制精度与执行代价的量化优化折衷</w:t>
      </w:r>
      <w:r>
        <w:rPr>
          <w:rFonts w:hint="eastAsia"/>
        </w:rPr>
        <w:t xml:space="preserve">：基于102天真实冷水机组运行数据，我们通过系统对比、消融与敏感性分析量化证明了所提方法在动作更新次数上降低53.54%、日均能耗由7491降至7332</w:t>
      </w:r>
      <w:r>
        <w:t xml:space="preserve"> </w:t>
      </w:r>
      <w:r>
        <w:rPr>
          <w:rFonts w:hint="eastAsia"/>
        </w:rPr>
        <w:t xml:space="preserve">kWh/day（节能2.13%），且在保持94.41%基线性能下表现稳定，说明该方法具备鲁棒性与工程可部署性。</w:t>
      </w:r>
    </w:p>
    <w:p>
      <w:pPr>
        <w:numPr>
          <w:ilvl w:val="0"/>
          <w:numId w:val="1001"/>
        </w:numPr>
      </w:pPr>
      <w:r>
        <w:rPr>
          <w:b/>
          <w:bCs/>
        </w:rPr>
        <w:t xml:space="preserve">Quantified optimization trade off between control accuracy and execution cost</w:t>
      </w:r>
      <w:r>
        <w:t xml:space="preserve">: Using 102 days of real chiller operation data, systematic comparisons, ablation and sensitivity studies show that the proposed method reduces action updates by 53.54%, lowers average daily energy consumption from 7491 to 7332 kWh/day (2.13% energy saving), and retains 94.41% of baseline performance, demonstrating robustness and practical deployability.</w:t>
      </w:r>
    </w:p>
    <w:bookmarkEnd w:id="13"/>
    <w:bookmarkStart w:id="14" w:name="相关工作-related-work"/>
    <w:p>
      <w:pPr>
        <w:pStyle w:val="Heading1"/>
      </w:pPr>
      <w:r>
        <w:t xml:space="preserve">2. </w:t>
      </w:r>
      <w:r>
        <w:rPr>
          <w:rFonts w:hint="eastAsia"/>
        </w:rPr>
        <w:t xml:space="preserve">相关工作</w:t>
      </w:r>
      <w:r>
        <w:t xml:space="preserve"> / Related Work</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系统在能效优化与热舒适保障之间的协同控制长期面临工程挑战。为应对建筑能耗增长与运行稳定性要求，传统研究主要采用基于规则的控制（Rule-Based</w:t>
      </w:r>
      <w:r>
        <w:t xml:space="preserve"> Control, </w:t>
      </w:r>
      <w:r>
        <w:rPr>
          <w:rFonts w:hint="eastAsia"/>
        </w:rPr>
        <w:t xml:space="preserve">RBC）与比例</w:t>
      </w:r>
      <w:r>
        <w:t xml:space="preserve"> - </w:t>
      </w:r>
      <w:r>
        <w:rPr>
          <w:rFonts w:hint="eastAsia"/>
        </w:rPr>
        <w:t xml:space="preserve">积分</w:t>
      </w:r>
      <w:r>
        <w:t xml:space="preserve"> - </w:t>
      </w:r>
      <w:r>
        <w:rPr>
          <w:rFonts w:hint="eastAsia"/>
        </w:rPr>
        <w:t xml:space="preserve">微分控制（Proportional-Integral-Derivative,</w:t>
      </w:r>
      <w:r>
        <w:t xml:space="preserve"> </w:t>
      </w:r>
      <w:r>
        <w:rPr>
          <w:rFonts w:hint="eastAsia"/>
        </w:rPr>
        <w:t xml:space="preserve">PID）等经典方法</w:t>
      </w:r>
      <w:r>
        <w:t xml:space="preserve"> </w:t>
      </w:r>
      <w:r>
        <w:rPr>
          <w:rFonts w:hint="eastAsia"/>
        </w:rPr>
        <w:t xml:space="preserve">[12]。其中，Choi</w:t>
      </w:r>
      <w:r>
        <w:t xml:space="preserve"> </w:t>
      </w:r>
      <w:r>
        <w:rPr>
          <w:rFonts w:hint="eastAsia"/>
        </w:rPr>
        <w:t xml:space="preserve">等</w:t>
      </w:r>
      <w:r>
        <w:t xml:space="preserve"> [13]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[14]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[15] </w:t>
      </w:r>
      <w:r>
        <w:rPr>
          <w:rFonts w:hint="eastAsia"/>
        </w:rPr>
        <w:t xml:space="preserve">进一步引入模糊控制思想，增强了传统控制器在特定工况下的适应能力。Tang</w:t>
      </w:r>
      <w:r>
        <w:t xml:space="preserve"> </w:t>
      </w:r>
      <w:r>
        <w:rPr>
          <w:rFonts w:hint="eastAsia"/>
        </w:rPr>
        <w:t xml:space="preserve">等</w:t>
      </w:r>
      <w:r>
        <w:t xml:space="preserve"> [16] </w:t>
      </w:r>
      <w:r>
        <w:rPr>
          <w:rFonts w:hint="eastAsia"/>
        </w:rPr>
        <w:t xml:space="preserve">提出了一种物理感知深度学习嵌入的模型预测控制（Model</w:t>
      </w:r>
      <w:r>
        <w:t xml:space="preserve"> Predictive Control, </w:t>
      </w:r>
      <w:r>
        <w:rPr>
          <w:rFonts w:hint="eastAsia"/>
        </w:rPr>
        <w:t xml:space="preserve">MPC）方法，通过构建建筑热动态模型并在滚动时域内求解约束优化问题，实现了能耗、舒适度与设备运行约束的显式协调。尽管这些方法在工业场景中部署便捷、可靠性高，或能够在模型准确时取得较优控制效果，但其核心仍依赖静态规则、线性反馈假设或高精度预测模型，难以充分刻画建筑热环境中的非线性耦合、时变扰动与大滞后特征，因而在复杂运维条件下往往难以同时兼顾节能与舒适性</w:t>
      </w:r>
      <w:r>
        <w:t xml:space="preserve"> [17]。</w:t>
      </w:r>
    </w:p>
    <w:p>
      <w:pPr>
        <w:pStyle w:val="BodyText"/>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智能控制的重要方向。其中，强化学习（Reinforcement</w:t>
      </w:r>
      <w:r>
        <w:t xml:space="preserve"> Learning, </w:t>
      </w:r>
      <w:r>
        <w:rPr>
          <w:rFonts w:hint="eastAsia"/>
        </w:rPr>
        <w:t xml:space="preserve">RL）能够在不依赖精确物理模型的情况下，通过与建筑环境的试错交互学习运行状态与控制动作之间的优化映射，因而逐渐被用于建筑能耗管理、HVAC</w:t>
      </w:r>
      <w:r>
        <w:t xml:space="preserve"> </w:t>
      </w:r>
      <w:r>
        <w:rPr>
          <w:rFonts w:hint="eastAsia"/>
        </w:rPr>
        <w:t xml:space="preserve">控制与需求响应等任务</w:t>
      </w:r>
      <w:r>
        <w:t xml:space="preserve"> [18]。Savino </w:t>
      </w:r>
      <w:r>
        <w:rPr>
          <w:rFonts w:hint="eastAsia"/>
        </w:rPr>
        <w:t xml:space="preserve">等</w:t>
      </w:r>
      <w:r>
        <w:t xml:space="preserve"> [19] </w:t>
      </w:r>
      <w:r>
        <w:rPr>
          <w:rFonts w:hint="eastAsia"/>
        </w:rPr>
        <w:t xml:space="preserve">系统展示了深度强化学习在多区域底层控制中的应用潜力；Wang</w:t>
      </w:r>
      <w:r>
        <w:t xml:space="preserve"> </w:t>
      </w:r>
      <w:r>
        <w:rPr>
          <w:rFonts w:hint="eastAsia"/>
        </w:rPr>
        <w:t xml:space="preserve">与</w:t>
      </w:r>
      <w:r>
        <w:t xml:space="preserve"> Lin [20] </w:t>
      </w:r>
      <w:r>
        <w:rPr>
          <w:rFonts w:hint="eastAsia"/>
        </w:rPr>
        <w:t xml:space="preserve">以及</w:t>
      </w:r>
      <w:r>
        <w:t xml:space="preserve"> Zhuang </w:t>
      </w:r>
      <w:r>
        <w:rPr>
          <w:rFonts w:hint="eastAsia"/>
        </w:rPr>
        <w:t xml:space="preserve">等</w:t>
      </w:r>
      <w:r>
        <w:t xml:space="preserve"> [21] </w:t>
      </w:r>
      <w:r>
        <w:rPr>
          <w:rFonts w:hint="eastAsia"/>
        </w:rPr>
        <w:t xml:space="preserve">分别基于深度</w:t>
      </w:r>
      <w:r>
        <w:t xml:space="preserve"> Q </w:t>
      </w:r>
      <w:r>
        <w:rPr>
          <w:rFonts w:hint="eastAsia"/>
        </w:rPr>
        <w:t xml:space="preserve">网络（Deep</w:t>
      </w:r>
      <w:r>
        <w:t xml:space="preserve"> Q-Network, </w:t>
      </w:r>
      <w:r>
        <w:rPr>
          <w:rFonts w:hint="eastAsia"/>
        </w:rPr>
        <w:t xml:space="preserve">DQN）和深度确定性策略梯度（Deep</w:t>
      </w:r>
      <w:r>
        <w:t xml:space="preserve"> Deterministic Policy Gradient, </w:t>
      </w:r>
      <w:r>
        <w:rPr>
          <w:rFonts w:hint="eastAsia"/>
        </w:rPr>
        <w:t xml:space="preserve">DDPG）等范式构建了从高维传感状态到控制动作的映射，验证了强化学习在复杂场景中的优化优势。然而，强化学习多采用基于当前观测的反应式决策，在具有显著热惯性与时滞的系统中容易出现控制滞后与振荡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 xml:space="preserve">[22]。为此，Li</w:t>
      </w:r>
      <w:r>
        <w:t xml:space="preserve"> </w:t>
      </w:r>
      <w:r>
        <w:rPr>
          <w:rFonts w:hint="eastAsia"/>
        </w:rPr>
        <w:t xml:space="preserve">等</w:t>
      </w:r>
      <w:r>
        <w:t xml:space="preserve"> [23] </w:t>
      </w:r>
      <w:r>
        <w:rPr>
          <w:rFonts w:hint="eastAsia"/>
        </w:rPr>
        <w:t xml:space="preserve">将长短期记忆网络（Long</w:t>
      </w:r>
      <w:r>
        <w:t xml:space="preserve"> Short-Term Memory, </w:t>
      </w:r>
      <w:r>
        <w:rPr>
          <w:rFonts w:hint="eastAsia"/>
        </w:rPr>
        <w:t xml:space="preserve">LSTM）等时序模型融入决策过程，通过引入前瞻预测信息增强了策略对环境演化的感知能力，并在一定程度上改善了控制平稳性；He</w:t>
      </w:r>
      <w:r>
        <w:t xml:space="preserve"> </w:t>
      </w:r>
      <w:r>
        <w:rPr>
          <w:rFonts w:hint="eastAsia"/>
        </w:rPr>
        <w:t xml:space="preserve">等</w:t>
      </w:r>
      <w:r>
        <w:t xml:space="preserve"> [24] </w:t>
      </w:r>
      <w:r>
        <w:rPr>
          <w:rFonts w:hint="eastAsia"/>
        </w:rPr>
        <w:t xml:space="preserve">进一步面向冷机群优化，将</w:t>
      </w:r>
      <w:r>
        <w:t xml:space="preserve"> LSTM </w:t>
      </w:r>
      <w:r>
        <w:rPr>
          <w:rFonts w:hint="eastAsia"/>
        </w:rPr>
        <w:t xml:space="preserve">负荷预测与</w:t>
      </w:r>
      <w:r>
        <w:t xml:space="preserve"> DQN </w:t>
      </w:r>
      <w:r>
        <w:rPr>
          <w:rFonts w:hint="eastAsia"/>
        </w:rPr>
        <w:t xml:space="preserve">控制相结合，构建了无模型的预测型强化学习框架，表明引入预测信息能够在保持强化学习自适应性的同时提升控制前瞻性。需要指出的是，现有</w:t>
      </w:r>
      <w:r>
        <w:t xml:space="preserve"> RL </w:t>
      </w:r>
      <w:r>
        <w:rPr>
          <w:rFonts w:hint="eastAsia"/>
        </w:rPr>
        <w:t xml:space="preserve">及预测型</w:t>
      </w:r>
      <w:r>
        <w:t xml:space="preserve"> RL </w:t>
      </w:r>
      <w:r>
        <w:rPr>
          <w:rFonts w:hint="eastAsia"/>
        </w:rPr>
        <w:t xml:space="preserve">方法在执行层面仍普遍遵循固定时间步长控制（TTC）范式，即按预设周期进行状态采样与动作更新，难以根据负荷扰动强弱自适应调整决策频率，因而存在冗余计算、执行机构磨损之间的固有矛盾</w:t>
      </w:r>
      <w:r>
        <w:t xml:space="preserve"> [25]。</w:t>
      </w:r>
    </w:p>
    <w:p>
      <w:pPr>
        <w:pStyle w:val="BodyText"/>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[26] </w:t>
      </w:r>
      <w:r>
        <w:rPr>
          <w:rFonts w:hint="eastAsia"/>
        </w:rPr>
        <w:t xml:space="preserve">与</w:t>
      </w:r>
      <w:r>
        <w:t xml:space="preserve"> Xue </w:t>
      </w:r>
      <w:r>
        <w:rPr>
          <w:rFonts w:hint="eastAsia"/>
        </w:rPr>
        <w:t xml:space="preserve">等</w:t>
      </w:r>
      <w:r>
        <w:t xml:space="preserve"> [27] </w:t>
      </w:r>
      <w:r>
        <w:rPr>
          <w:rFonts w:hint="eastAsia"/>
        </w:rPr>
        <w:t xml:space="preserve">的研究表明，事件驱动控制（ETC）通过按需更新机制，能够在状态越限或事件发生时才触发控制与通信，从而有效减少时间触发控制中的无效更新。进一步地，Fu</w:t>
      </w:r>
      <w:r>
        <w:t xml:space="preserve"> </w:t>
      </w:r>
      <w:r>
        <w:rPr>
          <w:rFonts w:hint="eastAsia"/>
        </w:rPr>
        <w:t xml:space="preserve">等</w:t>
      </w:r>
      <w:r>
        <w:t xml:space="preserve"> [9] </w:t>
      </w:r>
      <w:r>
        <w:rPr>
          <w:rFonts w:hint="eastAsia"/>
        </w:rPr>
        <w:t xml:space="preserve">提出了事件驱动深度强化学习控制方法</w:t>
      </w:r>
      <w:r>
        <w:t xml:space="preserve"> </w:t>
      </w:r>
      <w:r>
        <w:rPr>
          <w:rFonts w:hint="eastAsia"/>
        </w:rPr>
        <w:t xml:space="preserve">ED-DQN，将事件触发机制引入多区域住宅建筑</w:t>
      </w:r>
      <w:r>
        <w:t xml:space="preserve"> HVAC </w:t>
      </w:r>
      <w:r>
        <w:rPr>
          <w:rFonts w:hint="eastAsia"/>
        </w:rPr>
        <w:t xml:space="preserve">控制，使智能体仅在预设事件发生时更新控制动作，从而减少固定步长控制下的冗余决策。Liu</w:t>
      </w:r>
      <w:r>
        <w:t xml:space="preserve"> </w:t>
      </w:r>
      <w:r>
        <w:rPr>
          <w:rFonts w:hint="eastAsia"/>
        </w:rPr>
        <w:t xml:space="preserve">等</w:t>
      </w:r>
      <w:r>
        <w:t xml:space="preserve"> [28]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[29]。</w:t>
      </w:r>
    </w:p>
    <w:p>
      <w:pPr>
        <w:pStyle w:val="BodyText"/>
      </w:pPr>
      <w:r>
        <w:t xml:space="preserve">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事件触发过程重构为在线无监督异常检测问题，并提出耦合动态门控与预测型强化学习的按需控制方法，即基于无监督动态事件门控的事件触发预测型强化学习（Event-Triggered</w:t>
      </w:r>
      <w:r>
        <w:t xml:space="preserve"> Predictive Reinforcement Learning with Unsupervised Dynamic Event Gating, </w:t>
      </w:r>
      <w:r>
        <w:rPr>
          <w:rFonts w:hint="eastAsia"/>
        </w:rPr>
        <w:t xml:space="preserve">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漂移的适应性。与固定步长强化学习不同，该方法进一步以事件驱动方式解耦决策时序，在削减冗余推理与设备磨损的同时，利用预测特征弥补稀疏控制带来的状态信息缺失，最终在真实建筑非平稳工况中实现控制性能与执行代价的有效折衷。</w:t>
      </w:r>
    </w:p>
    <w:p>
      <w:pPr>
        <w:pStyle w:val="BodyText"/>
      </w:pPr>
      <w:r>
        <w:t xml:space="preserve">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bookmarkEnd w:id="14"/>
    <w:bookmarkStart w:id="18" w:name="方法-methodology"/>
    <w:p>
      <w:pPr>
        <w:pStyle w:val="Heading1"/>
      </w:pPr>
      <w:r>
        <w:t xml:space="preserve">3. </w:t>
      </w:r>
      <w:r>
        <w:rPr>
          <w:rFonts w:hint="eastAsia"/>
        </w:rPr>
        <w:t xml:space="preserve">方法</w:t>
      </w:r>
      <w:r>
        <w:t xml:space="preserve"> / Methodology</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方法，即基于无监督动态事件门控的事件触发预测型强化学习（Event-Triggered</w:t>
      </w:r>
      <w:r>
        <w:t xml:space="preserve"> Predictive Reinforcement Learning with Unsupervised Dynamic Event Gating, </w:t>
      </w:r>
      <w:r>
        <w:rPr>
          <w:rFonts w:hint="eastAsia"/>
        </w:rPr>
        <w:t xml:space="preserve">ET-PRL）。</w:t>
      </w:r>
    </w:p>
    <w:p>
      <w:pPr>
        <w:pStyle w:val="BodyText"/>
      </w:pPr>
      <w:r>
        <w:t xml:space="preserve">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w:t>
      </w:r>
    </w:p>
    <w:p>
      <w:pPr>
        <w:pStyle w:val="BlockText"/>
      </w:pPr>
      <w:r>
        <w:rPr>
          <w:rFonts w:hint="eastAsia"/>
          <w:b/>
          <w:bCs/>
        </w:rPr>
        <w:t xml:space="preserve">图2</w:t>
      </w:r>
      <w:r>
        <w:rPr>
          <w:b/>
          <w:bCs/>
        </w:rPr>
        <w:t xml:space="preserve"> </w:t>
      </w:r>
      <w:r>
        <w:rPr>
          <w:rFonts w:hint="eastAsia"/>
          <w:b/>
          <w:bCs/>
        </w:rPr>
        <w:t xml:space="preserve">占位：ET-PRL</w:t>
      </w:r>
      <w:r>
        <w:rPr>
          <w:b/>
          <w:bCs/>
        </w:rPr>
        <w:t xml:space="preserve"> </w:t>
      </w:r>
      <w:r>
        <w:rPr>
          <w:rFonts w:hint="eastAsia"/>
          <w:b/>
          <w:bCs/>
        </w:rPr>
        <w:t xml:space="preserve">总体方法图</w:t>
      </w:r>
      <w:r>
        <w:t xml:space="preserve"> </w:t>
      </w:r>
      <w:r>
        <w:rPr>
          <w:b/>
          <w:bCs/>
        </w:rPr>
        <w:t xml:space="preserve">Figure 2 placeholder: Overall ET-PRL method diagram</w:t>
      </w:r>
    </w:p>
    <w:p>
      <w:pPr>
        <w:pStyle w:val="BlockText"/>
      </w:pPr>
      <w:r>
        <w:rPr>
          <w:rFonts w:hint="eastAsia"/>
        </w:rPr>
        <w:t xml:space="preserve">对图</w:t>
      </w:r>
      <w:r>
        <w:t xml:space="preserve"> 2 </w:t>
      </w:r>
      <w:r>
        <w:rPr>
          <w:rFonts w:hint="eastAsia"/>
        </w:rPr>
        <w:t xml:space="preserve">中内容的描述</w:t>
      </w:r>
    </w:p>
    <w:bookmarkStart w:id="15" w:name="X53cee1d894eb5d0f229a148fb5f809fc4989c5b"/>
    <w:p>
      <w:pPr>
        <w:pStyle w:val="Heading2"/>
      </w:pPr>
      <w:r>
        <w:t xml:space="preserve">3.1 </w:t>
      </w:r>
      <w:r>
        <w:rPr>
          <w:rFonts w:hint="eastAsia"/>
        </w:rPr>
        <w:t xml:space="preserve">基于流式特征追踪的动态事件触发机制设计</w:t>
      </w:r>
      <w:r>
        <w:t xml:space="preserve"> / Dynamic Event Triggering Design Based on Streaming Feature Tracking</w:t>
      </w:r>
    </w:p>
    <w:p>
      <w:pPr>
        <w:pStyle w:val="FirstParagraph"/>
      </w:pPr>
      <w:r>
        <w:rPr>
          <w:rFonts w:hint="eastAsia"/>
        </w:rPr>
        <w:t xml:space="preserve">在事件驱动控制范式中，控制更新的激活取决于对关键事件的判定，即系统运行状态显著偏离常态工况、需要控制动作即时介入的时刻。现有方法多依赖人工预设的静态规则来界定此类事件，难以适应建筑</w:t>
      </w:r>
      <w:r>
        <w:t xml:space="preserve"> HVAC </w:t>
      </w:r>
      <w:r>
        <w:rPr>
          <w:rFonts w:hint="eastAsia"/>
        </w:rPr>
        <w:t xml:space="preserve">系统的非线性时变特性。本文将关键事件识别重定义为在线异常检测问题。具体而言，在控制语义上，关键事件对应需要控制动作即时介入的工况突变；在统计语义上，该类时刻通常表现为状态样本相对常态分布的显著偏离。由此，事件判定可统一建模为偏离度检验问题，而不再依赖人工设定的静态规则。</w:t>
      </w:r>
    </w:p>
    <w:p>
      <w:pPr>
        <w:pStyle w:val="BodyText"/>
      </w:pPr>
      <w:r>
        <w:t xml:space="preserve">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pPr>
        <w:pStyle w:val="BodyText"/>
      </w:pPr>
      <w:r>
        <w:rPr>
          <w:rFonts w:hint="eastAsia"/>
        </w:rPr>
        <w:t xml:space="preserve">设系统状态特征向量为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为指示函数，条件成立时取</w:t>
      </w:r>
      <w:r>
        <w:t xml:space="preserve"> </w:t>
      </w:r>
      <w:r>
        <w:rPr>
          <w:rFonts w:hint="eastAsia"/>
        </w:rPr>
        <w:t xml:space="preserve">1，否则取</w:t>
      </w:r>
      <w:r>
        <w:t xml:space="preserve"> </w:t>
      </w:r>
      <w:r>
        <w:rPr>
          <w:rFonts w:hint="eastAsia"/>
        </w:rPr>
        <w:t xml:space="preserve">0；</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为判别阈值。上述定义表明，事件识别本质上是对是否偏离常态区域的二值判定；当状态进入高偏离区域时触发控制动作更新，否则维持当前控制动作。</w:t>
      </w:r>
    </w:p>
    <w:p>
      <w:pPr>
        <w:pStyle w:val="BodyText"/>
      </w:pPr>
      <w:r>
        <w:t xml:space="preserve">Let the system state feature vector be</w:t>
      </w:r>
      <w:r>
        <w:t xml:space="preserve"> </w:t>
      </w:r>
      <m:oMath>
        <m:sSub>
          <m:e>
            <m:r>
              <m:t>s</m:t>
            </m:r>
          </m:e>
          <m:sub>
            <m:r>
              <m:t>t</m:t>
            </m:r>
          </m:sub>
        </m:sSub>
        <m:r>
          <m:rPr>
            <m:sty m:val="p"/>
          </m:rPr>
          <m:t>∈</m:t>
        </m:r>
        <m:sSup>
          <m:e>
            <m:r>
              <m:rPr>
                <m:scr m:val="double-struck"/>
                <m:sty m:val="p"/>
              </m:rPr>
              <m:t>R</m:t>
            </m:r>
          </m:e>
          <m:sup>
            <m:r>
              <m:t>d</m:t>
            </m:r>
          </m:sup>
        </m:sSup>
      </m:oMath>
      <w:r>
        <w:t xml:space="preserve">, the event label be</w:t>
      </w:r>
      <w:r>
        <w:t xml:space="preserve"> </w:t>
      </w:r>
      <m:oMath>
        <m:sSub>
          <m:e>
            <m:r>
              <m:t>e</m:t>
            </m:r>
          </m:e>
          <m:sub>
            <m:r>
              <m:t>t</m:t>
            </m:r>
          </m:sub>
        </m:sSub>
        <m:r>
          <m:rPr>
            <m:sty m:val="p"/>
          </m:rPr>
          <m:t>∈</m:t>
        </m:r>
        <m:r>
          <m:rPr>
            <m:sty m:val="p"/>
          </m:rPr>
          <m:t>{</m:t>
        </m:r>
        <m:r>
          <m:t>0</m:t>
        </m:r>
        <m:r>
          <m:rPr>
            <m:sty m:val="p"/>
          </m:rPr>
          <m:t>,</m:t>
        </m:r>
        <m:r>
          <m:t>1</m:t>
        </m:r>
        <m:r>
          <m:rPr>
            <m:sty m:val="p"/>
          </m:rPr>
          <m:t>}</m:t>
        </m:r>
      </m:oMath>
      <w:r>
        <w:t xml:space="preserve">, and the normal reference distribution at time step</w:t>
      </w:r>
      <w:r>
        <w:t xml:space="preserve"> </w:t>
      </w:r>
      <m:oMath>
        <m:r>
          <m:t>t</m:t>
        </m:r>
      </m:oMath>
      <w:r>
        <w:t xml:space="preserve"> </w:t>
      </w:r>
      <w:r>
        <w:t xml:space="preserve">be denoted by</w:t>
      </w:r>
      <w:r>
        <w:t xml:space="preserve"> </w:t>
      </w:r>
      <m:oMath>
        <m:sSubSup>
          <m:e>
            <m:r>
              <m:rPr>
                <m:scr m:val="script"/>
                <m:sty m:val="p"/>
              </m:rPr>
              <m:t>P</m:t>
            </m:r>
          </m:e>
          <m:sub>
            <m:r>
              <m:t>t</m:t>
            </m:r>
          </m:sub>
          <m:sup>
            <m:r>
              <m:rPr>
                <m:nor/>
                <m:sty m:val="p"/>
              </m:rPr>
              <m:t>norm</m:t>
            </m:r>
          </m:sup>
        </m:sSubSup>
      </m:oMath>
      <w:r>
        <w:t xml:space="preserve">. The event set is defined as Eq. (1):</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that equals 1 when the condition holds and 0 otherwise;</w:t>
      </w:r>
      <w:r>
        <w:t xml:space="preserve"> </w:t>
      </w:r>
      <m:oMath>
        <m:r>
          <m:t>d</m:t>
        </m:r>
        <m:r>
          <m:rPr>
            <m:sty m:val="p"/>
          </m:rPr>
          <m:t>(</m:t>
        </m:r>
        <m:r>
          <m:rPr>
            <m:sty m:val="p"/>
          </m:rPr>
          <m:t>⋅</m:t>
        </m:r>
        <m:r>
          <m:rPr>
            <m:sty m:val="p"/>
          </m:rPr>
          <m:t>)</m:t>
        </m:r>
      </m:oMath>
      <w:r>
        <w:t xml:space="preserve"> </w:t>
      </w:r>
      <w:r>
        <w:t xml:space="preserve">denotes the distribution deviation metric, and</w:t>
      </w:r>
      <w:r>
        <w:t xml:space="preserve"> </w:t>
      </w:r>
      <m:oMath>
        <m:sSub>
          <m:e>
            <m:r>
              <m:t>δ</m:t>
            </m:r>
          </m:e>
          <m:sub>
            <m:r>
              <m:t>t</m:t>
            </m:r>
          </m:sub>
        </m:sSub>
      </m:oMath>
      <w:r>
        <w:t xml:space="preserve"> </w:t>
      </w:r>
      <w:r>
        <w:t xml:space="preserve">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pPr>
        <w:pStyle w:val="BodyText"/>
      </w:pPr>
      <w:r>
        <w:rPr>
          <w:rFonts w:hint="eastAsia"/>
        </w:rPr>
        <w:t xml:space="preserve">为将偏离度检验转化为可流式更新的标量判据，本文采用异常分数函数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作为分布偏离度量</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w:t>
      </w:r>
      <w:r>
        <w:rPr>
          <w:rFonts w:hint="eastAsia"/>
        </w:rPr>
        <w:t xml:space="preserve">的标量化代理，并将集合判别转化为可计算的阈值比较：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为触发阈值，对应于公式</w:t>
      </w:r>
      <w:r>
        <w:t xml:space="preserve"> (1) </w:t>
      </w:r>
      <w:r>
        <w:rPr>
          <w:rFonts w:hint="eastAsia"/>
        </w:rPr>
        <w:t xml:space="preserve">中判别阈值</w:t>
      </w:r>
      <w:r>
        <w:t xml:space="preserve"> </w:t>
      </w:r>
      <m:oMath>
        <m:sSub>
          <m:e>
            <m:r>
              <m:t>δ</m:t>
            </m:r>
          </m:e>
          <m:sub>
            <m:r>
              <m:t>t</m:t>
            </m:r>
          </m:sub>
        </m:sSub>
      </m:oMath>
      <w:r>
        <w:t xml:space="preserve"> </w:t>
      </w:r>
      <w:r>
        <w:rPr>
          <w:rFonts w:hint="eastAsia"/>
        </w:rPr>
        <w:t xml:space="preserve">在异常分数空间中的可计算形式。该形式具有两点优势：其一，可与流式统计量直接耦合，支持逐时间步在线更新；其二，便于与后续门控逻辑统一，实现由异常评分到触发决策的一体化建模与实现。</w:t>
      </w:r>
    </w:p>
    <w:p>
      <w:pPr>
        <w:pStyle w:val="BodyText"/>
      </w:pPr>
      <w:r>
        <w:t xml:space="preserve">To convert distribution-level deviation testing into a scalar decision rule that can be updated in a streaming manner, an anomaly score function</w:t>
      </w:r>
      <w:r>
        <w:t xml:space="preserve"> </w:t>
      </w:r>
      <m:oMath>
        <m:r>
          <m:t>A</m:t>
        </m:r>
        <m:r>
          <m:rPr>
            <m:sty m:val="p"/>
          </m:rPr>
          <m:t>(</m:t>
        </m:r>
        <m:sSub>
          <m:e>
            <m:r>
              <m:t>s</m:t>
            </m:r>
          </m:e>
          <m:sub>
            <m:r>
              <m:t>t</m:t>
            </m:r>
          </m:sub>
        </m:sSub>
        <m:r>
          <m:rPr>
            <m:sty m:val="p"/>
          </m:rPr>
          <m:t>)</m:t>
        </m:r>
      </m:oMath>
      <w:r>
        <w:t xml:space="preserve"> </w:t>
      </w:r>
      <w:r>
        <w:t xml:space="preserve">is used as a scalar proxy for the distribution deviation metric</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and the set-based rule is converted into a computable threshold comparison as Eq. (2).</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t xml:space="preserve">where a larger</w:t>
      </w:r>
      <w:r>
        <w:t xml:space="preserve"> </w:t>
      </w:r>
      <m:oMath>
        <m:r>
          <m:t>A</m:t>
        </m:r>
        <m:r>
          <m:rPr>
            <m:sty m:val="p"/>
          </m:rPr>
          <m:t>(</m:t>
        </m:r>
        <m:sSub>
          <m:e>
            <m:r>
              <m:t>s</m:t>
            </m:r>
          </m:e>
          <m:sub>
            <m:r>
              <m:t>t</m:t>
            </m:r>
          </m:sub>
        </m:sSub>
        <m:r>
          <m:rPr>
            <m:sty m:val="p"/>
          </m:rPr>
          <m:t>)</m:t>
        </m:r>
      </m:oMath>
      <w:r>
        <w:t xml:space="preserve"> </w:t>
      </w:r>
      <w:r>
        <w:t xml:space="preserve">indicates a stronger deviation from normal behavior, and</w:t>
      </w:r>
      <w:r>
        <w:t xml:space="preserve"> </w:t>
      </w:r>
      <m:oMath>
        <m:sSub>
          <m:e>
            <m:r>
              <m:t>τ</m:t>
            </m:r>
          </m:e>
          <m:sub>
            <m:r>
              <m:t>t</m:t>
            </m:r>
          </m:sub>
        </m:sSub>
      </m:oMath>
      <w:r>
        <w:t xml:space="preserve"> </w:t>
      </w:r>
      <w:r>
        <w:t xml:space="preserve">is the trigger threshold, which is the computable counterpart of the decision threshold</w:t>
      </w:r>
      <w:r>
        <w:t xml:space="preserve"> </w:t>
      </w:r>
      <m:oMath>
        <m:sSub>
          <m:e>
            <m:r>
              <m:t>δ</m:t>
            </m:r>
          </m:e>
          <m:sub>
            <m:r>
              <m:t>t</m:t>
            </m:r>
          </m:sub>
        </m:sSub>
      </m:oMath>
      <w:r>
        <w:t xml:space="preserve"> </w:t>
      </w:r>
      <w:r>
        <w:t xml:space="preserve">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表示由历史异常分数驱动的阈值更新算子。该设计旨在平衡灵敏性与稳定性：在扰动增强时提升事件检出率，在平稳区间抑制冗余触发，从而降低误触发与漏触发风险。</w:t>
      </w:r>
    </w:p>
    <w:p>
      <w:pPr>
        <w:pStyle w:val="BodyText"/>
      </w:pPr>
      <w:r>
        <w:t xml:space="preserve">Considering the non-stationarity caused by weather disturbances, equipment aging, and load behavior drift during long-term HVAC operation, the threshold is updated through a streaming adaptive mechanism rather than fixed value as Eq. (3):</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pPr>
        <w:pStyle w:val="BodyText"/>
      </w:pPr>
      <w:r>
        <w:rPr>
          <w:rFonts w:hint="eastAsia"/>
        </w:rPr>
        <w:t xml:space="preserve">（1）系统状态特征定义</w:t>
      </w:r>
    </w:p>
    <w:p>
      <w:pPr>
        <w:pStyle w:val="BodyText"/>
      </w:pPr>
      <w:r>
        <w:rPr>
          <w:rFonts w:hint="eastAsia"/>
        </w:rPr>
        <w:t xml:space="preserve">（1）Definition</w:t>
      </w:r>
      <w:r>
        <w:t xml:space="preserve"> of System State Features</w:t>
      </w:r>
    </w:p>
    <w:p>
      <w:pPr>
        <w:pStyle w:val="BodyText"/>
      </w:pPr>
      <w:r>
        <w:rPr>
          <w:rFonts w:hint="eastAsia"/>
        </w:rPr>
        <w:t xml:space="preserve">事件门控模块与强化学习控制器共享同一状态特征输入。本文将该输入定义为紧凑的三维特征向量：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t xml:space="preserve">The event gating module and the reinforcement learning controller share the same state feature which is defined as a compact three-dimensional feature vector as Eq. (4):</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t xml:space="preserve">where, at time step</w:t>
      </w:r>
      <w:r>
        <w:t xml:space="preserve"> </w:t>
      </w:r>
      <m:oMath>
        <m:r>
          <m:t>t</m:t>
        </m:r>
      </m:oMath>
      <w:r>
        <w:t xml:space="preserve">,</w:t>
      </w:r>
      <w:r>
        <w:t xml:space="preserve"> </w:t>
      </w:r>
      <m:oMath>
        <m:sSubSup>
          <m:e>
            <m:r>
              <m:t>Q</m:t>
            </m:r>
          </m:e>
          <m:sub>
            <m:r>
              <m:t>l</m:t>
            </m:r>
            <m:r>
              <m:t>o</m:t>
            </m:r>
            <m:r>
              <m:t>a</m:t>
            </m:r>
            <m:r>
              <m:t>d</m:t>
            </m:r>
          </m:sub>
          <m:sup>
            <m:r>
              <m:t>t</m:t>
            </m:r>
          </m:sup>
        </m:sSubSup>
      </m:oMath>
      <w:r>
        <w:t xml:space="preserve"> </w:t>
      </w:r>
      <w:r>
        <w:t xml:space="preserve">denotes the system cooling load,</w:t>
      </w:r>
      <w:r>
        <w:t xml:space="preserve"> </w:t>
      </w:r>
      <m:oMath>
        <m:sSubSup>
          <m:e>
            <m:r>
              <m:t>T</m:t>
            </m:r>
          </m:e>
          <m:sub>
            <m:r>
              <m:t>w</m:t>
            </m:r>
            <m:r>
              <m:t>b</m:t>
            </m:r>
          </m:sub>
          <m:sup>
            <m:r>
              <m:t>t</m:t>
            </m:r>
          </m:sup>
        </m:sSubSup>
      </m:oMath>
      <w:r>
        <w:t xml:space="preserve"> </w:t>
      </w:r>
      <w:r>
        <w:t xml:space="preserve">denotes the outdoor wet-bulb temperature, and</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denotes the one-step-ahead short-term prediction of the system cooling load.</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可作为刻画外生气象扰动强度与方向的关键状态量，从而提升门控机制对环境非平稳变化的识别能力；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可提前感知负荷爬升或回落趋势，进而在关键变化阶段更早触发策略更新，降低稀疏触发条件下的响应滞后风险；为在保持表征能力的同时控制特征维度并支撑在线门控的实时计算，本文未进一步引入管网流量、回水温度等附加变量，原因是在线异常检测在高维空间中易出现样本稀疏与距离退化，从而削弱统计判别稳定性并增加计算开销。</w:t>
      </w:r>
    </w:p>
    <w:p>
      <w:pPr>
        <w:pStyle w:val="BodyText"/>
      </w:pPr>
      <w:r>
        <w:t xml:space="preserve">The main reason for selecting</w:t>
      </w:r>
      <w:r>
        <w:t xml:space="preserve"> </w:t>
      </w:r>
      <m:oMath>
        <m:sSubSup>
          <m:e>
            <m:r>
              <m:t>T</m:t>
            </m:r>
          </m:e>
          <m:sub>
            <m:r>
              <m:t>w</m:t>
            </m:r>
            <m:r>
              <m:t>b</m:t>
            </m:r>
          </m:sub>
          <m:sup>
            <m:r>
              <m:t>t</m:t>
            </m:r>
          </m:sup>
        </m:sSubSup>
      </m:oMath>
      <w:r>
        <w:t xml:space="preserve"> </w:t>
      </w:r>
      <w:r>
        <w:t xml:space="preserve">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pPr>
        <w:pStyle w:val="BodyText"/>
      </w:pPr>
      <w:r>
        <w:rPr>
          <w:rFonts w:hint="eastAsia"/>
        </w:rPr>
        <w:t xml:space="preserve">（2）流式隔离深度与多尺度异常追踪</w:t>
      </w:r>
    </w:p>
    <w:p>
      <w:pPr>
        <w:pStyle w:val="BodyText"/>
      </w:pPr>
      <w:r>
        <w:rPr>
          <w:rFonts w:hint="eastAsia"/>
        </w:rPr>
        <w:t xml:space="preserve">（2）Streaming</w:t>
      </w:r>
      <w:r>
        <w:t xml:space="preserve"> Isolation Depth and Multi-Scale Anomaly Tracking</w:t>
      </w:r>
    </w:p>
    <w:p>
      <w:pPr>
        <w:pStyle w:val="BodyText"/>
      </w:pPr>
      <w:r>
        <w:rPr>
          <w:rFonts w:hint="eastAsia"/>
        </w:rPr>
        <w:t xml:space="preserve">传统离线异常检测通常依赖静态样本库，在季节性工况漂移场景下稳定性受限。为此，本文采用流式隔离深度机制，对在线到达的系统状态特征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w:t>
      </w:r>
      <w:r>
        <w:t xml:space="preserve"> </w:t>
      </w:r>
      <m:oMath>
        <m:sSub>
          <m:e>
            <m:r>
              <m:t>s</m:t>
            </m:r>
          </m:e>
          <m:sub>
            <m:r>
              <m:t>t</m:t>
            </m:r>
          </m:sub>
        </m:sSub>
      </m:oMath>
      <w:r>
        <w:t xml:space="preserve"> </w:t>
      </w:r>
      <w:r>
        <w:t xml:space="preserve">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pPr>
        <w:pStyle w:val="BodyText"/>
      </w:pPr>
      <w:r>
        <w:rPr>
          <w:rFonts w:hint="eastAsia"/>
        </w:rPr>
        <w:t xml:space="preserve">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t xml:space="preserve">Each isolation tree isolates data points by recursively selecting random features and split state points. For a state point</w:t>
      </w:r>
      <w:r>
        <w:t xml:space="preserve"> </w:t>
      </w:r>
      <m:oMath>
        <m:sSub>
          <m:e>
            <m:r>
              <m:t>s</m:t>
            </m:r>
          </m:e>
          <m:sub>
            <m:r>
              <m:t>t</m:t>
            </m:r>
          </m:sub>
        </m:sSub>
      </m:oMath>
      <w:r>
        <w:t xml:space="preserve">, search is performed on</w:t>
      </w:r>
      <w:r>
        <w:t xml:space="preserve"> </w:t>
      </w:r>
      <m:oMath>
        <m:r>
          <m:t>ψ</m:t>
        </m:r>
      </m:oMath>
      <w:r>
        <w:t xml:space="preserve"> </w:t>
      </w:r>
      <w:r>
        <w:t xml:space="preserve">isolation trees built from the sliding reference window, and</w:t>
      </w:r>
      <w:r>
        <w:t xml:space="preserve"> </w:t>
      </w:r>
      <m:oMath>
        <m:sSub>
          <m:e>
            <m:r>
              <m:t>h</m:t>
            </m:r>
          </m:e>
          <m:sub>
            <m:r>
              <m:t>j</m:t>
            </m:r>
          </m:sub>
        </m:sSub>
        <m:r>
          <m:rPr>
            <m:sty m:val="p"/>
          </m:rPr>
          <m:t>(</m:t>
        </m:r>
        <m:sSub>
          <m:e>
            <m:r>
              <m:t>s</m:t>
            </m:r>
          </m:e>
          <m:sub>
            <m:r>
              <m:t>t</m:t>
            </m:r>
          </m:sub>
        </m:sSub>
        <m:r>
          <m:rPr>
            <m:sty m:val="p"/>
          </m:rPr>
          <m:t>)</m:t>
        </m:r>
      </m:oMath>
      <w:r>
        <w:t xml:space="preserve"> </w:t>
      </w:r>
      <w:r>
        <w:t xml:space="preserve">denotes the path length on the</w:t>
      </w:r>
      <w:r>
        <w:t xml:space="preserve"> </w:t>
      </w:r>
      <m:oMath>
        <m:r>
          <m:t>j</m:t>
        </m:r>
      </m:oMath>
      <w:r>
        <w:t xml:space="preserve">-th tree, where the path length is defined as the number of edges from the root node to the leaf node. The average isolation depth of the sample is defined as Eq. (5):</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t xml:space="preserve">Thereafter,</w:t>
      </w:r>
      <w:r>
        <w:t xml:space="preserve"> </w:t>
      </w:r>
      <m:oMath>
        <m:sSub>
          <m:e>
            <m:r>
              <m:t>h</m:t>
            </m:r>
          </m:e>
          <m:sub>
            <m:r>
              <m:rPr>
                <m:sty m:val="p"/>
              </m:rPr>
              <m:t>i</m:t>
            </m:r>
            <m:r>
              <m:rPr>
                <m:sty m:val="p"/>
              </m:rPr>
              <m:t>s</m:t>
            </m:r>
            <m:r>
              <m:rPr>
                <m:sty m:val="p"/>
              </m:rPr>
              <m:t>o</m:t>
            </m:r>
          </m:sub>
        </m:sSub>
        <m:r>
          <m:rPr>
            <m:sty m:val="p"/>
          </m:rPr>
          <m:t>(</m:t>
        </m:r>
        <m:sSub>
          <m:e>
            <m:r>
              <m:t>s</m:t>
            </m:r>
          </m:e>
          <m:sub>
            <m:r>
              <m:t>t</m:t>
            </m:r>
          </m:sub>
        </m:sSub>
        <m:r>
          <m:rPr>
            <m:sty m:val="p"/>
          </m:rPr>
          <m:t>)</m:t>
        </m:r>
      </m:oMath>
      <w:r>
        <w:t xml:space="preserve"> </w:t>
      </w:r>
      <w:r>
        <w:t xml:space="preserve">is further converted into a normalized anomaly score as Eq. (6), where</w:t>
      </w:r>
      <w:r>
        <w:t xml:space="preserve"> </w:t>
      </w:r>
      <m:oMath>
        <m:r>
          <m:t>m</m:t>
        </m:r>
      </m:oMath>
      <w:r>
        <w:t xml:space="preserve"> </w:t>
      </w:r>
      <w:r>
        <w:t xml:space="preserve">is the number of samples in the reference set and</w:t>
      </w:r>
      <w:r>
        <w:t xml:space="preserve"> </w:t>
      </w:r>
      <m:oMath>
        <m:r>
          <m:t>C</m:t>
        </m:r>
        <m:r>
          <m:rPr>
            <m:sty m:val="p"/>
          </m:rPr>
          <m:t>(</m:t>
        </m:r>
        <m:r>
          <m:t>m</m:t>
        </m:r>
        <m:r>
          <m:rPr>
            <m:sty m:val="p"/>
          </m:rPr>
          <m:t>)</m:t>
        </m:r>
      </m:oMath>
      <w:r>
        <w:t xml:space="preserve"> </w:t>
      </w:r>
      <w:r>
        <w:t xml:space="preserve">is the corresponding baseline for average path length.</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t xml:space="preserve">The normalization constant is computed as</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t xml:space="preserve">, where</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t xml:space="preserve">is the harmonic series which maps the anomaly score to the interval</w:t>
      </w:r>
      <w:r>
        <w:t xml:space="preserve"> </w:t>
      </w:r>
      <m:oMath>
        <m:r>
          <m:rPr>
            <m:sty m:val="p"/>
          </m:rPr>
          <m:t>(</m:t>
        </m:r>
        <m:r>
          <m:t>0</m:t>
        </m:r>
        <m:r>
          <m:rPr>
            <m:sty m:val="p"/>
          </m:rPr>
          <m:t>,</m:t>
        </m:r>
        <m:r>
          <m:t>1</m:t>
        </m:r>
        <m:r>
          <m:rPr>
            <m:sty m:val="p"/>
          </m:rPr>
          <m:t>)</m:t>
        </m:r>
      </m:oMath>
      <w:r>
        <w:t xml:space="preserve">: shorter paths yield scores closer to 1, indicating easy isolation, whereas longer paths yield scores closer to 0, indicating difficulty of isolation.</w:t>
      </w:r>
    </w:p>
    <w:p>
      <w:pPr>
        <w:pStyle w:val="BodyText"/>
      </w:pPr>
      <w:r>
        <w:rPr>
          <w:rFonts w:hint="eastAsia"/>
        </w:rPr>
        <w:t xml:space="preserve">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t xml:space="preserve">The computation process maintains three sliding reference windows of different sizes to form multi-scale dynamic reference sets. The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contains the most recent</w:t>
      </w:r>
      <w:r>
        <w:t xml:space="preserve"> </w:t>
      </w:r>
      <m:oMath>
        <m:sSub>
          <m:e>
            <m:r>
              <m:t>n</m:t>
            </m:r>
          </m:e>
          <m:sub>
            <m:r>
              <m:t>s</m:t>
            </m:r>
          </m:sub>
        </m:sSub>
      </m:oMath>
      <w:r>
        <w:t xml:space="preserve"> </w:t>
      </w:r>
      <w:r>
        <w:t xml:space="preserve">data points and is used to capture high-frequency fluctuations. The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contains the most recent</w:t>
      </w:r>
      <w:r>
        <w:t xml:space="preserve"> </w:t>
      </w:r>
      <m:oMath>
        <m:sSub>
          <m:e>
            <m:r>
              <m:t>n</m:t>
            </m:r>
          </m:e>
          <m:sub>
            <m:r>
              <m:t>m</m:t>
            </m:r>
          </m:sub>
        </m:sSub>
      </m:oMath>
      <w:r>
        <w:t xml:space="preserve"> </w:t>
      </w:r>
      <w:r>
        <w:t xml:space="preserve">data points and is used to represent the intraday cycle. The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contains the most recent</w:t>
      </w:r>
      <w:r>
        <w:t xml:space="preserve"> </w:t>
      </w:r>
      <m:oMath>
        <m:sSub>
          <m:e>
            <m:r>
              <m:t>n</m:t>
            </m:r>
          </m:e>
          <m:sub>
            <m:r>
              <m:t>l</m:t>
            </m:r>
          </m:sub>
        </m:sSub>
      </m:oMath>
      <w:r>
        <w:t xml:space="preserve"> </w:t>
      </w:r>
      <w:r>
        <w:t xml:space="preserve">data points and is used to describe seasonal drift, with</w:t>
      </w:r>
      <w:r>
        <w:t xml:space="preserve"> </w:t>
      </w:r>
      <m:oMath>
        <m:sSub>
          <m:e>
            <m:r>
              <m:t>n</m:t>
            </m:r>
          </m:e>
          <m:sub>
            <m:r>
              <m:t>s</m:t>
            </m:r>
          </m:sub>
        </m:sSub>
        <m:r>
          <m:rPr>
            <m:sty m:val="p"/>
          </m:rPr>
          <m:t>&lt;</m:t>
        </m:r>
        <m:sSub>
          <m:e>
            <m:r>
              <m:t>n</m:t>
            </m:r>
          </m:e>
          <m:sub>
            <m:r>
              <m:t>m</m:t>
            </m:r>
          </m:sub>
        </m:sSub>
        <m:r>
          <m:rPr>
            <m:sty m:val="p"/>
          </m:rPr>
          <m:t>&lt;</m:t>
        </m:r>
        <m:sSub>
          <m:e>
            <m:r>
              <m:t>n</m:t>
            </m:r>
          </m:e>
          <m:sub>
            <m:r>
              <m:t>l</m:t>
            </m:r>
          </m:sub>
        </m:sSub>
      </m:oMath>
      <w:r>
        <w:t xml:space="preserve">. Isolation trees are applied independently to each window, and an anomaly score is produced at each scale at every time step. Let</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t xml:space="preserve"> </w:t>
      </w:r>
      <w:r>
        <w:t xml:space="preserve">and let</w:t>
      </w:r>
      <w:r>
        <w:t xml:space="preserve"> </w:t>
      </w:r>
      <m:oMath>
        <m:sSub>
          <m:e>
            <m:r>
              <m:t>n</m:t>
            </m:r>
          </m:e>
          <m:sub>
            <m:r>
              <m:t>κ</m:t>
            </m:r>
          </m:sub>
        </m:sSub>
      </m:oMath>
      <w:r>
        <w:t xml:space="preserve"> </w:t>
      </w:r>
      <w:r>
        <w:t xml:space="preserve">denote the corresponding window size. The corresponding scale-specific anomaly score is given by Eq. (7):</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t xml:space="preserve">All scale-specific scores are normalized to the interval</w:t>
      </w:r>
      <w:r>
        <w:t xml:space="preserve"> </w:t>
      </w:r>
      <m:oMath>
        <m:r>
          <m:rPr>
            <m:sty m:val="p"/>
          </m:rPr>
          <m:t>[</m:t>
        </m:r>
        <m:r>
          <m:t>0</m:t>
        </m:r>
        <m:r>
          <m:rPr>
            <m:sty m:val="p"/>
          </m:rPr>
          <m:t>,</m:t>
        </m:r>
        <m:r>
          <m:t>1</m:t>
        </m:r>
        <m:r>
          <m:rPr>
            <m:sty m:val="p"/>
          </m:rPr>
          <m:t>]</m:t>
        </m:r>
      </m:oMath>
      <w:r>
        <w:t xml:space="preserve">. The overall anomaly score is defined as a weighted fusion of the three scale-specific scores as Eq. (8).</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t xml:space="preserve">where</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t xml:space="preserve">and</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which represent the fusion weights of the corresponding time scales.</w:t>
      </w:r>
    </w:p>
    <w:p>
      <w:pPr>
        <w:pStyle w:val="BodyText"/>
      </w:pPr>
      <w:r>
        <w:rPr>
          <w:rFonts w:hint="eastAsia"/>
        </w:rPr>
        <w:t xml:space="preserve">本文通过短、中、长三个时间尺度的加权融合来构建综合异常分数。其中，短时尺度主要用于捕捉高频扰动，中时尺度用于表征日内周期变化，长时尺度用于跟踪季节性漂移与长期慢变过程。该多尺度融合机制使门控模块能够同时响应局部突发扰动与系统级慢变趋势，避免单一尺度统计在非平稳工况下出现的灵敏性不足或过触发问题，从而提升门控机制在跨工况场景下的适应性与鲁棒性。</w:t>
      </w:r>
    </w:p>
    <w:p>
      <w:pPr>
        <w:pStyle w:val="BodyText"/>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pPr>
        <w:pStyle w:val="BodyText"/>
      </w:pPr>
      <w:r>
        <w:rPr>
          <w:rFonts w:hint="eastAsia"/>
        </w:rPr>
        <w:t xml:space="preserve">（3）流式双层自适应阈值优化</w:t>
      </w:r>
    </w:p>
    <w:p>
      <w:pPr>
        <w:pStyle w:val="BodyText"/>
      </w:pPr>
      <w:r>
        <w:rPr>
          <w:rFonts w:hint="eastAsia"/>
        </w:rPr>
        <w:t xml:space="preserve">（3）Streaming</w:t>
      </w:r>
      <w:r>
        <w:t xml:space="preserve"> Two-Layer Adaptive Threshold Optimization</w:t>
      </w:r>
    </w:p>
    <w:p>
      <w:pPr>
        <w:pStyle w:val="BodyText"/>
      </w:pPr>
      <w:r>
        <w:rPr>
          <w:rFonts w:hint="eastAsia"/>
        </w:rPr>
        <w:t xml:space="preserve">式</w:t>
      </w:r>
      <w:r>
        <w:t xml:space="preserve"> (8) </w:t>
      </w:r>
      <w:r>
        <w:rPr>
          <w:rFonts w:hint="eastAsia"/>
        </w:rPr>
        <w:t xml:space="preserve">给出了多尺度融合异常分数</w:t>
      </w:r>
      <w:r>
        <w:t xml:space="preserve"> </w:t>
      </w:r>
      <m:oMath>
        <m:r>
          <m:t>A</m:t>
        </m:r>
        <m:r>
          <m:rPr>
            <m:sty m:val="p"/>
          </m:rPr>
          <m:t>(</m:t>
        </m:r>
        <m:sSub>
          <m:e>
            <m:r>
              <m:t>s</m:t>
            </m:r>
          </m:e>
          <m:sub>
            <m:r>
              <m:t>t</m:t>
            </m:r>
          </m:sub>
        </m:sSub>
        <m:r>
          <m:rPr>
            <m:sty m:val="p"/>
          </m:rPr>
          <m:t>)</m:t>
        </m:r>
      </m:oMath>
      <w:r>
        <w:rPr>
          <w:rFonts w:hint="eastAsia"/>
        </w:rPr>
        <w:t xml:space="preserve">，但触发决策还需将其与阈值</w:t>
      </w:r>
      <w:r>
        <w:t xml:space="preserve"> </w:t>
      </w:r>
      <m:oMath>
        <m:sSub>
          <m:e>
            <m:r>
              <m:t>τ</m:t>
            </m:r>
          </m:e>
          <m:sub>
            <m:r>
              <m:t>t</m:t>
            </m:r>
          </m:sub>
        </m:sSub>
      </m:oMath>
      <w:r>
        <w:t xml:space="preserve"> </w:t>
      </w:r>
      <w:r>
        <w:rPr>
          <w:rFonts w:hint="eastAsia"/>
        </w:rPr>
        <w:t xml:space="preserve">进行比较，即式</w:t>
      </w:r>
      <w:r>
        <w:t xml:space="preserve"> (2) </w:t>
      </w:r>
      <w:r>
        <w:rPr>
          <w:rFonts w:hint="eastAsia"/>
        </w:rPr>
        <w:t xml:space="preserve">的判别条件。若采用固定阈值，在</w:t>
      </w:r>
      <w:r>
        <w:t xml:space="preserve"> HVAC </w:t>
      </w:r>
      <w:r>
        <w:rPr>
          <w:rFonts w:hint="eastAsia"/>
        </w:rPr>
        <w:t xml:space="preserve">长周期非平稳运行中易出现灵敏性不足或过触发问题；若仅依赖单一自适应统计量，则难以同时兼顾短期扰动的快速响应与长期漂移的平滑跟踪。为此，本文构造局部-全局双层自适应阈值，通过快慢双时间尺度的协同更新实现自适应触发判定。具体而言，首先在滑动窗口内基于上分位数与绝对中位差分别估计异常分数经验分布的上尾边界，并加权融合为候选阈值；随后对该候选阈值进行局部指数平滑，得到能够快速跟踪近期工况变化的局部阈值；最后引入更新速率更慢的全局阈值，为长期漂移提供平滑基线约束。最终，触发阈值并非由单一统计量给出，而是由局部阈值与全局阈值共同决定。</w:t>
      </w:r>
    </w:p>
    <w:p>
      <w:pPr>
        <w:pStyle w:val="BodyText"/>
      </w:pPr>
      <w:r>
        <w:t xml:space="preserve">Eq. (8) provides the multi-scale fused anomaly score</w:t>
      </w:r>
      <w:r>
        <w:t xml:space="preserve"> </w:t>
      </w:r>
      <m:oMath>
        <m:r>
          <m:t>A</m:t>
        </m:r>
        <m:r>
          <m:rPr>
            <m:sty m:val="p"/>
          </m:rPr>
          <m:t>(</m:t>
        </m:r>
        <m:sSub>
          <m:e>
            <m:r>
              <m:t>s</m:t>
            </m:r>
          </m:e>
          <m:sub>
            <m:r>
              <m:t>t</m:t>
            </m:r>
          </m:sub>
        </m:sSub>
        <m:r>
          <m:rPr>
            <m:sty m:val="p"/>
          </m:rPr>
          <m:t>)</m:t>
        </m:r>
      </m:oMath>
      <w:r>
        <w:t xml:space="preserve">, but the triggering decision still requires comparing this score against a threshold</w:t>
      </w:r>
      <w:r>
        <w:t xml:space="preserve"> </w:t>
      </w:r>
      <m:oMath>
        <m:sSub>
          <m:e>
            <m:r>
              <m:t>τ</m:t>
            </m:r>
          </m:e>
          <m:sub>
            <m:r>
              <m:t>t</m:t>
            </m:r>
          </m:sub>
        </m:sSub>
      </m:oMath>
      <w:r>
        <w:t xml:space="preserve">,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pPr>
        <w:pStyle w:val="BodyText"/>
      </w:pPr>
      <w:r>
        <w:t xml:space="preserve">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pPr>
        <w:pStyle w:val="BodyText"/>
      </w:pPr>
      <w:r>
        <w:rPr>
          <w:rFonts w:hint="eastAsia"/>
        </w:rPr>
        <w:t xml:space="preserve">为降低异常样本对位置统计量和尺度统计量的影响，本文采用两类鲁棒统计量构造候选阈值：基于上分位数的阈值</w:t>
      </w:r>
      <w:r>
        <w:t xml:space="preserve"> </w:t>
      </w:r>
      <m:oMath>
        <m:sSubSup>
          <m:e>
            <m:r>
              <m:t>τ</m:t>
            </m:r>
          </m:e>
          <m:sub>
            <m:r>
              <m:t>q</m:t>
            </m:r>
          </m:sub>
          <m:sup>
            <m:r>
              <m:rPr>
                <m:sty m:val="p"/>
              </m:rPr>
              <m:t>(</m:t>
            </m:r>
            <m:r>
              <m:t>t</m:t>
            </m:r>
            <m:r>
              <m:rPr>
                <m:sty m:val="p"/>
              </m:rPr>
              <m:t>)</m:t>
            </m:r>
          </m:sup>
        </m:sSubSup>
      </m:oMath>
      <w:r>
        <w:t xml:space="preserve"> </w:t>
      </w:r>
      <w:r>
        <w:rPr>
          <w:rFonts w:hint="eastAsia"/>
        </w:rPr>
        <w:t xml:space="preserve">与基于绝对中位差（MAD）的阈值</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rPr>
          <w:rFonts w:hint="eastAsia"/>
        </w:rPr>
        <w:t xml:space="preserve">。前者表征异常分数经验分布的上尾位置，后者刻画围绕中位数的稳健离散度，二者定义如下：</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rPr>
          <w:rFonts w:hint="eastAsia"/>
        </w:rPr>
        <w:t xml:space="preserve">其中，</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rPr>
          <w:rFonts w:hint="eastAsia"/>
        </w:rPr>
        <w:t xml:space="preserve">表示长度为</w:t>
      </w:r>
      <w:r>
        <w:t xml:space="preserve"> </w:t>
      </w:r>
      <m:oMath>
        <m:r>
          <m:t>W</m:t>
        </m:r>
      </m:oMath>
      <w:r>
        <w:t xml:space="preserve"> </w:t>
      </w:r>
      <w:r>
        <w:rPr>
          <w:rFonts w:hint="eastAsia"/>
        </w:rPr>
        <w:t xml:space="preserve">的异常分数滑动窗口，</w:t>
      </w:r>
      <m:oMath>
        <m:r>
          <m:t>W</m:t>
        </m:r>
      </m:oMath>
      <w:r>
        <w:t xml:space="preserve"> </w:t>
      </w:r>
      <w:r>
        <w:rPr>
          <w:rFonts w:hint="eastAsia"/>
        </w:rPr>
        <w:t xml:space="preserve">为窗口长度；</w:t>
      </w:r>
      <m:oMath>
        <m:sSub>
          <m:e>
            <m:r>
              <m:t>Q</m:t>
            </m:r>
          </m:e>
          <m:sub>
            <m:r>
              <m:t>q</m:t>
            </m:r>
          </m:sub>
        </m:sSub>
        <m:r>
          <m:rPr>
            <m:sty m:val="p"/>
          </m:rPr>
          <m:t>(</m:t>
        </m:r>
        <m:r>
          <m:rPr>
            <m:sty m:val="p"/>
          </m:rPr>
          <m:t>⋅</m:t>
        </m:r>
        <m:r>
          <m:rPr>
            <m:sty m:val="p"/>
          </m:rPr>
          <m:t>)</m:t>
        </m:r>
      </m:oMath>
      <w:r>
        <w:t xml:space="preserve"> </w:t>
      </w:r>
      <w:r>
        <w:rPr>
          <w:rFonts w:hint="eastAsia"/>
        </w:rPr>
        <w:t xml:space="preserve">表示分位点为</w:t>
      </w:r>
      <w:r>
        <w:t xml:space="preserve"> </w:t>
      </w:r>
      <m:oMath>
        <m:r>
          <m:t>q</m:t>
        </m:r>
      </m:oMath>
      <w:r>
        <w:t xml:space="preserve"> </w:t>
      </w:r>
      <w:r>
        <w:rPr>
          <w:rFonts w:hint="eastAsia"/>
        </w:rPr>
        <w:t xml:space="preserve">的经验分位数，且</w:t>
      </w:r>
      <w:r>
        <w:t xml:space="preserve"> </w:t>
      </w:r>
      <m:oMath>
        <m:r>
          <m:t>q</m:t>
        </m:r>
        <m:r>
          <m:rPr>
            <m:sty m:val="p"/>
          </m:rPr>
          <m:t>∈</m:t>
        </m:r>
        <m:r>
          <m:rPr>
            <m:sty m:val="p"/>
          </m:rPr>
          <m:t>(</m:t>
        </m:r>
        <m:r>
          <m:t>0.5</m:t>
        </m:r>
        <m:r>
          <m:rPr>
            <m:sty m:val="p"/>
          </m:rPr>
          <m:t>,</m:t>
        </m:r>
        <m:r>
          <m:t>1</m:t>
        </m:r>
        <m:r>
          <m:rPr>
            <m:sty m:val="p"/>
          </m:rPr>
          <m:t>)</m:t>
        </m:r>
      </m:oMath>
      <w:r>
        <w:rPr>
          <w:rFonts w:hint="eastAsia"/>
        </w:rPr>
        <w:t xml:space="preserve">；</w:t>
      </w:r>
      <m:oMath>
        <m:r>
          <m:rPr>
            <m:sty m:val="p"/>
          </m:rPr>
          <m:t>med</m:t>
        </m:r>
        <m:r>
          <m:rPr>
            <m:sty m:val="p"/>
          </m:rPr>
          <m:t>(</m:t>
        </m:r>
        <m:r>
          <m:rPr>
            <m:sty m:val="p"/>
          </m:rPr>
          <m:t>⋅</m:t>
        </m:r>
        <m:r>
          <m:rPr>
            <m:sty m:val="p"/>
          </m:rPr>
          <m:t>)</m:t>
        </m:r>
      </m:oMath>
      <w:r>
        <w:t xml:space="preserve"> </w:t>
      </w:r>
      <w:r>
        <w:rPr>
          <w:rFonts w:hint="eastAsia"/>
        </w:rPr>
        <w:t xml:space="preserve">为中位数函数；</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为高斯分布下的正常一致性校正常数。</w:t>
      </w:r>
      <m:oMath>
        <m:sSubSup>
          <m:e>
            <m:r>
              <m:t>τ</m:t>
            </m:r>
          </m:e>
          <m:sub>
            <m:r>
              <m:t>q</m:t>
            </m:r>
          </m:sub>
          <m:sup>
            <m:r>
              <m:rPr>
                <m:sty m:val="p"/>
              </m:rPr>
              <m:t>(</m:t>
            </m:r>
            <m:r>
              <m:t>t</m:t>
            </m:r>
            <m:r>
              <m:rPr>
                <m:sty m:val="p"/>
              </m:rPr>
              <m:t>)</m:t>
            </m:r>
          </m:sup>
        </m:sSubSup>
      </m:oMath>
      <w:r>
        <w:t xml:space="preserve"> </w:t>
      </w:r>
      <w:r>
        <w:rPr>
          <w:rFonts w:hint="eastAsia"/>
        </w:rPr>
        <w:t xml:space="preserve">主要表征异常分数经验分布的上尾位置，而</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rPr>
          <w:rFonts w:hint="eastAsia"/>
        </w:rPr>
        <w:t xml:space="preserve">则根据窗口内分数的稳健离散程度对该边界进行修正。</w:t>
      </w:r>
    </w:p>
    <w:p>
      <w:pPr>
        <w:pStyle w:val="BodyText"/>
      </w:pPr>
      <w:r>
        <w:t xml:space="preserve">To reduce the influence of anomalous samples on location and scale statistics, we employ two robust statistics to construct the candidate threshold: an upper-quantile-based threshold</w:t>
      </w:r>
      <w:r>
        <w:t xml:space="preserve"> </w:t>
      </w:r>
      <m:oMath>
        <m:sSubSup>
          <m:e>
            <m:r>
              <m:t>τ</m:t>
            </m:r>
          </m:e>
          <m:sub>
            <m:r>
              <m:t>q</m:t>
            </m:r>
          </m:sub>
          <m:sup>
            <m:r>
              <m:rPr>
                <m:sty m:val="p"/>
              </m:rPr>
              <m:t>(</m:t>
            </m:r>
            <m:r>
              <m:t>t</m:t>
            </m:r>
            <m:r>
              <m:rPr>
                <m:sty m:val="p"/>
              </m:rPr>
              <m:t>)</m:t>
            </m:r>
          </m:sup>
        </m:sSubSup>
      </m:oMath>
      <w:r>
        <w:t xml:space="preserve"> </w:t>
      </w:r>
      <w:r>
        <w:t xml:space="preserve">and a MAD based threshold</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The former captures the upper-tail position of the empirical anomaly score distribution, while the latter characterizes the robust dispersion around the median defined as Eqs. (9) and (10):</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t xml:space="preserve">where</w:t>
      </w:r>
      <w:r>
        <w:t xml:space="preserve"> </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t xml:space="preserve">denotes the anomaly score sliding window of length</w:t>
      </w:r>
      <w:r>
        <w:t xml:space="preserve"> </w:t>
      </w:r>
      <m:oMath>
        <m:r>
          <m:t>W</m:t>
        </m:r>
      </m:oMath>
      <w:r>
        <w:t xml:space="preserve">;</w:t>
      </w:r>
      <w:r>
        <w:t xml:space="preserve"> </w:t>
      </w:r>
      <m:oMath>
        <m:sSub>
          <m:e>
            <m:r>
              <m:t>Q</m:t>
            </m:r>
          </m:e>
          <m:sub>
            <m:r>
              <m:t>q</m:t>
            </m:r>
          </m:sub>
        </m:sSub>
        <m:r>
          <m:rPr>
            <m:sty m:val="p"/>
          </m:rPr>
          <m:t>(</m:t>
        </m:r>
        <m:r>
          <m:rPr>
            <m:sty m:val="p"/>
          </m:rPr>
          <m:t>⋅</m:t>
        </m:r>
        <m:r>
          <m:rPr>
            <m:sty m:val="p"/>
          </m:rPr>
          <m:t>)</m:t>
        </m:r>
      </m:oMath>
      <w:r>
        <w:t xml:space="preserve"> </w:t>
      </w:r>
      <w:r>
        <w:t xml:space="preserve">is the empirical quantile at level</w:t>
      </w:r>
      <w:r>
        <w:t xml:space="preserve"> </w:t>
      </w:r>
      <m:oMath>
        <m:r>
          <m:t>q</m:t>
        </m:r>
        <m:r>
          <m:rPr>
            <m:sty m:val="p"/>
          </m:rPr>
          <m:t>∈</m:t>
        </m:r>
        <m:r>
          <m:rPr>
            <m:sty m:val="p"/>
          </m:rPr>
          <m:t>(</m:t>
        </m:r>
        <m:r>
          <m:t>0.5</m:t>
        </m:r>
        <m:r>
          <m:rPr>
            <m:sty m:val="p"/>
          </m:rPr>
          <m:t>,</m:t>
        </m:r>
        <m:r>
          <m:t>1</m:t>
        </m:r>
        <m:r>
          <m:rPr>
            <m:sty m:val="p"/>
          </m:rPr>
          <m:t>)</m:t>
        </m:r>
      </m:oMath>
      <w:r>
        <w:t xml:space="preserve">;</w:t>
      </w:r>
      <w:r>
        <w:t xml:space="preserve"> </w:t>
      </w:r>
      <m:oMath>
        <m:r>
          <m:rPr>
            <m:sty m:val="p"/>
          </m:rPr>
          <m:t>med</m:t>
        </m:r>
        <m:r>
          <m:rPr>
            <m:sty m:val="p"/>
          </m:rPr>
          <m:t>(</m:t>
        </m:r>
        <m:r>
          <m:rPr>
            <m:sty m:val="p"/>
          </m:rPr>
          <m:t>⋅</m:t>
        </m:r>
        <m:r>
          <m:rPr>
            <m:sty m:val="p"/>
          </m:rPr>
          <m:t>)</m:t>
        </m:r>
      </m:oMath>
      <w:r>
        <w:t xml:space="preserve"> </w:t>
      </w:r>
      <w:r>
        <w:t xml:space="preserve">is the median function;</w:t>
      </w:r>
      <w:r>
        <w:t xml:space="preserve"> </w:t>
      </w:r>
      <m:oMath>
        <m:r>
          <m:t>κ</m:t>
        </m:r>
      </m:oMath>
      <w:r>
        <w:t xml:space="preserve"> </w:t>
      </w:r>
      <w:r>
        <w:t xml:space="preserve">is the sensitivity coefficient; and</w:t>
      </w:r>
      <w:r>
        <w:t xml:space="preserve"> </w:t>
      </w:r>
      <m:oMath>
        <m:r>
          <m:t>c</m:t>
        </m:r>
        <m:r>
          <m:rPr>
            <m:sty m:val="p"/>
          </m:rPr>
          <m:t>≈</m:t>
        </m:r>
        <m:r>
          <m:t>1.4826</m:t>
        </m:r>
      </m:oMath>
      <w:r>
        <w:t xml:space="preserve"> </w:t>
      </w:r>
      <w:r>
        <w:t xml:space="preserve">is the consistency constant for Gaussian distributions. The threshold</w:t>
      </w:r>
      <w:r>
        <w:t xml:space="preserve"> </w:t>
      </w:r>
      <m:oMath>
        <m:sSubSup>
          <m:e>
            <m:r>
              <m:t>τ</m:t>
            </m:r>
          </m:e>
          <m:sub>
            <m:r>
              <m:t>q</m:t>
            </m:r>
          </m:sub>
          <m:sup>
            <m:r>
              <m:rPr>
                <m:sty m:val="p"/>
              </m:rPr>
              <m:t>(</m:t>
            </m:r>
            <m:r>
              <m:t>t</m:t>
            </m:r>
            <m:r>
              <m:rPr>
                <m:sty m:val="p"/>
              </m:rPr>
              <m:t>)</m:t>
            </m:r>
          </m:sup>
        </m:sSubSup>
      </m:oMath>
      <w:r>
        <w:t xml:space="preserve"> </w:t>
      </w:r>
      <w:r>
        <w:t xml:space="preserve">primarily characterizes the upper-tail position of the empirical anomaly score distribution, whereas</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t xml:space="preserve">refines this boundary according to the robust dispersion of scores within the window.</w:t>
      </w:r>
    </w:p>
    <w:p>
      <w:pPr>
        <w:pStyle w:val="BodyText"/>
      </w:pPr>
      <w:r>
        <w:rPr>
          <w:rFonts w:hint="eastAsia"/>
        </w:rPr>
        <w:t xml:space="preserve">在此基础上，本文构造局部候选阈值，用于给出历史窗口下的触发阈值估计：</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为融合权重。</w:t>
      </w:r>
      <m:oMath>
        <m:sSub>
          <m:e>
            <m:r>
              <m:t>ω</m:t>
            </m:r>
          </m:e>
          <m:sub>
            <m:r>
              <m:t>q</m:t>
            </m:r>
          </m:sub>
        </m:sSub>
      </m:oMath>
      <w:r>
        <w:t xml:space="preserve"> </w:t>
      </w:r>
      <w:r>
        <w:rPr>
          <w:rFonts w:hint="eastAsia"/>
        </w:rPr>
        <w:t xml:space="preserve">较大时，候选阈值更接近上尾分位边界，因此更依赖当前异常分数是否超过历史窗口中的高分位水平；</w:t>
      </w:r>
      <m:oMath>
        <m:sSub>
          <m:e>
            <m:r>
              <m:t>ω</m:t>
            </m:r>
          </m:e>
          <m:sub>
            <m:r>
              <m:t>q</m:t>
            </m:r>
          </m:sub>
        </m:sSub>
      </m:oMath>
      <w:r>
        <w:t xml:space="preserve"> </w:t>
      </w:r>
      <w:r>
        <w:rPr>
          <w:rFonts w:hint="eastAsia"/>
        </w:rPr>
        <w:t xml:space="preserve">较小时，候选阈值更强调</w:t>
      </w:r>
      <w:r>
        <w:t xml:space="preserve"> MAD </w:t>
      </w:r>
      <w:r>
        <w:rPr>
          <w:rFonts w:hint="eastAsia"/>
        </w:rPr>
        <w:t xml:space="preserve">所反映的稳健波动尺度，因此对分数分布的扩张或收缩更为敏感。</w:t>
      </w:r>
    </w:p>
    <w:p>
      <w:pPr>
        <w:pStyle w:val="BodyText"/>
      </w:pPr>
      <w:r>
        <w:t xml:space="preserve">On this basis, we construct the local candidate threshold to provide an initial estimate of the triggering boundary for the historical window defined as Eq. (11):</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ω</m:t>
            </m:r>
          </m:e>
          <m:sub>
            <m:r>
              <m:t>q</m:t>
            </m:r>
          </m:sub>
        </m:sSub>
        <m:r>
          <m:rPr>
            <m:sty m:val="p"/>
          </m:rPr>
          <m:t>∈</m:t>
        </m:r>
        <m:r>
          <m:rPr>
            <m:sty m:val="p"/>
          </m:rPr>
          <m:t>[</m:t>
        </m:r>
        <m:r>
          <m:t>0</m:t>
        </m:r>
        <m:r>
          <m:rPr>
            <m:sty m:val="p"/>
          </m:rPr>
          <m:t>,</m:t>
        </m:r>
        <m:r>
          <m:t>1</m:t>
        </m:r>
        <m:r>
          <m:rPr>
            <m:sty m:val="p"/>
          </m:rPr>
          <m:t>]</m:t>
        </m:r>
      </m:oMath>
      <w:r>
        <w:t xml:space="preserve"> </w:t>
      </w:r>
      <w:r>
        <w:t xml:space="preserve">is the fusion weight. A larger</w:t>
      </w:r>
      <w:r>
        <w:t xml:space="preserve"> </w:t>
      </w:r>
      <m:oMath>
        <m:sSub>
          <m:e>
            <m:r>
              <m:t>ω</m:t>
            </m:r>
          </m:e>
          <m:sub>
            <m:r>
              <m:t>q</m:t>
            </m:r>
          </m:sub>
        </m:sSub>
      </m:oMath>
      <w:r>
        <w:t xml:space="preserve"> </w:t>
      </w:r>
      <w:r>
        <w:t xml:space="preserve">shifts the candidate threshold closer to the upper-quantile boundary, making the criterion more dependent on whether the current anomaly score exceeds the high-quantile level within the historical window. A smaller</w:t>
      </w:r>
      <w:r>
        <w:t xml:space="preserve"> </w:t>
      </w:r>
      <m:oMath>
        <m:sSub>
          <m:e>
            <m:r>
              <m:t>ω</m:t>
            </m:r>
          </m:e>
          <m:sub>
            <m:r>
              <m:t>q</m:t>
            </m:r>
          </m:sub>
        </m:sSub>
      </m:oMath>
      <w:r>
        <w:t xml:space="preserve"> </w:t>
      </w:r>
      <w:r>
        <w:t xml:space="preserve">takes greater emphasis on the robust fluctuation scale reflected by MAD, thereby increasing sensitivity to expansion or contraction of the score distribution.</w:t>
      </w:r>
    </w:p>
    <w:p>
      <w:pPr>
        <w:pStyle w:val="BodyText"/>
      </w:pPr>
      <w:r>
        <w:rPr>
          <w:rFonts w:hint="eastAsia"/>
        </w:rPr>
        <w:t xml:space="preserve">由于</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rPr>
          <w:rFonts w:hint="eastAsia"/>
        </w:rPr>
        <w:t xml:space="preserve">仍可能受到单时刻尖峰扰动的影响，本文进一步对其进行快时间尺度上的指数平滑，得到局部阈值：</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为局部更新率，</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oMath>
      <w:r>
        <w:t xml:space="preserve"> </w:t>
      </w:r>
      <w:r>
        <w:rPr>
          <w:rFonts w:hint="eastAsia"/>
        </w:rPr>
        <w:t xml:space="preserve">取首个完整滑动窗口上得到的候选阈值。该步骤通过一阶平滑在阈值响应性与抗抖动性之间取得折衷。</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较大时，局部阈值更快跟随近期工况切换；</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较小时，局部阈值对短时脉冲噪声更不敏感。</w:t>
      </w:r>
    </w:p>
    <w:p>
      <w:pPr>
        <w:pStyle w:val="BodyText"/>
      </w:pPr>
      <w:r>
        <w:t xml:space="preserve">As</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t xml:space="preserve">may still be affected by single-step spike disturbances, we further apply exponential smoothing on a fast timescale to obtain the local threshold as Eq. (12):</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is the local update rate, and</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with</w:t>
      </w:r>
      <w:r>
        <w:t xml:space="preserve"> </w:t>
      </w:r>
      <m:oMath>
        <m:sSub>
          <m:e>
            <m:r>
              <m:t>t</m:t>
            </m:r>
          </m:e>
          <m:sub>
            <m:r>
              <m:t>0</m:t>
            </m:r>
          </m:sub>
        </m:sSub>
      </m:oMath>
      <w:r>
        <w:t xml:space="preserve"> </w:t>
      </w:r>
      <w:r>
        <w:t xml:space="preserve">denoting the first time step at which a complete sliding window is available. By applying first-order smoothing,</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w:r>
        <w:t xml:space="preserve"> </w:t>
      </w:r>
      <w:r>
        <w:t xml:space="preserve">achieves a trade-off between threshold responsiveness and resistance to jitter. A larger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enables the local threshold to follow recent operating condition transitions more rapidly, whereas a smaller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makes the local threshold less sensitive to short-duration impulsive noise.</w:t>
      </w:r>
    </w:p>
    <w:p>
      <w:pPr>
        <w:pStyle w:val="BodyText"/>
      </w:pPr>
      <w:r>
        <w:rPr>
          <w:rFonts w:hint="eastAsia"/>
        </w:rPr>
        <w:t xml:space="preserve">若系统因季节变化、设备老化或运行边界迁移而发生缓慢漂移，局部阈值可能被长期变化逐步牵引，从而削弱对持续分布偏移的识别能力。因此，本文进一步在更慢时间尺度上构造全局阈值，作为长期基线参考：</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其中，</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rPr>
          <w:rFonts w:hint="eastAsia"/>
        </w:rPr>
        <w:t xml:space="preserve">（</w:t>
      </w:r>
      <m:oMath>
        <m:sSub>
          <m:e>
            <m:r>
              <m:t>t</m:t>
            </m:r>
          </m:e>
          <m:sub>
            <m:r>
              <m:t>0</m:t>
            </m:r>
          </m:sub>
        </m:sSub>
      </m:oMath>
      <w:r>
        <w:t xml:space="preserve"> </w:t>
      </w:r>
      <w:r>
        <w:rPr>
          <w:rFonts w:hint="eastAsia"/>
        </w:rPr>
        <w:t xml:space="preserve">为首个完整滑动窗口可用时的时间步），且</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，以保证全局阈值具有更强的平滑性与迟滞性。</w:t>
      </w:r>
    </w:p>
    <w:p>
      <w:pPr>
        <w:pStyle w:val="BodyText"/>
      </w:pPr>
      <w:r>
        <w:t xml:space="preserve">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t xml:space="preserve">where</w:t>
      </w:r>
      <w:r>
        <w:t xml:space="preserve"> </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and</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t xml:space="preserve">, ensuring that the global threshold exhibits stronger smoothness and hysteresis.</w:t>
      </w:r>
    </w:p>
    <w:p>
      <w:pPr>
        <w:pStyle w:val="BodyText"/>
      </w:pPr>
      <w:r>
        <w:rPr>
          <w:rFonts w:hint="eastAsia"/>
        </w:rPr>
        <w:t xml:space="preserve">最终，流式双层自适应阈值由局部阈值与全局阈值融合得到：</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控制短期信息与长期信息的融合比例：当其增大时，最终阈值更偏向近期工况，响应更灵敏；当其减小时，最终阈值更偏向长期基线，判定更稳定。</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rPr>
          <w:rFonts w:hint="eastAsia"/>
        </w:rPr>
        <w:t xml:space="preserve">为整体平移校正项，用于补偿有限窗口估计在不同运行阶段下可能带来的系统性偏差。特别是在夜间低负荷等高度平稳阶段，若仅依赖局部与全局统计量，触发边界可能在窗口效应下出现偏置并导致边界附近频繁切换；引入该项有助于提升判据的稳健性。</w:t>
      </w:r>
    </w:p>
    <w:p>
      <w:pPr>
        <w:pStyle w:val="BodyText"/>
      </w:pPr>
      <w:r>
        <w:t xml:space="preserve">The final streaming two-layer adaptive threshold is obtained by fusing the local and global thresholds as Eq. (14):</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t xml:space="preserve">where</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controls the blending ratio between short-term and long-term information. Increasing</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shifts the final threshold toward recent operating conditions, yielding more responsive triggering behavior; decreasing it shifts the threshold toward the long-term baseline, yielding more stable judgment. The term</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t xml:space="preserve">is a global offset correction that compensates for potential systematic bias arising from finite-window estimation at different operating stages. 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bookmarkEnd w:id="15"/>
    <w:bookmarkStart w:id="16" w:name="X814d24bd9ffe6807b0228de402160123fcf70b2"/>
    <w:p>
      <w:pPr>
        <w:pStyle w:val="Heading2"/>
      </w:pPr>
      <w:r>
        <w:t xml:space="preserve">3.2 </w:t>
      </w:r>
      <w:r>
        <w:rPr>
          <w:rFonts w:hint="eastAsia"/>
        </w:rPr>
        <w:t xml:space="preserve">在线流式事件门控模块构建</w:t>
      </w:r>
      <w:r>
        <w:t xml:space="preserve"> / Online Streaming Event Gating Module Construction</w:t>
      </w:r>
    </w:p>
    <w:p>
      <w:pPr>
        <w:pStyle w:val="FirstParagraph"/>
      </w:pPr>
      <w:r>
        <w:rPr>
          <w:rFonts w:hint="eastAsia"/>
        </w:rPr>
        <w:t xml:space="preserve">在获得基础自适应门控阈值</w:t>
      </w:r>
      <w:r>
        <w:t xml:space="preserve"> </w:t>
      </w:r>
      <m:oMath>
        <m:sSub>
          <m:e>
            <m:acc>
              <m:accPr>
                <m:chr m:val="̃"/>
              </m:accPr>
              <m:e>
                <m:r>
                  <m:t>τ</m:t>
                </m:r>
              </m:e>
            </m:acc>
          </m:e>
          <m:sub>
            <m:r>
              <m:t>t</m:t>
            </m:r>
          </m:sub>
        </m:sSub>
      </m:oMath>
      <w:r>
        <w:t xml:space="preserve"> </w:t>
      </w:r>
      <w:r>
        <w:rPr>
          <w:rFonts w:hint="eastAsia"/>
        </w:rPr>
        <w:t xml:space="preserve">后，门控模块进一步将其转化为实际触发判据。与传统固定阈值和单条件越限触发策略不同，本模块采用异常强度判别与时间约束抑振的联合判定形式，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与自适应阈值实现对当前状态偏离程度的阈值判定，后者通过最小触发间隔约束显式控制动作更新频率，避免短时高频波动引发连续触发，进而导致执行器过度切换。</w:t>
      </w:r>
    </w:p>
    <w:p>
      <w:pPr>
        <w:pStyle w:val="BodyText"/>
      </w:pPr>
      <w:r>
        <w:t xml:space="preserve">After obtaining the basic adaptive gating threshold</w:t>
      </w:r>
      <w:r>
        <w:t xml:space="preserve"> </w:t>
      </w:r>
      <m:oMath>
        <m:sSub>
          <m:e>
            <m:acc>
              <m:accPr>
                <m:chr m:val="̃"/>
              </m:accPr>
              <m:e>
                <m:r>
                  <m:t>τ</m:t>
                </m:r>
              </m:e>
            </m:acc>
          </m:e>
          <m:sub>
            <m: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w:t>
      </w:r>
      <w:r>
        <w:t xml:space="preserve"> </w:t>
      </w:r>
      <m:oMath>
        <m:r>
          <m:t>A</m:t>
        </m:r>
        <m:r>
          <m:rPr>
            <m:sty m:val="p"/>
          </m:rPr>
          <m:t>(</m:t>
        </m:r>
        <m:sSub>
          <m:e>
            <m:r>
              <m:t>s</m:t>
            </m:r>
          </m:e>
          <m:sub>
            <m:r>
              <m:t>t</m:t>
            </m:r>
          </m:sub>
        </m:sSub>
        <m:r>
          <m:rPr>
            <m:sty m:val="p"/>
          </m:rPr>
          <m:t>)</m:t>
        </m:r>
      </m:oMath>
      <w:r>
        <w:t xml:space="preserve"> </w:t>
      </w:r>
      <w:r>
        <w:t xml:space="preserve">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pPr>
        <w:pStyle w:val="BodyText"/>
      </w:pPr>
      <w:r>
        <w:rPr>
          <w:rFonts w:hint="eastAsia"/>
        </w:rPr>
        <w:t xml:space="preserve">在每个控制时刻，门控模块接收当前系统状态特征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并执行二值触发判定：</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sSub>
          <m:e>
            <m:acc>
              <m:accPr>
                <m:chr m:val="̃"/>
              </m:accPr>
              <m:e>
                <m:r>
                  <m:t>τ</m:t>
                </m:r>
              </m:e>
            </m:acc>
          </m:e>
          <m:sub>
            <m:r>
              <m:t>t</m:t>
            </m:r>
          </m:sub>
        </m:sSub>
      </m:oMath>
      <w:r>
        <w:t xml:space="preserve"> </w:t>
      </w:r>
      <w:r>
        <w:rPr>
          <w:rFonts w:hint="eastAsia"/>
        </w:rPr>
        <w:t xml:space="preserve">为式</w:t>
      </w:r>
      <w:r>
        <w:t xml:space="preserve"> (14) </w:t>
      </w:r>
      <w:r>
        <w:rPr>
          <w:rFonts w:hint="eastAsia"/>
        </w:rPr>
        <w:t xml:space="preserve">给出的流式双层自适应阈值；</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为滞回裕度，用于防止阈值边界附近的触发信号反复翻转；</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记录系统上一次触发控制动作更新的时间步；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表示当前时刻触发控制动作的重新生成，</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表示维持上一时刻的控制指令。</w:t>
      </w:r>
    </w:p>
    <w:p>
      <w:pPr>
        <w:pStyle w:val="BodyText"/>
      </w:pPr>
      <w:r>
        <w:t xml:space="preserve">At each control time step, the gating module receives the current system state feature</w:t>
      </w:r>
      <w:r>
        <w:t xml:space="preserve"> </w:t>
      </w:r>
      <m:oMath>
        <m:sSub>
          <m:e>
            <m:r>
              <m:t>s</m:t>
            </m:r>
          </m:e>
          <m:sub>
            <m:r>
              <m:t>t</m:t>
            </m:r>
          </m:sub>
        </m:sSub>
      </m:oMath>
      <w:r>
        <w:t xml:space="preserve">, computes the anomaly score</w:t>
      </w:r>
      <w:r>
        <w:t xml:space="preserve"> </w:t>
      </w:r>
      <m:oMath>
        <m:r>
          <m:t>A</m:t>
        </m:r>
        <m:r>
          <m:rPr>
            <m:sty m:val="p"/>
          </m:rPr>
          <m:t>(</m:t>
        </m:r>
        <m:sSub>
          <m:e>
            <m:r>
              <m:t>s</m:t>
            </m:r>
          </m:e>
          <m:sub>
            <m:r>
              <m:t>t</m:t>
            </m:r>
          </m:sub>
        </m:sSub>
        <m:r>
          <m:rPr>
            <m:sty m:val="p"/>
          </m:rPr>
          <m:t>)</m:t>
        </m:r>
      </m:oMath>
      <w:r>
        <w:t xml:space="preserve">, and performs a binary trigger determination as Eqs. (15) and (16):</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t xml:space="preserve">where</w:t>
      </w:r>
      <w:r>
        <w:t xml:space="preserve"> </w:t>
      </w:r>
      <m:oMath>
        <m:sSub>
          <m:e>
            <m:acc>
              <m:accPr>
                <m:chr m:val="̃"/>
              </m:accPr>
              <m:e>
                <m:r>
                  <m:t>τ</m:t>
                </m:r>
              </m:e>
            </m:acc>
          </m:e>
          <m:sub>
            <m:r>
              <m:t>t</m:t>
            </m:r>
          </m:sub>
        </m:sSub>
      </m:oMath>
      <w:r>
        <w:t xml:space="preserve"> </w:t>
      </w:r>
      <w:r>
        <w:t xml:space="preserve">is the streaming dual-layer adaptive threshold defined in Eq. (14),</w:t>
      </w:r>
      <w:r>
        <w:t xml:space="preserve"> </w:t>
      </w:r>
      <m:oMath>
        <m:r>
          <m:rPr>
            <m:sty m:val="p"/>
          </m:rPr>
          <m:t>clip</m:t>
        </m:r>
        <m:r>
          <m:rPr>
            <m:sty m:val="p"/>
          </m:rPr>
          <m:t>(</m:t>
        </m:r>
        <m:r>
          <m:rPr>
            <m:sty m:val="p"/>
          </m:rPr>
          <m:t>⋅</m:t>
        </m:r>
        <m:r>
          <m:rPr>
            <m:sty m:val="p"/>
          </m:rPr>
          <m:t>,</m:t>
        </m:r>
        <m:r>
          <m:t>0</m:t>
        </m:r>
        <m:r>
          <m:rPr>
            <m:sty m:val="p"/>
          </m:rPr>
          <m:t>,</m:t>
        </m:r>
        <m:r>
          <m:t>1</m:t>
        </m:r>
        <m:r>
          <m:rPr>
            <m:sty m:val="p"/>
          </m:rPr>
          <m:t>)</m:t>
        </m:r>
      </m:oMath>
      <w:r>
        <w:t xml:space="preserve"> </w:t>
      </w:r>
      <w:r>
        <w:t xml:space="preserve">constrains the input value to the interval</w:t>
      </w:r>
      <w:r>
        <w:t xml:space="preserve"> </w:t>
      </w:r>
      <m:oMath>
        <m:r>
          <m:rPr>
            <m:sty m:val="p"/>
          </m:rPr>
          <m:t>[</m:t>
        </m:r>
        <m:r>
          <m:t>0</m:t>
        </m:r>
        <m:r>
          <m:rPr>
            <m:sty m:val="p"/>
          </m:rPr>
          <m:t>,</m:t>
        </m:r>
        <m:r>
          <m:t>1</m:t>
        </m:r>
        <m:r>
          <m:rPr>
            <m:sty m:val="p"/>
          </m:rPr>
          <m:t>]</m:t>
        </m:r>
      </m:oMath>
      <w:r>
        <w:t xml:space="preserve">,</w:t>
      </w:r>
      <w:r>
        <w:t xml:space="preserve"> </w:t>
      </w:r>
      <m:oMath>
        <m:sSub>
          <m:e>
            <m:r>
              <m:t>m</m:t>
            </m:r>
          </m:e>
          <m:sub>
            <m:r>
              <m:rPr>
                <m:sty m:val="p"/>
              </m:rPr>
              <m:t>h</m:t>
            </m:r>
            <m:r>
              <m:rPr>
                <m:sty m:val="p"/>
              </m:rPr>
              <m:t>y</m:t>
            </m:r>
            <m:r>
              <m:rPr>
                <m:sty m:val="p"/>
              </m:rPr>
              <m:t>s</m:t>
            </m:r>
          </m:sub>
        </m:sSub>
      </m:oMath>
      <w:r>
        <w:t xml:space="preserve"> </w:t>
      </w:r>
      <w:r>
        <w:t xml:space="preserve">is a hysteresis margin that prevents the trigger signal from repeatedly flipping near the threshold boundary,</w:t>
      </w:r>
      <w:r>
        <w:t xml:space="preserve"> </w:t>
      </w:r>
      <m:oMath>
        <m:sSub>
          <m:e>
            <m:r>
              <m:t>t</m:t>
            </m:r>
          </m:e>
          <m:sub>
            <m:r>
              <m:rPr>
                <m:sty m:val="p"/>
              </m:rPr>
              <m:t>l</m:t>
            </m:r>
            <m:r>
              <m:rPr>
                <m:sty m:val="p"/>
              </m:rPr>
              <m:t>a</m:t>
            </m:r>
            <m:r>
              <m:rPr>
                <m:sty m:val="p"/>
              </m:rPr>
              <m:t>s</m:t>
            </m:r>
            <m:r>
              <m:rPr>
                <m:sty m:val="p"/>
              </m:rPr>
              <m:t>t</m:t>
            </m:r>
          </m:sub>
        </m:sSub>
      </m:oMath>
      <w:r>
        <w:t xml:space="preserve"> </w:t>
      </w:r>
      <w:r>
        <w:t xml:space="preserve">records the time step at which the system last triggered a control action update, and</w:t>
      </w:r>
      <w:r>
        <w:t xml:space="preserve"> </w:t>
      </w:r>
      <m:oMath>
        <m:sSub>
          <m:e>
            <m:r>
              <m:rPr>
                <m:sty m:val="p"/>
              </m:rPr>
              <m:t>Δ</m:t>
            </m:r>
          </m:e>
          <m:sub>
            <m:r>
              <m:rPr>
                <m:sty m:val="p"/>
              </m:rPr>
              <m:t>min</m:t>
            </m:r>
          </m:sub>
        </m:sSub>
      </m:oMath>
      <w:r>
        <w:t xml:space="preserve"> </w:t>
      </w:r>
      <w:r>
        <w:t xml:space="preserve">is the specified minimum trigger interval.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gating module triggers PRL module to generate a new control action for the current time step, and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the control action from the previous time step is held via a zero-order hold.</w:t>
      </w:r>
    </w:p>
    <w:p>
      <w:pPr>
        <w:pStyle w:val="BodyText"/>
      </w:pPr>
      <w:r>
        <w:rPr>
          <w:rFonts w:hint="eastAsia"/>
        </w:rPr>
        <w:t xml:space="preserve">无论</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w:t>
      </w:r>
      <w:r>
        <w:rPr>
          <w:rFonts w:hint="eastAsia"/>
        </w:rPr>
        <w:t xml:space="preserve">取值如何，门控模块均在每个时间步执行异常分数窗口维护与双层阈值递推更新。具体而言，在执行式</w:t>
      </w:r>
      <w:r>
        <w:t xml:space="preserve"> (15) </w:t>
      </w:r>
      <w:r>
        <w:rPr>
          <w:rFonts w:hint="eastAsia"/>
        </w:rPr>
        <w:t xml:space="preserve">的触发判定后，将当前异常分数</w:t>
      </w:r>
      <w:r>
        <w:t xml:space="preserve"> </w:t>
      </w:r>
      <m:oMath>
        <m:r>
          <m:t>A</m:t>
        </m:r>
        <m:r>
          <m:rPr>
            <m:sty m:val="p"/>
          </m:rPr>
          <m:t>(</m:t>
        </m:r>
        <m:sSub>
          <m:e>
            <m:r>
              <m:t>s</m:t>
            </m:r>
          </m:e>
          <m:sub>
            <m:r>
              <m:t>t</m:t>
            </m:r>
          </m:sub>
        </m:sSub>
        <m:r>
          <m:rPr>
            <m:sty m:val="p"/>
          </m:rPr>
          <m:t>)</m:t>
        </m:r>
      </m:oMath>
      <w:r>
        <w:t xml:space="preserve"> </w:t>
      </w:r>
      <w:r>
        <w:rPr>
          <w:rFonts w:hint="eastAsia"/>
        </w:rPr>
        <w:t xml:space="preserve">追加至滑动窗口</w:t>
      </w:r>
      <w:r>
        <w:t xml:space="preserve"> </w:t>
      </w:r>
      <m:oMath>
        <m:sSubSup>
          <m:e>
            <m:r>
              <m:rPr>
                <m:scr m:val="script"/>
                <m:sty m:val="p"/>
              </m:rPr>
              <m:t>A</m:t>
            </m:r>
          </m:e>
          <m:sub>
            <m:r>
              <m:t>t</m:t>
            </m:r>
          </m:sub>
          <m:sup>
            <m:r>
              <m:rPr>
                <m:sty m:val="p"/>
              </m:rPr>
              <m:t>(</m:t>
            </m:r>
            <m:r>
              <m:t>W</m:t>
            </m:r>
            <m:r>
              <m:rPr>
                <m:sty m:val="p"/>
              </m:rPr>
              <m:t>)</m:t>
            </m:r>
          </m:sup>
        </m:sSubSup>
      </m:oMath>
      <w:r>
        <w:rPr>
          <w:rFonts w:hint="eastAsia"/>
        </w:rPr>
        <w:t xml:space="preserve">，并按式</w:t>
      </w:r>
      <w:r>
        <w:t xml:space="preserve"> (11)–(14) </w:t>
      </w:r>
      <w:r>
        <w:rPr>
          <w:rFonts w:hint="eastAsia"/>
        </w:rPr>
        <w:t xml:space="preserve">依次更新候选阈值、局部阈值与全局阈值，为下一时刻的判定提供最新的统计参考基线。该设计保证门控模块的阈值估计始终基于最新观测，避免因触发稀疏化导致统计量对工况变化感知滞后，进而保障在平稳期结束、扰动重新增强时能够及时恢复触发灵敏性。</w:t>
      </w:r>
    </w:p>
    <w:p>
      <w:pPr>
        <w:pStyle w:val="BodyText"/>
      </w:pPr>
      <w:r>
        <w:t xml:space="preserve">Regardless of the value of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the gating module executes anomaly score window maintenance and dual-layer threshold recursive update at every time step. Specifically, after performing the trigger determination in Eq. (15), we append the current anomaly score</w:t>
      </w:r>
      <w:r>
        <w:t xml:space="preserve"> </w:t>
      </w:r>
      <m:oMath>
        <m:r>
          <m:t>A</m:t>
        </m:r>
        <m:r>
          <m:rPr>
            <m:sty m:val="p"/>
          </m:rPr>
          <m:t>(</m:t>
        </m:r>
        <m:sSub>
          <m:e>
            <m:r>
              <m:t>s</m:t>
            </m:r>
          </m:e>
          <m:sub>
            <m:r>
              <m:t>t</m:t>
            </m:r>
          </m:sub>
        </m:sSub>
        <m:r>
          <m:rPr>
            <m:sty m:val="p"/>
          </m:rPr>
          <m:t>)</m:t>
        </m:r>
      </m:oMath>
      <w:r>
        <w:t xml:space="preserve"> </w:t>
      </w:r>
      <w:r>
        <w:t xml:space="preserve">to the sliding window</w:t>
      </w:r>
      <w:r>
        <w:t xml:space="preserve"> </w:t>
      </w:r>
      <m:oMath>
        <m:sSubSup>
          <m:e>
            <m:r>
              <m:rPr>
                <m:scr m:val="script"/>
                <m:sty m:val="p"/>
              </m:rPr>
              <m:t>A</m:t>
            </m:r>
          </m:e>
          <m:sub>
            <m:r>
              <m:t>t</m:t>
            </m:r>
          </m:sub>
          <m:sup>
            <m:r>
              <m:rPr>
                <m:sty m:val="p"/>
              </m:rPr>
              <m:t>(</m:t>
            </m:r>
            <m:r>
              <m:t>W</m:t>
            </m:r>
            <m:r>
              <m:rPr>
                <m:sty m:val="p"/>
              </m:rPr>
              <m:t>)</m:t>
            </m:r>
          </m:sup>
        </m:sSubSup>
      </m:oMath>
      <w:r>
        <w:t xml:space="preserve"> </w:t>
      </w:r>
      <w:r>
        <w:t xml:space="preserve">and sequentially update the candidate threshold, local threshold, and global threshold according to Eqs. (11) to (14),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bookmarkEnd w:id="16"/>
    <w:bookmarkStart w:id="17" w:name="Xf8a19abc77548207adb2ebdab25677e1275e005"/>
    <w:p>
      <w:pPr>
        <w:pStyle w:val="Heading2"/>
      </w:pPr>
      <w:r>
        <w:t xml:space="preserve">3.3 </w:t>
      </w:r>
      <w:r>
        <w:rPr>
          <w:rFonts w:hint="eastAsia"/>
        </w:rPr>
        <w:t xml:space="preserve">基于动态阈值事件触发的预测型强化学习控制算法</w:t>
      </w:r>
      <w:r>
        <w:t xml:space="preserve"> / Predictive RL Control Algorithm with Dynamic Event Triggering</w:t>
      </w:r>
    </w:p>
    <w:p>
      <w:pPr>
        <w:pStyle w:val="FirstParagraph"/>
      </w:pPr>
      <w:r>
        <w:rPr>
          <w:rFonts w:hint="eastAsia"/>
        </w:rPr>
        <w:t xml:space="preserve">基于上述门控模块提供的触发判定信号，为兼顾控制性能与在线计算开销，本文构建结合短期负荷预测信息的轻量级</w:t>
      </w:r>
      <w:r>
        <w:t xml:space="preserve"> DQN </w:t>
      </w:r>
      <w:r>
        <w:rPr>
          <w:rFonts w:hint="eastAsia"/>
        </w:rPr>
        <w:t xml:space="preserve">智能体作为强化学习控制器。该控制器在触发时刻接收状态向量</w:t>
      </w:r>
      <w:r>
        <w:t xml:space="preserve"> </w:t>
      </w:r>
      <m:oMath>
        <m:sSub>
          <m:e>
            <m:r>
              <m:t>s</m:t>
            </m:r>
          </m:e>
          <m:sub>
            <m:r>
              <m:t>t</m:t>
            </m:r>
          </m:sub>
        </m:sSub>
      </m:oMath>
      <w:r>
        <w:rPr>
          <w:rFonts w:hint="eastAsia"/>
        </w:rPr>
        <w:t xml:space="preserve">，通过复合奖励函数引导智能体在降低能耗与维持温控性能之间实现优化平衡，输出冷冻水供水温度设定点。同时，该模块采用分层执行策略，将高层无模型优化决策与底层设备的物理运行约束解耦，确保生成动作满足机组启停与最小运行时长等工程约束。</w:t>
      </w:r>
    </w:p>
    <w:p>
      <w:pPr>
        <w:pStyle w:val="BodyText"/>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w:t>
      </w:r>
      <w:r>
        <w:t xml:space="preserve"> </w:t>
      </w:r>
      <m:oMath>
        <m:sSub>
          <m:e>
            <m:r>
              <m:t>s</m:t>
            </m:r>
          </m:e>
          <m:sub>
            <m:r>
              <m:t>t</m:t>
            </m:r>
          </m:sub>
        </m:sSub>
      </m:oMath>
      <w:r>
        <w:t xml:space="preserve"> </w:t>
      </w:r>
      <w:r>
        <w:t xml:space="preserve">and a composite reward</w:t>
      </w:r>
      <w:r>
        <w:t xml:space="preserve"> </w:t>
      </w:r>
      <m:oMath>
        <m:sSub>
          <m:e>
            <m:r>
              <m:t>r</m:t>
            </m:r>
          </m:e>
          <m:sub>
            <m:r>
              <m:t>t</m:t>
            </m:r>
          </m:sub>
        </m:sSub>
      </m:oMath>
      <w:r>
        <w:t xml:space="preserve">,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pPr>
        <w:pStyle w:val="BodyText"/>
      </w:pPr>
      <w:r>
        <w:rPr>
          <w:b/>
          <w:bCs/>
        </w:rPr>
        <w:t xml:space="preserve">(1) </w:t>
      </w:r>
      <w:r>
        <w:rPr>
          <w:rFonts w:hint="eastAsia"/>
          <w:b/>
          <w:bCs/>
        </w:rPr>
        <w:t xml:space="preserve">任务建模与问题定义</w:t>
      </w:r>
      <w:r>
        <w:rPr>
          <w:b/>
          <w:bCs/>
        </w:rPr>
        <w:t xml:space="preserve"> / Task formulation and problem definition</w:t>
      </w:r>
    </w:p>
    <w:p>
      <w:pPr>
        <w:pStyle w:val="BodyText"/>
      </w:pPr>
      <w:r>
        <w:rPr>
          <w:rFonts w:hint="eastAsia"/>
        </w:rPr>
        <w:t xml:space="preserve">针对建筑</w:t>
      </w:r>
      <w:r>
        <w:t xml:space="preserve"> HVAC </w:t>
      </w:r>
      <w:r>
        <w:rPr>
          <w:rFonts w:hint="eastAsia"/>
        </w:rPr>
        <w:t xml:space="preserve">控制中状态维度高、样本间存在强时序关联的问题，本文采用紧凑状态表征，并将控制问题建模为马尔可夫决策过程（Markov</w:t>
      </w:r>
      <w:r>
        <w:t xml:space="preserve"> decision process, </w:t>
      </w:r>
      <w:r>
        <w:rPr>
          <w:rFonts w:hint="eastAsia"/>
        </w:rPr>
        <w:t xml:space="preserve">MDP）</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，其中</w:t>
      </w:r>
      <w:r>
        <w:t xml:space="preserve"> </w:t>
      </w:r>
      <m:oMath>
        <m:r>
          <m:rPr>
            <m:scr m:val="script"/>
            <m:sty m:val="p"/>
          </m:rPr>
          <m:t>S</m:t>
        </m:r>
      </m:oMath>
      <w:r>
        <w:t xml:space="preserve"> </w:t>
      </w:r>
      <w:r>
        <w:rPr>
          <w:rFonts w:hint="eastAsia"/>
        </w:rPr>
        <w:t xml:space="preserve">为状态空间，</w:t>
      </w:r>
      <m:oMath>
        <m:r>
          <m:rPr>
            <m:scr m:val="script"/>
            <m:sty m:val="p"/>
          </m:rPr>
          <m:t>A</m:t>
        </m:r>
      </m:oMath>
      <w:r>
        <w:t xml:space="preserve"> </w:t>
      </w:r>
      <w:r>
        <w:rPr>
          <w:rFonts w:hint="eastAsia"/>
        </w:rPr>
        <w:t xml:space="preserve">为动作空间，</w:t>
      </w:r>
      <m:oMath>
        <m:r>
          <m:rPr>
            <m:scr m:val="script"/>
            <m:sty m:val="p"/>
          </m:rPr>
          <m:t>P</m:t>
        </m:r>
      </m:oMath>
      <w:r>
        <w:t xml:space="preserve"> </w:t>
      </w:r>
      <w:r>
        <w:rPr>
          <w:rFonts w:hint="eastAsia"/>
        </w:rPr>
        <w:t xml:space="preserve">为状态转移概率核，</w:t>
      </w:r>
      <m:oMath>
        <m:r>
          <m:rPr>
            <m:scr m:val="script"/>
            <m:sty m:val="p"/>
          </m:rPr>
          <m:t>R</m:t>
        </m:r>
      </m:oMath>
      <w:r>
        <w:t xml:space="preserve"> </w:t>
      </w:r>
      <w:r>
        <w:rPr>
          <w:rFonts w:hint="eastAsia"/>
        </w:rPr>
        <w:t xml:space="preserve">为奖励函数，</w:t>
      </w:r>
      <m:oMath>
        <m:r>
          <m:t>γ</m:t>
        </m:r>
      </m:oMath>
      <w:r>
        <w:t xml:space="preserve"> </w:t>
      </w:r>
      <w:r>
        <w:rPr>
          <w:rFonts w:hint="eastAsia"/>
        </w:rPr>
        <w:t xml:space="preserve">为折扣因子。</w:t>
      </w:r>
    </w:p>
    <w:p>
      <w:pPr>
        <w:pStyle w:val="BodyText"/>
      </w:pPr>
      <w:r>
        <w:t xml:space="preserve">To address high dimensional state spaces and strong temporal correlations among samples in HVAC control, we adopt a compact state representation and formulate the control problem as an MDP</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denotes the state space,</w:t>
      </w:r>
      <w:r>
        <w:t xml:space="preserve"> </w:t>
      </w:r>
      <m:oMath>
        <m:r>
          <m:rPr>
            <m:scr m:val="script"/>
            <m:sty m:val="p"/>
          </m:rPr>
          <m:t>A</m:t>
        </m:r>
      </m:oMath>
      <w:r>
        <w:t xml:space="preserve"> </w:t>
      </w:r>
      <w:r>
        <w:t xml:space="preserve">denotes the action space,</w:t>
      </w:r>
      <w:r>
        <w:t xml:space="preserve"> </w:t>
      </w:r>
      <m:oMath>
        <m:r>
          <m:rPr>
            <m:scr m:val="script"/>
            <m:sty m:val="p"/>
          </m:rPr>
          <m:t>P</m:t>
        </m:r>
      </m:oMath>
      <w:r>
        <w:t xml:space="preserve"> </w:t>
      </w:r>
      <w:r>
        <w:t xml:space="preserve">denotes the state transition kernel,</w:t>
      </w:r>
      <w:r>
        <w:t xml:space="preserve"> </w:t>
      </w:r>
      <m:oMath>
        <m:r>
          <m:rPr>
            <m:scr m:val="script"/>
            <m:sty m:val="p"/>
          </m:rPr>
          <m:t>R</m:t>
        </m:r>
      </m:oMath>
      <w:r>
        <w:t xml:space="preserve"> </w:t>
      </w:r>
      <w:r>
        <w:t xml:space="preserve">denotes the reward function, and</w:t>
      </w:r>
      <w:r>
        <w:t xml:space="preserve"> </w:t>
      </w:r>
      <m:oMath>
        <m:r>
          <m:t>γ</m:t>
        </m:r>
      </m:oMath>
      <w:r>
        <w:t xml:space="preserve"> </w:t>
      </w:r>
      <w:r>
        <w:t xml:space="preserve">denotes the discount factor.</w:t>
      </w:r>
    </w:p>
    <w:p>
      <w:pPr>
        <w:pStyle w:val="BodyText"/>
      </w:pPr>
      <w:r>
        <w:rPr>
          <w:rFonts w:hint="eastAsia"/>
        </w:rPr>
        <w:t xml:space="preserve">状态空间</w:t>
      </w:r>
      <w:r>
        <w:t xml:space="preserve"> </w:t>
      </w:r>
      <m:oMath>
        <m:r>
          <m:rPr>
            <m:scr m:val="script"/>
            <m:sty m:val="p"/>
          </m:rPr>
          <m:t>S</m:t>
        </m:r>
      </m:oMath>
      <w:r>
        <w:t xml:space="preserve"> </w:t>
      </w:r>
      <w:r>
        <w:rPr>
          <w:rFonts w:hint="eastAsia"/>
        </w:rPr>
        <w:t xml:space="preserve">中的状态向量定义如式</w:t>
      </w:r>
      <w:r>
        <w:t xml:space="preserve"> </w:t>
      </w:r>
      <w:r>
        <w:rPr>
          <w:rFonts w:hint="eastAsia"/>
        </w:rPr>
        <w:t xml:space="preserve">(17)：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rPr>
                <m:sty m:val="p"/>
              </m:rPr>
              <m:t>l</m:t>
            </m:r>
            <m:r>
              <m:rPr>
                <m:sty m:val="p"/>
              </m:rPr>
              <m:t>o</m:t>
            </m:r>
            <m:r>
              <m:rPr>
                <m:sty m:val="p"/>
              </m:rPr>
              <m:t>a</m:t>
            </m:r>
            <m:r>
              <m:rPr>
                <m:sty m:val="p"/>
              </m:rPr>
              <m:t>d</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的系统冷负荷，</w:t>
      </w:r>
      <m:oMath>
        <m:sSubSup>
          <m:e>
            <m:r>
              <m:t>T</m:t>
            </m:r>
          </m:e>
          <m:sub>
            <m:r>
              <m:rPr>
                <m:sty m:val="p"/>
              </m:rPr>
              <m:t>w</m:t>
            </m:r>
            <m:r>
              <m:rPr>
                <m:sty m:val="p"/>
              </m:rPr>
              <m:t>b</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的室外湿球温度，</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rPr>
          <w:rFonts w:hint="eastAsia"/>
        </w:rPr>
        <w:t xml:space="preserve">表示下一时刻系统冷负荷的短期预测值。MDP</w:t>
      </w:r>
      <w:r>
        <w:t xml:space="preserve"> </w:t>
      </w:r>
      <w:r>
        <w:rPr>
          <w:rFonts w:hint="eastAsia"/>
        </w:rPr>
        <w:t xml:space="preserve">状态向量</w:t>
      </w:r>
      <w:r>
        <w:t xml:space="preserve"> </w:t>
      </w:r>
      <m:oMath>
        <m:sSub>
          <m:e>
            <m:r>
              <m:t>s</m:t>
            </m:r>
          </m:e>
          <m:sub>
            <m:r>
              <m:t>t</m:t>
            </m:r>
          </m:sub>
        </m:sSub>
      </m:oMath>
      <w:r>
        <w:t xml:space="preserve"> </w:t>
      </w:r>
      <w:r>
        <w:rPr>
          <w:rFonts w:hint="eastAsia"/>
        </w:rPr>
        <w:t xml:space="preserve">与式</w:t>
      </w:r>
      <w:r>
        <w:t xml:space="preserve"> (4) </w:t>
      </w:r>
      <w:r>
        <w:rPr>
          <w:rFonts w:hint="eastAsia"/>
        </w:rPr>
        <w:t xml:space="preserve">中门控模块输入状态特征向量采用相同的特征组成。为在紧凑状态表征中补充前瞻性负荷信息，本文纳入下一时刻负荷预测项</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，用于刻画短期负荷变化趋势，并在不显著增加状态维度的情况下增强状态对负荷动态的表达能力。对于未显式纳入状态向量的较长时间尺度动态信息，则由门控模块中的多尺度统计量进行补充刻画。</w:t>
      </w:r>
    </w:p>
    <w:p>
      <w:pPr>
        <w:pStyle w:val="BodyText"/>
      </w:pPr>
      <w:r>
        <w:t xml:space="preserve">The state vector</w:t>
      </w:r>
      <w:r>
        <w:t xml:space="preserve"> </w:t>
      </w:r>
      <m:oMath>
        <m:sSub>
          <m:e>
            <m:r>
              <m:t>s</m:t>
            </m:r>
          </m:e>
          <m:sub>
            <m:r>
              <m:t>t</m:t>
            </m:r>
          </m:sub>
        </m:sSub>
        <m:r>
          <m:rPr>
            <m:sty m:val="p"/>
          </m:rPr>
          <m:t>∈</m:t>
        </m:r>
        <m:r>
          <m:rPr>
            <m:scr m:val="script"/>
            <m:sty m:val="p"/>
          </m:rPr>
          <m:t>S</m:t>
        </m:r>
      </m:oMath>
      <w:r>
        <w:t xml:space="preserve"> </w:t>
      </w:r>
      <w:r>
        <w:t xml:space="preserve">is defined by Eq. (17):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t xml:space="preserve">where</w:t>
      </w:r>
      <w:r>
        <w:t xml:space="preserve"> </w:t>
      </w:r>
      <m:oMath>
        <m:sSubSup>
          <m:e>
            <m:r>
              <m:t>Q</m:t>
            </m:r>
          </m:e>
          <m:sub>
            <m:r>
              <m:rPr>
                <m:sty m:val="p"/>
              </m:rPr>
              <m:t>l</m:t>
            </m:r>
            <m:r>
              <m:rPr>
                <m:sty m:val="p"/>
              </m:rPr>
              <m:t>o</m:t>
            </m:r>
            <m:r>
              <m:rPr>
                <m:sty m:val="p"/>
              </m:rPr>
              <m:t>a</m:t>
            </m:r>
            <m:r>
              <m:rPr>
                <m:sty m:val="p"/>
              </m:rPr>
              <m:t>d</m:t>
            </m:r>
          </m:sub>
          <m:sup>
            <m:r>
              <m:t>t</m:t>
            </m:r>
          </m:sup>
        </m:sSubSup>
      </m:oMath>
      <w:r>
        <w:t xml:space="preserve"> </w:t>
      </w:r>
      <w:r>
        <w:t xml:space="preserve">denotes the system cooling load at time step</w:t>
      </w:r>
      <w:r>
        <w:t xml:space="preserve"> </w:t>
      </w:r>
      <m:oMath>
        <m:r>
          <m:t>t</m:t>
        </m:r>
      </m:oMath>
      <w:r>
        <w:t xml:space="preserve">,</w:t>
      </w:r>
      <w:r>
        <w:t xml:space="preserve"> </w:t>
      </w:r>
      <m:oMath>
        <m:sSubSup>
          <m:e>
            <m:r>
              <m:t>T</m:t>
            </m:r>
          </m:e>
          <m:sub>
            <m:r>
              <m:rPr>
                <m:sty m:val="p"/>
              </m:rPr>
              <m:t>w</m:t>
            </m:r>
            <m:r>
              <m:rPr>
                <m:sty m:val="p"/>
              </m:rPr>
              <m:t>b</m:t>
            </m:r>
          </m:sub>
          <m:sup>
            <m:r>
              <m:t>t</m:t>
            </m:r>
          </m:sup>
        </m:sSubSup>
      </m:oMath>
      <w:r>
        <w:t xml:space="preserve"> </w:t>
      </w:r>
      <w:r>
        <w:t xml:space="preserve">denotes the outdoor wet bulb temperature at time step</w:t>
      </w:r>
      <w:r>
        <w:t xml:space="preserve"> </w:t>
      </w:r>
      <m:oMath>
        <m:r>
          <m:t>t</m:t>
        </m:r>
      </m:oMath>
      <w:r>
        <w:t xml:space="preserve">, and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denotes the short term prediction of the system cooling load at the next time step. The MDP state vector</w:t>
      </w:r>
      <w:r>
        <w:t xml:space="preserve"> </w:t>
      </w:r>
      <m:oMath>
        <m:sSub>
          <m:e>
            <m:r>
              <m:t>s</m:t>
            </m:r>
          </m:e>
          <m:sub>
            <m:r>
              <m:t>t</m:t>
            </m:r>
          </m:sub>
        </m:sSub>
      </m:oMath>
      <w:r>
        <w:t xml:space="preserve"> </w:t>
      </w:r>
      <w:r>
        <w:t xml:space="preserve">uses the same feature components as the input state feature vector of the gating module in Eq. (4). By incorporating</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pPr>
        <w:pStyle w:val="BodyText"/>
      </w:pPr>
      <w:r>
        <w:rPr>
          <w:rFonts w:hint="eastAsia"/>
        </w:rPr>
        <w:t xml:space="preserve">动作</w:t>
      </w:r>
      <w:r>
        <w:t xml:space="preserve"> </w:t>
      </w:r>
      <m:oMath>
        <m:sSub>
          <m:e>
            <m:r>
              <m:t>a</m:t>
            </m:r>
          </m:e>
          <m:sub>
            <m:r>
              <m:t>t</m:t>
            </m:r>
          </m:sub>
        </m:sSub>
      </m:oMath>
      <w:r>
        <w:t xml:space="preserve"> </w:t>
      </w:r>
      <w:r>
        <w:rPr>
          <w:rFonts w:hint="eastAsia"/>
        </w:rPr>
        <w:t xml:space="preserve">定义为时刻</w:t>
      </w:r>
      <w:r>
        <w:t xml:space="preserve"> </w:t>
      </w:r>
      <m:oMath>
        <m:r>
          <m:t>t</m:t>
        </m:r>
      </m:oMath>
      <w:r>
        <w:t xml:space="preserve"> </w:t>
      </w:r>
      <w:r>
        <w:rPr>
          <w:rFonts w:hint="eastAsia"/>
        </w:rPr>
        <w:t xml:space="preserve">输出的冷冻水供水温度设定值，取值范围为</w:t>
      </w:r>
      <w:r>
        <w:t xml:space="preserve"> </w:t>
      </w:r>
      <m:oMath>
        <m:r>
          <m:rPr>
            <m:sty m:val="p"/>
          </m:rPr>
          <m:t>[</m:t>
        </m:r>
        <m:r>
          <m:t>6</m:t>
        </m:r>
        <m:r>
          <m:rPr>
            <m:sty m:val="p"/>
          </m:rPr>
          <m:t>,</m:t>
        </m:r>
        <m:r>
          <m:t>15</m:t>
        </m:r>
        <m:sSup>
          <m:e>
            <m:r>
              <m:rPr>
                <m:sty m:val="p"/>
              </m:rPr>
              <m:t>]</m:t>
            </m:r>
          </m:e>
          <m:sup>
            <m:r>
              <m:rPr>
                <m:sty m:val="p"/>
              </m:rPr>
              <m:t>∘</m:t>
            </m:r>
          </m:sup>
        </m:sSup>
        <m:r>
          <m:rPr>
            <m:sty m:val="p"/>
          </m:rPr>
          <m:t>C</m:t>
        </m:r>
      </m:oMath>
      <w:r>
        <w:rPr>
          <w:rFonts w:hint="eastAsia"/>
        </w:rPr>
        <w:t xml:space="preserve">，对应</w:t>
      </w:r>
      <w:r>
        <w:t xml:space="preserve"> 10 </w:t>
      </w:r>
      <w:r>
        <w:rPr>
          <w:rFonts w:hint="eastAsia"/>
        </w:rPr>
        <w:t xml:space="preserve">个离散设定点，用于直接调节冷源系统的运行目标。与状态向量的紧凑表征相对应，本文将控制决策压缩为单一设定点输出，以避免动作维度过高带来的训练复杂度和在线推理开销。该动作由上层强化学习模块根据当前状态自适应生成；对于机组启停、最小运行时长等不由智能体直接决定的工程约束，则由底层规则模块协同执行并加以约束。</w:t>
      </w:r>
    </w:p>
    <w:p>
      <w:pPr>
        <w:pStyle w:val="BodyText"/>
      </w:pPr>
      <w:r>
        <w:t xml:space="preserve">We define the action</w:t>
      </w:r>
      <w:r>
        <w:t xml:space="preserve"> </w:t>
      </w:r>
      <m:oMath>
        <m:sSub>
          <m:e>
            <m:r>
              <m:t>a</m:t>
            </m:r>
          </m:e>
          <m:sub>
            <m:r>
              <m:t>t</m:t>
            </m:r>
          </m:sub>
        </m:sSub>
      </m:oMath>
      <w:r>
        <w:t xml:space="preserve"> </w:t>
      </w:r>
      <w:r>
        <w:t xml:space="preserve">as the chilled water supply temperature setpoint at time step</w:t>
      </w:r>
      <w:r>
        <w:t xml:space="preserve"> </w:t>
      </w:r>
      <m:oMath>
        <m:r>
          <m:t>t</m:t>
        </m:r>
      </m:oMath>
      <w:r>
        <w:t xml:space="preserve"> </w:t>
      </w:r>
      <w:r>
        <w:t xml:space="preserve">which takes one of 10 discrete values within</w:t>
      </w:r>
      <w:r>
        <w:t xml:space="preserve"> </w:t>
      </w:r>
      <m:oMath>
        <m:r>
          <m:rPr>
            <m:sty m:val="p"/>
          </m:rPr>
          <m:t>[</m:t>
        </m:r>
        <m:r>
          <m:t>6</m:t>
        </m:r>
        <m:r>
          <m:rPr>
            <m:sty m:val="p"/>
          </m:rPr>
          <m:t>,</m:t>
        </m:r>
        <m:r>
          <m:t>15</m:t>
        </m:r>
        <m:sSup>
          <m:e>
            <m:r>
              <m:rPr>
                <m:sty m:val="p"/>
              </m:rPr>
              <m:t>]</m:t>
            </m:r>
          </m:e>
          <m:sup>
            <m:r>
              <m:rPr>
                <m:sty m:val="p"/>
              </m:rPr>
              <m:t>∘</m:t>
            </m:r>
          </m:sup>
        </m:sSup>
        <m:r>
          <m:rPr>
            <m:sty m:val="p"/>
          </m:rPr>
          <m:t>C</m:t>
        </m:r>
      </m:oMath>
      <w:r>
        <w:t xml:space="preserve"> </w:t>
      </w:r>
      <w:r>
        <w:t xml:space="preserve">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pPr>
        <w:pStyle w:val="BodyText"/>
      </w:pPr>
      <w:r>
        <w:rPr>
          <w:rFonts w:hint="eastAsia"/>
        </w:rPr>
        <w:t xml:space="preserve">奖励</w:t>
      </w:r>
      <w:r>
        <w:t xml:space="preserve"> </w:t>
      </w:r>
      <m:oMath>
        <m:sSub>
          <m:e>
            <m:r>
              <m:t>r</m:t>
            </m:r>
          </m:e>
          <m:sub>
            <m:r>
              <m:t>t</m:t>
            </m:r>
          </m:sub>
        </m:sSub>
      </m:oMath>
      <w:r>
        <w:t xml:space="preserve"> </w:t>
      </w:r>
      <w:r>
        <w:rPr>
          <w:rFonts w:hint="eastAsia"/>
        </w:rPr>
        <w:t xml:space="preserve">定义为能效奖励与温控跟踪奖励的加权和，用于在节能目标与温度跟踪目标之间实现平衡：</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，分别表示能效项与温控项在总奖励中的权重；</w:t>
      </w:r>
      <m:oMath>
        <m:sSub>
          <m:e>
            <m:r>
              <m:t>ω</m:t>
            </m:r>
          </m:e>
          <m:sub>
            <m:r>
              <m:t>η</m:t>
            </m:r>
          </m:sub>
        </m:sSub>
      </m:oMath>
      <w:r>
        <w:t xml:space="preserve"> </w:t>
      </w:r>
      <w:r>
        <w:rPr>
          <w:rFonts w:hint="eastAsia"/>
        </w:rPr>
        <w:t xml:space="preserve">越大，策略越偏向节能，</w:t>
      </w:r>
      <m:oMath>
        <m:sSub>
          <m:e>
            <m:r>
              <m:t>ω</m:t>
            </m:r>
          </m:e>
          <m:sub>
            <m:r>
              <m:t>τ</m:t>
            </m:r>
          </m:sub>
        </m:sSub>
      </m:oMath>
      <w:r>
        <w:t xml:space="preserve"> </w:t>
      </w:r>
      <w:r>
        <w:rPr>
          <w:rFonts w:hint="eastAsia"/>
        </w:rPr>
        <w:t xml:space="preserve">越大，策略越偏向温度跟踪。能效奖励项定义为式</w:t>
      </w:r>
      <w:r>
        <w:t xml:space="preserve"> </w:t>
      </w:r>
      <w:r>
        <w:rPr>
          <w:rFonts w:hint="eastAsia"/>
        </w:rPr>
        <w:t xml:space="preserve">(19)：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为机组瞬时运行功率，</w:t>
      </w:r>
      <m:oMath>
        <m:sSub>
          <m:e>
            <m:r>
              <m:t>P</m:t>
            </m:r>
          </m:e>
          <m:sub>
            <m:r>
              <m:rPr>
                <m:sty m:val="p"/>
              </m:rPr>
              <m:t>r</m:t>
            </m:r>
            <m:r>
              <m:rPr>
                <m:sty m:val="p"/>
              </m:rPr>
              <m:t>e</m:t>
            </m:r>
            <m:r>
              <m:rPr>
                <m:sty m:val="p"/>
              </m:rPr>
              <m:t>f</m:t>
            </m:r>
          </m:sub>
        </m:sSub>
      </m:oMath>
      <w:r>
        <w:t xml:space="preserve"> </w:t>
      </w:r>
      <w:r>
        <w:rPr>
          <w:rFonts w:hint="eastAsia"/>
        </w:rPr>
        <w:t xml:space="preserve">为额定功率。该项以额定功率为基准刻画当前运行能耗，功率越低则奖励越高。温控跟踪奖励项采用高斯径向基函数对设定点跟踪精度进行连续量化，定义为式</w:t>
      </w:r>
      <w:r>
        <w:t xml:space="preserve"> </w:t>
      </w:r>
      <w:r>
        <w:rPr>
          <w:rFonts w:hint="eastAsia"/>
        </w:rPr>
        <w:t xml:space="preserve">(20)：</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为高斯核带宽参数，决定奖励对温度偏差的敏感程度。该项在实际供水温度接近目标设定值时取较高值，从而鼓励控制策略维持稳定的温控性能。</w:t>
      </w:r>
    </w:p>
    <w:p>
      <w:pPr>
        <w:pStyle w:val="BodyText"/>
      </w:pPr>
      <w:r>
        <w:t xml:space="preserve">We define the reward</w:t>
      </w:r>
      <w:r>
        <w:t xml:space="preserve"> </w:t>
      </w:r>
      <m:oMath>
        <m:sSub>
          <m:e>
            <m:r>
              <m:t>r</m:t>
            </m:r>
          </m:e>
          <m:sub>
            <m:r>
              <m:t>t</m:t>
            </m:r>
          </m:sub>
        </m:sSub>
      </m:oMath>
      <w:r>
        <w:t xml:space="preserve"> </w:t>
      </w:r>
      <w:r>
        <w:t xml:space="preserve">by Eq. (18) as a weighted sum of an energy efficiency term and a temperature tracking term, so that the learned policy can balance energy saving with setpoint tracking:</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t xml:space="preserve">where</w:t>
      </w:r>
      <w:r>
        <w:t xml:space="preserve"> </w:t>
      </w:r>
      <m:oMath>
        <m:sSub>
          <m:e>
            <m:r>
              <m:t>ω</m:t>
            </m:r>
          </m:e>
          <m:sub>
            <m:r>
              <m:t>η</m:t>
            </m:r>
          </m:sub>
        </m:sSub>
        <m:r>
          <m:rPr>
            <m:sty m:val="p"/>
          </m:rPr>
          <m:t>,</m:t>
        </m:r>
        <m:sSub>
          <m:e>
            <m:r>
              <m:t>ω</m:t>
            </m:r>
          </m:e>
          <m:sub>
            <m:r>
              <m:t>τ</m:t>
            </m:r>
          </m:sub>
        </m:sSub>
        <m:r>
          <m:rPr>
            <m:sty m:val="p"/>
          </m:rPr>
          <m:t>≥</m:t>
        </m:r>
        <m:r>
          <m:t>0</m:t>
        </m:r>
      </m:oMath>
      <w:r>
        <w:t xml:space="preserve"> </w:t>
      </w:r>
      <w:r>
        <w:t xml:space="preserve">and</w:t>
      </w:r>
      <w:r>
        <w:t xml:space="preserve"> </w:t>
      </w:r>
      <m:oMath>
        <m:sSub>
          <m:e>
            <m:r>
              <m:t>ω</m:t>
            </m:r>
          </m:e>
          <m:sub>
            <m:r>
              <m:t>η</m:t>
            </m:r>
          </m:sub>
        </m:sSub>
        <m:r>
          <m:rPr>
            <m:sty m:val="p"/>
          </m:rPr>
          <m:t>+</m:t>
        </m:r>
        <m:sSub>
          <m:e>
            <m:r>
              <m:t>ω</m:t>
            </m:r>
          </m:e>
          <m:sub>
            <m:r>
              <m:t>τ</m:t>
            </m:r>
          </m:sub>
        </m:sSub>
        <m:r>
          <m:rPr>
            <m:sty m:val="p"/>
          </m:rPr>
          <m:t>=</m:t>
        </m:r>
        <m:r>
          <m:t>1</m:t>
        </m:r>
      </m:oMath>
      <w:r>
        <w:t xml:space="preserve"> </w:t>
      </w:r>
      <w:r>
        <w:t xml:space="preserve">denote the weights assigned to the energy efficiency and temperature tracking terms, respectively. A larger</w:t>
      </w:r>
      <w:r>
        <w:t xml:space="preserve"> </w:t>
      </w:r>
      <m:oMath>
        <m:sSub>
          <m:e>
            <m:r>
              <m:t>ω</m:t>
            </m:r>
          </m:e>
          <m:sub>
            <m:r>
              <m:t>η</m:t>
            </m:r>
          </m:sub>
        </m:sSub>
      </m:oMath>
      <w:r>
        <w:t xml:space="preserve"> </w:t>
      </w:r>
      <w:r>
        <w:t xml:space="preserve">guides the policy toward energy saving, whereas a larger</w:t>
      </w:r>
      <w:r>
        <w:t xml:space="preserve"> </w:t>
      </w:r>
      <m:oMath>
        <m:sSub>
          <m:e>
            <m:r>
              <m:t>ω</m:t>
            </m:r>
          </m:e>
          <m:sub>
            <m:r>
              <m:t>τ</m:t>
            </m:r>
          </m:sub>
        </m:sSub>
      </m:oMath>
      <w:r>
        <w:t xml:space="preserve"> </w:t>
      </w:r>
      <w:r>
        <w:t xml:space="preserve">gives greater priority to temperature tracking. The energy efficiency term is calculated by Eq. (19):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t xml:space="preserve">where</w:t>
      </w:r>
      <w:r>
        <w:t xml:space="preserve"> </w:t>
      </w:r>
      <m:oMath>
        <m:sSub>
          <m:e>
            <m:r>
              <m:t>P</m:t>
            </m:r>
          </m:e>
          <m:sub>
            <m:r>
              <m:t>t</m:t>
            </m:r>
          </m:sub>
        </m:sSub>
      </m:oMath>
      <w:r>
        <w:t xml:space="preserve"> </w:t>
      </w:r>
      <w:r>
        <w:t xml:space="preserve">is the instantaneous operating power of the chiller unit and</w:t>
      </w:r>
      <w:r>
        <w:t xml:space="preserve"> </w:t>
      </w:r>
      <m:oMath>
        <m:sSub>
          <m:e>
            <m:r>
              <m:t>P</m:t>
            </m:r>
          </m:e>
          <m:sub>
            <m:r>
              <m:rPr>
                <m:sty m:val="p"/>
              </m:rPr>
              <m:t>r</m:t>
            </m:r>
            <m:r>
              <m:rPr>
                <m:sty m:val="p"/>
              </m:rPr>
              <m:t>e</m:t>
            </m:r>
            <m:r>
              <m:rPr>
                <m:sty m:val="p"/>
              </m:rPr>
              <m:t>f</m:t>
            </m:r>
          </m:sub>
        </m:sSub>
      </m:oMath>
      <w:r>
        <w:t xml:space="preserve"> </w:t>
      </w:r>
      <w:r>
        <w:t xml:space="preserve">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t xml:space="preserve">where</w:t>
      </w:r>
      <w:r>
        <w:t xml:space="preserve"> </w:t>
      </w:r>
      <m:oMath>
        <m:sSub>
          <m:e>
            <m:r>
              <m:t>T</m:t>
            </m:r>
          </m:e>
          <m:sub>
            <m:r>
              <m:t>t</m:t>
            </m:r>
          </m:sub>
        </m:sSub>
      </m:oMath>
      <w:r>
        <w:t xml:space="preserve"> </w:t>
      </w:r>
      <w:r>
        <w:t xml:space="preserve">is the actual supply water temperature,</w:t>
      </w:r>
      <w:r>
        <w:t xml:space="preserve"> </w:t>
      </w:r>
      <m:oMath>
        <m:sSub>
          <m:e>
            <m:r>
              <m:t>T</m:t>
            </m:r>
          </m:e>
          <m:sub>
            <m:r>
              <m:rPr>
                <m:sty m:val="p"/>
              </m:rPr>
              <m:t>s</m:t>
            </m:r>
            <m:r>
              <m:rPr>
                <m:sty m:val="p"/>
              </m:rPr>
              <m:t>e</m:t>
            </m:r>
            <m:r>
              <m:rPr>
                <m:sty m:val="p"/>
              </m:rPr>
              <m:t>t</m:t>
            </m:r>
          </m:sub>
        </m:sSub>
      </m:oMath>
      <w:r>
        <w:t xml:space="preserve"> </w:t>
      </w:r>
      <w:r>
        <w:t xml:space="preserve">is the target setpoint temperature, and</w:t>
      </w:r>
      <w:r>
        <w:t xml:space="preserve"> </w:t>
      </w:r>
      <m:oMath>
        <m:r>
          <m:t>σ</m:t>
        </m:r>
      </m:oMath>
      <w:r>
        <w:t xml:space="preserve"> </w:t>
      </w:r>
      <w:r>
        <w:t xml:space="preserve">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pPr>
        <w:pStyle w:val="BodyText"/>
      </w:pPr>
      <w:r>
        <w:rPr>
          <w:b/>
          <w:bCs/>
        </w:rPr>
        <w:t xml:space="preserve">(2) </w:t>
      </w:r>
      <w:r>
        <w:rPr>
          <w:rFonts w:hint="eastAsia"/>
          <w:b/>
          <w:bCs/>
        </w:rPr>
        <w:t xml:space="preserve">预测型</w:t>
      </w:r>
      <w:r>
        <w:rPr>
          <w:b/>
          <w:bCs/>
        </w:rPr>
        <w:t xml:space="preserve"> DQN </w:t>
      </w:r>
      <w:r>
        <w:rPr>
          <w:rFonts w:hint="eastAsia"/>
          <w:b/>
          <w:bCs/>
        </w:rPr>
        <w:t xml:space="preserve">网络架构与训练过程</w:t>
      </w:r>
      <w:r>
        <w:rPr>
          <w:b/>
          <w:bCs/>
        </w:rPr>
        <w:t xml:space="preserve"> / Predictive DQN network architecture and training procedure</w:t>
      </w:r>
    </w:p>
    <w:p>
      <w:pPr>
        <w:pStyle w:val="BodyText"/>
      </w:pPr>
      <w:r>
        <w:rPr>
          <w:rFonts w:hint="eastAsia"/>
        </w:rPr>
        <w:t xml:space="preserve">本文将冷源供水温度设定点优化过程建模为离散动作空间下的动作价值函数逼近问题，并采用预测型</w:t>
      </w:r>
      <w:r>
        <w:t xml:space="preserve"> DQN </w:t>
      </w:r>
      <w:r>
        <w:rPr>
          <w:rFonts w:hint="eastAsia"/>
        </w:rPr>
        <w:t xml:space="preserve">控制器进行求解。多层全连接网络用于近似动作价值函数</w:t>
      </w:r>
      <w:r>
        <w:t xml:space="preserve"> </w:t>
      </w:r>
      <m:oMath>
        <m:sSub>
          <m:e>
            <m:r>
              <m:t>Q</m:t>
            </m:r>
          </m:e>
          <m:sub>
            <m:r>
              <m:t>θ</m:t>
            </m:r>
          </m:sub>
        </m:sSub>
      </m:oMath>
      <w:r>
        <w:rPr>
          <w:rFonts w:hint="eastAsia"/>
        </w:rPr>
        <w:t xml:space="preserve">，其中</w:t>
      </w:r>
      <w:r>
        <w:t xml:space="preserve"> </w:t>
      </w:r>
      <m:oMath>
        <m:r>
          <m:t>θ</m:t>
        </m:r>
      </m:oMath>
      <w:r>
        <w:t xml:space="preserve"> </w:t>
      </w:r>
      <w:r>
        <w:rPr>
          <w:rFonts w:hint="eastAsia"/>
        </w:rPr>
        <w:t xml:space="preserve">表示在线网络参数；该网络以式</w:t>
      </w:r>
      <w:r>
        <w:t xml:space="preserve"> (17) </w:t>
      </w:r>
      <w:r>
        <w:rPr>
          <w:rFonts w:hint="eastAsia"/>
        </w:rPr>
        <w:t xml:space="preserve">定义的状态向量</w:t>
      </w:r>
      <w:r>
        <w:t xml:space="preserve"> </w:t>
      </w:r>
      <m:oMath>
        <m:sSub>
          <m:e>
            <m:r>
              <m:t>s</m:t>
            </m:r>
          </m:e>
          <m:sub>
            <m:r>
              <m:t>t</m:t>
            </m:r>
          </m:sub>
        </m:sSub>
      </m:oMath>
      <w:r>
        <w:t xml:space="preserve"> </w:t>
      </w:r>
      <w:r>
        <w:rPr>
          <w:rFonts w:hint="eastAsia"/>
        </w:rPr>
        <w:t xml:space="preserve">为输入，并输出离散设定点集合</w:t>
      </w:r>
      <w:r>
        <w:t xml:space="preserve"> </w:t>
      </w:r>
      <m:oMath>
        <m:r>
          <m:rPr>
            <m:scr m:val="script"/>
            <m:sty m:val="p"/>
          </m:rPr>
          <m:t>A</m:t>
        </m:r>
      </m:oMath>
      <w:r>
        <w:t xml:space="preserve"> </w:t>
      </w:r>
      <w:r>
        <w:rPr>
          <w:rFonts w:hint="eastAsia"/>
        </w:rPr>
        <w:t xml:space="preserve">中各候选动作</w:t>
      </w:r>
      <w:r>
        <w:t xml:space="preserve"> </w:t>
      </w:r>
      <m:oMath>
        <m:r>
          <m:t>a</m:t>
        </m:r>
      </m:oMath>
      <w:r>
        <w:t xml:space="preserve"> </w:t>
      </w:r>
      <w:r>
        <w:rPr>
          <w:rFonts w:hint="eastAsia"/>
        </w:rPr>
        <w:t xml:space="preserve">的动作价值</w:t>
      </w:r>
      <w:r>
        <w:t xml:space="preserve"> </w:t>
      </w:r>
      <m:oMath>
        <m:sSub>
          <m:e>
            <m:r>
              <m:t>Q</m:t>
            </m:r>
          </m:e>
          <m:sub>
            <m:r>
              <m:t>θ</m:t>
            </m:r>
          </m:sub>
        </m:sSub>
        <m:r>
          <m:rPr>
            <m:sty m:val="p"/>
          </m:rPr>
          <m:t>[</m:t>
        </m:r>
        <m:sSub>
          <m:e>
            <m:r>
              <m:t>s</m:t>
            </m:r>
          </m:e>
          <m:sub>
            <m:r>
              <m:t>t</m:t>
            </m:r>
          </m:sub>
        </m:sSub>
        <m:r>
          <m:rPr>
            <m:sty m:val="p"/>
          </m:rPr>
          <m:t>,</m:t>
        </m:r>
        <m:r>
          <m:t>a</m:t>
        </m:r>
        <m:r>
          <m:rPr>
            <m:sty m:val="p"/>
          </m:rPr>
          <m:t>]</m:t>
        </m:r>
      </m:oMath>
      <w:r>
        <w:rPr>
          <w:rFonts w:hint="eastAsia"/>
        </w:rPr>
        <w:t xml:space="preserve">。与仅依赖当前观测的反应式动作选择不同，状态中的一步负荷预测项使</w:t>
      </w:r>
      <w:r>
        <w:t xml:space="preserve"> </w:t>
      </w:r>
      <m:oMath>
        <m:sSub>
          <m:e>
            <m:r>
              <m:t>Q</m:t>
            </m:r>
          </m:e>
          <m:sub>
            <m:r>
              <m:t>θ</m:t>
            </m:r>
          </m:sub>
        </m:sSub>
      </m:oMath>
      <w:r>
        <w:t xml:space="preserve"> </w:t>
      </w:r>
      <w:r>
        <w:rPr>
          <w:rFonts w:hint="eastAsia"/>
        </w:rPr>
        <w:t xml:space="preserve">能够在当前工况与短期负荷演化共同约束下评估候选设定点的长期收益，从而支撑事件触发时的前瞻式动作推理。</w:t>
      </w:r>
    </w:p>
    <w:p>
      <w:pPr>
        <w:pStyle w:val="BodyText"/>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w:t>
      </w:r>
      <w:r>
        <w:t xml:space="preserve"> </w:t>
      </w:r>
      <m:oMath>
        <m:sSub>
          <m:e>
            <m:r>
              <m:t>Q</m:t>
            </m:r>
          </m:e>
          <m:sub>
            <m:r>
              <m:t>θ</m:t>
            </m:r>
          </m:sub>
        </m:sSub>
      </m:oMath>
      <w:r>
        <w:t xml:space="preserve">, where</w:t>
      </w:r>
      <w:r>
        <w:t xml:space="preserve"> </w:t>
      </w:r>
      <m:oMath>
        <m:r>
          <m:t>θ</m:t>
        </m:r>
      </m:oMath>
      <w:r>
        <w:t xml:space="preserve"> </w:t>
      </w:r>
      <w:r>
        <w:t xml:space="preserve">denotes the parameters of the online network. The network takes the state vector</w:t>
      </w:r>
      <w:r>
        <w:t xml:space="preserve"> </w:t>
      </w:r>
      <m:oMath>
        <m:sSub>
          <m:e>
            <m:r>
              <m:t>s</m:t>
            </m:r>
          </m:e>
          <m:sub>
            <m:r>
              <m:t>t</m:t>
            </m:r>
          </m:sub>
        </m:sSub>
      </m:oMath>
      <w:r>
        <w:t xml:space="preserve"> </w:t>
      </w:r>
      <w:r>
        <w:t xml:space="preserve">defined by Eq. (17) as input and outputs the action value</w:t>
      </w:r>
      <w:r>
        <w:t xml:space="preserve"> </w:t>
      </w:r>
      <m:oMath>
        <m:sSub>
          <m:e>
            <m:r>
              <m:t>Q</m:t>
            </m:r>
          </m:e>
          <m:sub>
            <m:r>
              <m:t>θ</m:t>
            </m:r>
          </m:sub>
        </m:sSub>
        <m:r>
          <m:rPr>
            <m:sty m:val="p"/>
          </m:rPr>
          <m:t>[</m:t>
        </m:r>
        <m:sSub>
          <m:e>
            <m:r>
              <m:t>s</m:t>
            </m:r>
          </m:e>
          <m:sub>
            <m:r>
              <m:t>t</m:t>
            </m:r>
          </m:sub>
        </m:sSub>
        <m:r>
          <m:rPr>
            <m:sty m:val="p"/>
          </m:rPr>
          <m:t>,</m:t>
        </m:r>
        <m:r>
          <m:t>a</m:t>
        </m:r>
        <m:r>
          <m:rPr>
            <m:sty m:val="p"/>
          </m:rPr>
          <m:t>]</m:t>
        </m:r>
      </m:oMath>
      <w:r>
        <w:t xml:space="preserve"> </w:t>
      </w:r>
      <w:r>
        <w:t xml:space="preserve">for each candidate action</w:t>
      </w:r>
      <w:r>
        <w:t xml:space="preserve"> </w:t>
      </w:r>
      <m:oMath>
        <m:r>
          <m:t>a</m:t>
        </m:r>
      </m:oMath>
      <w:r>
        <w:t xml:space="preserve"> </w:t>
      </w:r>
      <w:r>
        <w:t xml:space="preserve">in the discrete action space</w:t>
      </w:r>
      <w:r>
        <w:t xml:space="preserve"> </w:t>
      </w:r>
      <m:oMath>
        <m:r>
          <m:rPr>
            <m:scr m:val="script"/>
            <m:sty m:val="p"/>
          </m:rPr>
          <m:t>A</m:t>
        </m:r>
      </m:oMath>
      <w:r>
        <w:t xml:space="preserve">. Unlike reactive action selection that relies solely on current observations, the one-step load prediction term in the state enables</w:t>
      </w:r>
      <w:r>
        <w:t xml:space="preserve"> </w:t>
      </w:r>
      <m:oMath>
        <m:sSub>
          <m:e>
            <m:r>
              <m:t>Q</m:t>
            </m:r>
          </m:e>
          <m:sub>
            <m:r>
              <m:t>θ</m:t>
            </m:r>
          </m:sub>
        </m:sSub>
      </m:oMath>
      <w:r>
        <w:t xml:space="preserve"> </w:t>
      </w:r>
      <w:r>
        <w:t xml:space="preserve">to evaluate the long-term return of each candidate setpoint under the joint constraints of the current operating condition and short-term load evolution which can provide forward-looking action inference when an event is triggered.</w:t>
      </w:r>
    </w:p>
    <w:p>
      <w:pPr>
        <w:pStyle w:val="BodyText"/>
      </w:pPr>
      <w:r>
        <w:rPr>
          <w:rFonts w:hint="eastAsia"/>
        </w:rPr>
        <w:t xml:space="preserve">离线训练采用按时间顺序划分的数据序列，以避免未来工况信息泄漏并贴近部署时的顺序观测条件。仿真环境基于冷机性能曲线、冷负荷和室外湿球温度建立状态动作到物理反馈的映射，并计算式</w:t>
      </w:r>
      <w:r>
        <w:t xml:space="preserve"> (18) </w:t>
      </w:r>
      <w:r>
        <w:rPr>
          <w:rFonts w:hint="eastAsia"/>
        </w:rPr>
        <w:t xml:space="preserve">至式</w:t>
      </w:r>
      <w:r>
        <w:t xml:space="preserve"> (20) </w:t>
      </w:r>
      <w:r>
        <w:rPr>
          <w:rFonts w:hint="eastAsia"/>
        </w:rPr>
        <w:t xml:space="preserve">定义的即时奖励</w:t>
      </w:r>
      <w:r>
        <w:t xml:space="preserve"> </w:t>
      </w:r>
      <m:oMath>
        <m:sSub>
          <m:e>
            <m:r>
              <m:t>r</m:t>
            </m:r>
          </m:e>
          <m:sub>
            <m:r>
              <m:t>t</m:t>
            </m:r>
          </m:sub>
        </m:sSub>
      </m:oMath>
      <w:r>
        <w:rPr>
          <w:rFonts w:hint="eastAsia"/>
        </w:rPr>
        <w:t xml:space="preserve">。因此，参数更新由能耗效率与温控跟踪性能共同约束；训练阶段采用逐步衰减的</w:t>
      </w:r>
      <w:r>
        <w:t xml:space="preserve"> </w:t>
      </w:r>
      <m:oMath>
        <m:r>
          <m:t>ϵ</m:t>
        </m:r>
      </m:oMath>
      <w:r>
        <w:t xml:space="preserve">-greedy </w:t>
      </w:r>
      <w:r>
        <w:rPr>
          <w:rFonts w:hint="eastAsia"/>
        </w:rPr>
        <w:t xml:space="preserve">动作选择机制，以兼顾供水温度设定点探索和基于动作价值的利用。</w:t>
      </w:r>
    </w:p>
    <w:p>
      <w:pPr>
        <w:pStyle w:val="BodyText"/>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w:t>
      </w:r>
      <w:r>
        <w:t xml:space="preserve"> </w:t>
      </w:r>
      <m:oMath>
        <m:sSub>
          <m:e>
            <m:r>
              <m:t>r</m:t>
            </m:r>
          </m:e>
          <m:sub>
            <m:r>
              <m:t>t</m:t>
            </m:r>
          </m:sub>
        </m:sSub>
      </m:oMath>
      <w:r>
        <w:t xml:space="preserve"> </w:t>
      </w:r>
      <w:r>
        <w:t xml:space="preserve">defined by Eqs. (18) to (20). Consequently, the parameter updates are jointly constrained by energy efficiency and temperature tracking performance. During training, we adopt an</w:t>
      </w:r>
      <w:r>
        <w:t xml:space="preserve"> </w:t>
      </w:r>
      <m:oMath>
        <m:r>
          <m:t>ϵ</m:t>
        </m:r>
      </m:oMath>
      <w:r>
        <w:t xml:space="preserve">-greedy action selection mechanism with a gradually decaying exploration rate to balance exploration of chilled water supply temperature setpoints against exploitation of learned action values.</w:t>
      </w:r>
    </w:p>
    <w:p>
      <w:pPr>
        <w:pStyle w:val="BodyText"/>
      </w:pPr>
      <w:r>
        <w:rPr>
          <w:rFonts w:hint="eastAsia"/>
        </w:rPr>
        <w:t xml:space="preserve">交互样本</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rPr>
          <w:rFonts w:hint="eastAsia"/>
        </w:rPr>
        <w:t xml:space="preserve">存入容量为</w:t>
      </w:r>
      <w:r>
        <w:t xml:space="preserve"> </w:t>
      </w:r>
      <m:oMath>
        <m:r>
          <m:t>M</m:t>
        </m:r>
      </m:oMath>
      <w:r>
        <w:t xml:space="preserve"> </w:t>
      </w:r>
      <w:r>
        <w:rPr>
          <w:rFonts w:hint="eastAsia"/>
        </w:rPr>
        <w:t xml:space="preserve">的经验回放池</w:t>
      </w:r>
      <w:r>
        <w:t xml:space="preserve"> </w:t>
      </w:r>
      <m:oMath>
        <m:r>
          <m:rPr>
            <m:scr m:val="script"/>
            <m:sty m:val="p"/>
          </m:rPr>
          <m:t>D</m:t>
        </m:r>
      </m:oMath>
      <w:r>
        <w:rPr>
          <w:rFonts w:hint="eastAsia"/>
        </w:rPr>
        <w:t xml:space="preserve">，其中</w:t>
      </w:r>
      <w:r>
        <w:t xml:space="preserve"> </w:t>
      </w:r>
      <m:oMath>
        <m:sSub>
          <m:e>
            <m:r>
              <m:t>a</m:t>
            </m:r>
          </m:e>
          <m:sub>
            <m:r>
              <m:t>t</m:t>
            </m:r>
          </m:sub>
        </m:sSub>
      </m:oMath>
      <w:r>
        <w:t xml:space="preserve"> </w:t>
      </w:r>
      <w:r>
        <w:rPr>
          <w:rFonts w:hint="eastAsia"/>
        </w:rPr>
        <w:t xml:space="preserve">表示离散设定点编码；当样本数量达到批量大小</w:t>
      </w:r>
      <w:r>
        <w:t xml:space="preserve"> </w:t>
      </w:r>
      <m:oMath>
        <m:r>
          <m:t>B</m:t>
        </m:r>
      </m:oMath>
      <w:r>
        <w:t xml:space="preserve"> </w:t>
      </w:r>
      <w:r>
        <w:rPr>
          <w:rFonts w:hint="eastAsia"/>
        </w:rPr>
        <w:t xml:space="preserve">后，从</w:t>
      </w:r>
      <w:r>
        <w:t xml:space="preserve"> </w:t>
      </w:r>
      <m:oMath>
        <m:r>
          <m:rPr>
            <m:scr m:val="script"/>
            <m:sty m:val="p"/>
          </m:rPr>
          <m:t>D</m:t>
        </m:r>
      </m:oMath>
      <w:r>
        <w:t xml:space="preserve"> </w:t>
      </w:r>
      <w:r>
        <w:rPr>
          <w:rFonts w:hint="eastAsia"/>
        </w:rPr>
        <w:t xml:space="preserve">中随机抽样进行参数更新，以削弱相邻时刻负荷样本的相关性。与本文的序列回放实现一致，目标</w:t>
      </w:r>
      <w:r>
        <w:t xml:space="preserve"> Q </w:t>
      </w:r>
      <w:r>
        <w:rPr>
          <w:rFonts w:hint="eastAsia"/>
        </w:rPr>
        <w:t xml:space="preserve">值</w:t>
      </w:r>
      <w:r>
        <w:t xml:space="preserve"> </w:t>
      </w:r>
      <m:oMath>
        <m:sSubSup>
          <m:e>
            <m:r>
              <m:t>y</m:t>
            </m:r>
          </m:e>
          <m:sub>
            <m:r>
              <m:t>t</m:t>
            </m:r>
          </m:sub>
          <m:sup>
            <m:r>
              <m:t>Q</m:t>
            </m:r>
          </m:sup>
        </m:sSubSup>
      </m:oMath>
      <w:r>
        <w:t xml:space="preserve"> </w:t>
      </w:r>
      <w:r>
        <w:rPr>
          <w:rFonts w:hint="eastAsia"/>
        </w:rPr>
        <w:t xml:space="preserve">不显式引入终止掩码，而由即时奖励</w:t>
      </w:r>
      <w:r>
        <w:t xml:space="preserve"> </w:t>
      </w:r>
      <m:oMath>
        <m:sSub>
          <m:e>
            <m:r>
              <m:t>r</m:t>
            </m:r>
          </m:e>
          <m:sub>
            <m:r>
              <m:t>t</m:t>
            </m:r>
          </m:sub>
        </m:sSub>
      </m:oMath>
      <w:r>
        <w:rPr>
          <w:rFonts w:hint="eastAsia"/>
        </w:rPr>
        <w:t xml:space="preserve">、折扣因子</w:t>
      </w:r>
      <w:r>
        <w:t xml:space="preserve"> </w:t>
      </w:r>
      <m:oMath>
        <m:r>
          <m:t>γ</m:t>
        </m:r>
      </m:oMath>
      <w:r>
        <w:t xml:space="preserve"> </w:t>
      </w:r>
      <w:r>
        <w:rPr>
          <w:rFonts w:hint="eastAsia"/>
        </w:rPr>
        <w:t xml:space="preserve">和目标网络参数</w:t>
      </w:r>
      <w:r>
        <w:t xml:space="preserve"> </w:t>
      </w:r>
      <m:oMath>
        <m:sSup>
          <m:e>
            <m:r>
              <m:t>θ</m:t>
            </m:r>
          </m:e>
          <m:sup>
            <m:r>
              <m:rPr>
                <m:sty m:val="p"/>
              </m:rPr>
              <m:t>−</m:t>
            </m:r>
          </m:sup>
        </m:sSup>
      </m:oMath>
      <w:r>
        <w:t xml:space="preserve"> </w:t>
      </w:r>
      <w:r>
        <w:rPr>
          <w:rFonts w:hint="eastAsia"/>
        </w:rPr>
        <w:t xml:space="preserve">下的下一状态最大动作价值构造，其中</w:t>
      </w:r>
      <w:r>
        <w:t xml:space="preserve"> </w:t>
      </w:r>
      <m:oMath>
        <m:sSup>
          <m:e>
            <m:r>
              <m:t>a</m:t>
            </m:r>
          </m:e>
          <m:sup>
            <m:r>
              <m:rPr>
                <m:sty m:val="p"/>
              </m:rPr>
              <m:t>′</m:t>
            </m:r>
          </m:sup>
        </m:sSup>
      </m:oMath>
      <w:r>
        <w:t xml:space="preserve"> </w:t>
      </w:r>
      <w:r>
        <w:rPr>
          <w:rFonts w:hint="eastAsia"/>
        </w:rPr>
        <w:t xml:space="preserve">表示下一状态</w:t>
      </w:r>
      <w:r>
        <w:t xml:space="preserve"> </w:t>
      </w:r>
      <m:oMath>
        <m:sSub>
          <m:e>
            <m:r>
              <m:t>s</m:t>
            </m:r>
          </m:e>
          <m:sub>
            <m:r>
              <m:t>t</m:t>
            </m:r>
            <m:r>
              <m:rPr>
                <m:sty m:val="p"/>
              </m:rPr>
              <m:t>+</m:t>
            </m:r>
            <m:r>
              <m:t>1</m:t>
            </m:r>
          </m:sub>
        </m:sSub>
      </m:oMath>
      <w:r>
        <w:t xml:space="preserve"> </w:t>
      </w:r>
      <w:r>
        <w:rPr>
          <w:rFonts w:hint="eastAsia"/>
        </w:rPr>
        <w:t xml:space="preserve">下的候选离散设定点动作，见式</w:t>
      </w:r>
      <w:r>
        <w:t xml:space="preserve">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t xml:space="preserve">We store each interaction sample</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in an experience replay buffer</w:t>
      </w:r>
      <w:r>
        <w:t xml:space="preserve"> </w:t>
      </w:r>
      <m:oMath>
        <m:r>
          <m:rPr>
            <m:scr m:val="script"/>
            <m:sty m:val="p"/>
          </m:rPr>
          <m:t>D</m:t>
        </m:r>
      </m:oMath>
      <w:r>
        <w:t xml:space="preserve"> </w:t>
      </w:r>
      <w:r>
        <w:t xml:space="preserve">with capacity</w:t>
      </w:r>
      <w:r>
        <w:t xml:space="preserve"> </w:t>
      </w:r>
      <m:oMath>
        <m:r>
          <m:t>M</m:t>
        </m:r>
      </m:oMath>
      <w:r>
        <w:t xml:space="preserve">, where</w:t>
      </w:r>
      <w:r>
        <w:t xml:space="preserve"> </w:t>
      </w:r>
      <m:oMath>
        <m:sSub>
          <m:e>
            <m:r>
              <m:t>a</m:t>
            </m:r>
          </m:e>
          <m:sub>
            <m:r>
              <m:t>t</m:t>
            </m:r>
          </m:sub>
        </m:sSub>
      </m:oMath>
      <w:r>
        <w:t xml:space="preserve"> </w:t>
      </w:r>
      <w:r>
        <w:t xml:space="preserve">denotes the encoded discrete setpoint action. Once the number of stored samples reaches the batch size</w:t>
      </w:r>
      <w:r>
        <w:t xml:space="preserve"> </w:t>
      </w:r>
      <m:oMath>
        <m:r>
          <m:t>B</m:t>
        </m:r>
      </m:oMath>
      <w:r>
        <w:t xml:space="preserve">, we randomly draw mini-batches from</w:t>
      </w:r>
      <w:r>
        <w:t xml:space="preserve"> </w:t>
      </w:r>
      <m:oMath>
        <m:r>
          <m:rPr>
            <m:scr m:val="script"/>
            <m:sty m:val="p"/>
          </m:rPr>
          <m:t>D</m:t>
        </m:r>
      </m:oMath>
      <w:r>
        <w:t xml:space="preserve"> </w:t>
      </w:r>
      <w:r>
        <w:t xml:space="preserve">for parameter updates, thereby reducing the temporal correlation among adjacent load samples. Consistent with the sequential replay implementation adopted in this work, we do not explicitly include a terminal mask in the target Q value</w:t>
      </w:r>
      <w:r>
        <w:t xml:space="preserve"> </w:t>
      </w:r>
      <m:oMath>
        <m:sSubSup>
          <m:e>
            <m:r>
              <m:t>y</m:t>
            </m:r>
          </m:e>
          <m:sub>
            <m:r>
              <m:t>t</m:t>
            </m:r>
          </m:sub>
          <m:sup>
            <m:r>
              <m:t>Q</m:t>
            </m:r>
          </m:sup>
        </m:sSubSup>
      </m:oMath>
      <w:r>
        <w:t xml:space="preserve">. Instead, we construct it from the immediate reward</w:t>
      </w:r>
      <w:r>
        <w:t xml:space="preserve"> </w:t>
      </w:r>
      <m:oMath>
        <m:sSub>
          <m:e>
            <m:r>
              <m:t>r</m:t>
            </m:r>
          </m:e>
          <m:sub>
            <m:r>
              <m:t>t</m:t>
            </m:r>
          </m:sub>
        </m:sSub>
      </m:oMath>
      <w:r>
        <w:t xml:space="preserve">, the discount factor</w:t>
      </w:r>
      <w:r>
        <w:t xml:space="preserve"> </w:t>
      </w:r>
      <m:oMath>
        <m:r>
          <m:t>γ</m:t>
        </m:r>
      </m:oMath>
      <w:r>
        <w:t xml:space="preserve">, and the maximum action value of the next state under the target network parameters</w:t>
      </w:r>
      <w:r>
        <w:t xml:space="preserve"> </w:t>
      </w:r>
      <m:oMath>
        <m:sSup>
          <m:e>
            <m:r>
              <m:t>θ</m:t>
            </m:r>
          </m:e>
          <m:sup>
            <m:r>
              <m:rPr>
                <m:sty m:val="p"/>
              </m:rPr>
              <m:t>−</m:t>
            </m:r>
          </m:sup>
        </m:sSup>
      </m:oMath>
      <w:r>
        <w:t xml:space="preserve">, where</w:t>
      </w:r>
      <w:r>
        <w:t xml:space="preserve"> </w:t>
      </w:r>
      <m:oMath>
        <m:sSup>
          <m:e>
            <m:r>
              <m:t>a</m:t>
            </m:r>
          </m:e>
          <m:sup>
            <m:r>
              <m:rPr>
                <m:sty m:val="p"/>
              </m:rPr>
              <m:t>′</m:t>
            </m:r>
          </m:sup>
        </m:sSup>
      </m:oMath>
      <w:r>
        <w:t xml:space="preserve"> </w:t>
      </w:r>
      <w:r>
        <w:t xml:space="preserve">denotes a candidate discrete setpoint action at the next state</w:t>
      </w:r>
      <w:r>
        <w:t xml:space="preserve"> </w:t>
      </w:r>
      <m:oMath>
        <m:sSub>
          <m:e>
            <m:r>
              <m:t>s</m:t>
            </m:r>
          </m:e>
          <m:sub>
            <m:r>
              <m:t>t</m:t>
            </m:r>
            <m:r>
              <m:rPr>
                <m:sty m:val="p"/>
              </m:rPr>
              <m:t>+</m:t>
            </m:r>
            <m:r>
              <m:t>1</m:t>
            </m:r>
          </m:sub>
        </m:sSub>
      </m:oMath>
      <w:r>
        <w:t xml:space="preserve">. We define the target Q value</w:t>
      </w:r>
      <w:r>
        <w:t xml:space="preserve"> </w:t>
      </w:r>
      <m:oMath>
        <m:sSubSup>
          <m:e>
            <m:r>
              <m:t>y</m:t>
            </m:r>
          </m:e>
          <m:sub>
            <m:r>
              <m:t>t</m:t>
            </m:r>
          </m:sub>
          <m:sup>
            <m:r>
              <m:t>Q</m:t>
            </m:r>
          </m:sup>
        </m:sSubSup>
      </m:oMath>
      <w:r>
        <w:t xml:space="preserve"> </w:t>
      </w:r>
      <w:r>
        <w:t xml:space="preserve">by Eq.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训练损失</w:t>
      </w:r>
      <w:r>
        <w:t xml:space="preserve"> </w:t>
      </w:r>
      <m:oMath>
        <m:sSub>
          <m:e>
            <m:r>
              <m:rPr>
                <m:scr m:val="script"/>
                <m:sty m:val="p"/>
              </m:rPr>
              <m:t>L</m:t>
            </m:r>
          </m:e>
          <m:sub>
            <m:r>
              <m:t>θ</m:t>
            </m:r>
          </m:sub>
        </m:sSub>
      </m:oMath>
      <w:r>
        <w:t xml:space="preserve"> </w:t>
      </w:r>
      <w:r>
        <w:rPr>
          <w:rFonts w:hint="eastAsia"/>
        </w:rPr>
        <w:t xml:space="preserve">采用</w:t>
      </w:r>
      <w:r>
        <w:t xml:space="preserve"> Smooth L1 </w:t>
      </w:r>
      <w:r>
        <w:rPr>
          <w:rFonts w:hint="eastAsia"/>
        </w:rPr>
        <w:t xml:space="preserve">loss，以降低负荷突变和冷机功率模型局部非线性对梯度更新的异常影响。令</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rPr>
          <w:rFonts w:hint="eastAsia"/>
        </w:rPr>
        <w:t xml:space="preserve">表示动作价值估计误差，</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rPr>
          <w:rFonts w:hint="eastAsia"/>
        </w:rPr>
        <w:t xml:space="preserve">表示</w:t>
      </w:r>
      <w:r>
        <w:t xml:space="preserve"> Smooth L1 loss </w:t>
      </w:r>
      <w:r>
        <w:rPr>
          <w:rFonts w:hint="eastAsia"/>
        </w:rPr>
        <w:t xml:space="preserve">函数，则在线网络参数</w:t>
      </w:r>
      <w:r>
        <w:t xml:space="preserve"> </w:t>
      </w:r>
      <m:oMath>
        <m:r>
          <m:t>θ</m:t>
        </m:r>
      </m:oMath>
      <w:r>
        <w:t xml:space="preserve"> </w:t>
      </w:r>
      <w:r>
        <w:rPr>
          <w:rFonts w:hint="eastAsia"/>
        </w:rPr>
        <w:t xml:space="preserve">的优化目标为式</w:t>
      </w:r>
      <w:r>
        <w:t xml:space="preserve">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t xml:space="preserve">We adopt the Smooth L1 loss for the training loss</w:t>
      </w:r>
      <w:r>
        <w:t xml:space="preserve"> </w:t>
      </w:r>
      <m:oMath>
        <m:sSub>
          <m:e>
            <m:r>
              <m:rPr>
                <m:scr m:val="script"/>
                <m:sty m:val="p"/>
              </m:rPr>
              <m:t>L</m:t>
            </m:r>
          </m:e>
          <m:sub>
            <m:r>
              <m:t>θ</m:t>
            </m:r>
          </m:sub>
        </m:sSub>
      </m:oMath>
      <w:r>
        <w:t xml:space="preserve"> </w:t>
      </w:r>
      <w:r>
        <w:t xml:space="preserve">to mitigate the distorting effect of abrupt load changes and local nonlinearities in the chiller power model on gradient updates. Let</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t xml:space="preserve">denote the action-value estimation error, and let</w:t>
      </w:r>
      <w:r>
        <w:t xml:space="preserve"> </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t xml:space="preserve">denote the Smooth L1 loss function. We specify the optimization objective for the online network parameters</w:t>
      </w:r>
      <w:r>
        <w:t xml:space="preserve"> </w:t>
      </w:r>
      <m:oMath>
        <m:r>
          <m:t>θ</m:t>
        </m:r>
      </m:oMath>
      <w:r>
        <w:t xml:space="preserve"> </w:t>
      </w:r>
      <w:r>
        <w:t xml:space="preserve">by Eq.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rPr>
          <w:rFonts w:hint="eastAsia"/>
        </w:rPr>
        <w:t xml:space="preserve">在线网络使用</w:t>
      </w:r>
      <w:r>
        <w:t xml:space="preserve"> Adam </w:t>
      </w:r>
      <w:r>
        <w:rPr>
          <w:rFonts w:hint="eastAsia"/>
        </w:rPr>
        <w:t xml:space="preserve">优化器更新，目标网络按固定频率与在线网络同步。训练期间，当前策略在验证序列上关闭探索并以贪心动作选择方式评估累积奖励；当训练后半程验证奖励持续未改善时，执行早停并保留验证表现最优的策略网络。最终得到的</w:t>
      </w:r>
      <w:r>
        <w:t xml:space="preserve"> DQN </w:t>
      </w:r>
      <w:r>
        <w:rPr>
          <w:rFonts w:hint="eastAsia"/>
        </w:rPr>
        <w:t xml:space="preserve">策略在在线阶段仅用于动作推理，即在事件触发时根据预测型状态输出冷冻水供水温度设定点。</w:t>
      </w:r>
    </w:p>
    <w:p>
      <w:pPr>
        <w:pStyle w:val="BodyText"/>
      </w:pPr>
      <w:r>
        <w:t xml:space="preserve">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pPr>
        <w:pStyle w:val="BodyText"/>
      </w:pPr>
      <w:r>
        <w:rPr>
          <w:b/>
          <w:bCs/>
        </w:rPr>
        <w:t xml:space="preserve">(3) </w:t>
      </w:r>
      <w:r>
        <w:rPr>
          <w:rFonts w:hint="eastAsia"/>
          <w:b/>
          <w:bCs/>
        </w:rPr>
        <w:t xml:space="preserve">事件驱动在线执行算法</w:t>
      </w:r>
      <w:r>
        <w:rPr>
          <w:b/>
          <w:bCs/>
        </w:rPr>
        <w:t xml:space="preserve"> / Event-driven online execution algorithm</w:t>
      </w:r>
    </w:p>
    <w:p>
      <w:pPr>
        <w:pStyle w:val="BodyText"/>
      </w:pPr>
      <w:r>
        <w:rPr>
          <w:rFonts w:hint="eastAsia"/>
        </w:rPr>
        <w:t xml:space="preserve">在在线运行阶段，系统按固定采样间隔从建筑运行环境中直接采集冷负荷</w:t>
      </w:r>
      <w:r>
        <w:t xml:space="preserve"> </w:t>
      </w:r>
      <m:oMath>
        <m:sSubSup>
          <m:e>
            <m:r>
              <m:t>Q</m:t>
            </m:r>
          </m:e>
          <m:sub>
            <m:r>
              <m:rPr>
                <m:sty m:val="p"/>
              </m:rPr>
              <m:t>l</m:t>
            </m:r>
            <m:r>
              <m:rPr>
                <m:sty m:val="p"/>
              </m:rPr>
              <m:t>o</m:t>
            </m:r>
            <m:r>
              <m:rPr>
                <m:sty m:val="p"/>
              </m:rPr>
              <m:t>a</m:t>
            </m:r>
            <m:r>
              <m:rPr>
                <m:sty m:val="p"/>
              </m:rPr>
              <m:t>d</m:t>
            </m:r>
          </m:sub>
          <m:sup>
            <m:r>
              <m:t>t</m:t>
            </m:r>
          </m:sup>
        </m:sSubSup>
      </m:oMath>
      <w:r>
        <w:rPr>
          <w:rFonts w:hint="eastAsia"/>
        </w:rPr>
        <w:t xml:space="preserve">、室外湿球温度</w:t>
      </w:r>
      <w:r>
        <w:t xml:space="preserve"> </w:t>
      </w:r>
      <m:oMath>
        <m:sSubSup>
          <m:e>
            <m:r>
              <m:t>T</m:t>
            </m:r>
          </m:e>
          <m:sub>
            <m:r>
              <m:rPr>
                <m:sty m:val="p"/>
              </m:rPr>
              <m:t>w</m:t>
            </m:r>
            <m:r>
              <m:rPr>
                <m:sty m:val="p"/>
              </m:rPr>
              <m:t>b</m:t>
            </m:r>
          </m:sub>
          <m:sup>
            <m:r>
              <m:t>t</m:t>
            </m:r>
          </m:sup>
        </m:sSubSup>
      </m:oMath>
      <w:r>
        <w:t xml:space="preserve"> </w:t>
      </w:r>
      <w:r>
        <w:rPr>
          <w:rFonts w:hint="eastAsia"/>
        </w:rPr>
        <w:t xml:space="preserve">以及一步预测负荷</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，并构造预测型状态</w:t>
      </w:r>
      <w:r>
        <w:t xml:space="preserve"> </w:t>
      </w:r>
      <m:oMath>
        <m:sSub>
          <m:e>
            <m:r>
              <m:t>s</m:t>
            </m:r>
          </m:e>
          <m:sub>
            <m:r>
              <m:t>t</m:t>
            </m:r>
          </m:sub>
        </m:sSub>
      </m:oMath>
      <w:r>
        <w:rPr>
          <w:rFonts w:hint="eastAsia"/>
        </w:rPr>
        <w:t xml:space="preserve">。随后，流式门控模块判断当前运行状态是否偏离由多尺度滑动窗口表征的近期参考分布。只有当触发准则被满足时，系统才调用训练好的</w:t>
      </w:r>
      <w:r>
        <w:t xml:space="preserve"> DQN </w:t>
      </w:r>
      <w:r>
        <w:rPr>
          <w:rFonts w:hint="eastAsia"/>
        </w:rPr>
        <w:t xml:space="preserve">推理新的冷冻水供水温度设定点。该设计将多尺度异常评分与预测型强化学习控制相结合，使控制器能够响应负荷突变、室外热环境扰动和工况迁移，同时在稳定工况下减少不必要的策略评估、频繁设定点切换和执行器振荡。</w:t>
      </w:r>
    </w:p>
    <w:p>
      <w:pPr>
        <w:pStyle w:val="BodyText"/>
      </w:pPr>
      <w:r>
        <w:t xml:space="preserve">During online operation, the system directly collects the cooling load</w:t>
      </w:r>
      <w:r>
        <w:t xml:space="preserve"> </w:t>
      </w:r>
      <m:oMath>
        <m:sSubSup>
          <m:e>
            <m:r>
              <m:t>Q</m:t>
            </m:r>
          </m:e>
          <m:sub>
            <m:r>
              <m:rPr>
                <m:sty m:val="p"/>
              </m:rPr>
              <m:t>l</m:t>
            </m:r>
            <m:r>
              <m:rPr>
                <m:sty m:val="p"/>
              </m:rPr>
              <m:t>o</m:t>
            </m:r>
            <m:r>
              <m:rPr>
                <m:sty m:val="p"/>
              </m:rPr>
              <m:t>a</m:t>
            </m:r>
            <m:r>
              <m:rPr>
                <m:sty m:val="p"/>
              </m:rPr>
              <m:t>d</m:t>
            </m:r>
          </m:sub>
          <m:sup>
            <m:r>
              <m:t>t</m:t>
            </m:r>
          </m:sup>
        </m:sSubSup>
      </m:oMath>
      <w:r>
        <w:t xml:space="preserve">, outdoor wet-bulb temperature</w:t>
      </w:r>
      <w:r>
        <w:t xml:space="preserve"> </w:t>
      </w:r>
      <m:oMath>
        <m:sSubSup>
          <m:e>
            <m:r>
              <m:t>T</m:t>
            </m:r>
          </m:e>
          <m:sub>
            <m:r>
              <m:rPr>
                <m:sty m:val="p"/>
              </m:rPr>
              <m:t>w</m:t>
            </m:r>
            <m:r>
              <m:rPr>
                <m:sty m:val="p"/>
              </m:rPr>
              <m:t>b</m:t>
            </m:r>
          </m:sub>
          <m:sup>
            <m:r>
              <m:t>t</m:t>
            </m:r>
          </m:sup>
        </m:sSubSup>
      </m:oMath>
      <w:r>
        <w:t xml:space="preserve">, and one-step-ahead predicted load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from the building operating environment at a fixed sampling interval to construct the predictive state</w:t>
      </w:r>
      <w:r>
        <w:t xml:space="preserve"> </w:t>
      </w:r>
      <m:oMath>
        <m:sSub>
          <m:e>
            <m:r>
              <m:t>s</m:t>
            </m:r>
          </m:e>
          <m:sub>
            <m:r>
              <m:t>t</m:t>
            </m:r>
          </m:sub>
        </m:sSub>
      </m:oMath>
      <w:r>
        <w:t xml:space="preserve">.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pPr>
        <w:pStyle w:val="BodyText"/>
      </w:pPr>
      <w:r>
        <w:rPr>
          <w:rFonts w:hint="eastAsia"/>
        </w:rPr>
        <w:t xml:space="preserve">具体而言，流式门控模块首先基于短、中、长三个滑动窗口计算当前状态的尺度特异异常分数，以刻画高频扰动、日内周期变化和长期慢变趋势。随后，尺度特异异常分数按照式</w:t>
      </w:r>
      <w:r>
        <w:t xml:space="preserve"> (8) </w:t>
      </w:r>
      <w:r>
        <w:rPr>
          <w:rFonts w:hint="eastAsia"/>
        </w:rPr>
        <w:t xml:space="preserve">融合为多尺度融合异常分数</w:t>
      </w:r>
      <w:r>
        <w:t xml:space="preserve"> </w:t>
      </w:r>
      <m:oMath>
        <m:r>
          <m:t>A</m:t>
        </m:r>
        <m:r>
          <m:rPr>
            <m:sty m:val="p"/>
          </m:rPr>
          <m:t>(</m:t>
        </m:r>
        <m:sSub>
          <m:e>
            <m:r>
              <m:t>s</m:t>
            </m:r>
          </m:e>
          <m:sub>
            <m:r>
              <m:t>t</m:t>
            </m:r>
          </m:sub>
        </m:sSub>
        <m:r>
          <m:rPr>
            <m:sty m:val="p"/>
          </m:rPr>
          <m:t>)</m:t>
        </m:r>
      </m:oMath>
      <w:r>
        <w:rPr>
          <w:rFonts w:hint="eastAsia"/>
        </w:rPr>
        <w:t xml:space="preserve">，并利用式</w:t>
      </w:r>
      <w:r>
        <w:t xml:space="preserve"> (9) </w:t>
      </w:r>
      <w:r>
        <w:rPr>
          <w:rFonts w:hint="eastAsia"/>
        </w:rPr>
        <w:t xml:space="preserve">至式</w:t>
      </w:r>
      <w:r>
        <w:t xml:space="preserve"> (16) </w:t>
      </w:r>
      <w:r>
        <w:rPr>
          <w:rFonts w:hint="eastAsia"/>
        </w:rPr>
        <w:t xml:space="preserve">定义的局部-全局双层自适应阈值得到自适应触发阈值</w:t>
      </w:r>
      <w:r>
        <w:t xml:space="preserve"> </w:t>
      </w:r>
      <m:oMath>
        <m:sSubSup>
          <m:e>
            <m:r>
              <m:t>τ</m:t>
            </m:r>
          </m:e>
          <m:sub>
            <m:r>
              <m:t>t</m:t>
            </m:r>
          </m:sub>
          <m:sup>
            <m:r>
              <m:rPr>
                <m:sty m:val="p"/>
              </m:rPr>
              <m:t>*</m:t>
            </m:r>
          </m:sup>
        </m:sSubSup>
      </m:oMath>
      <w:r>
        <w:rPr>
          <w:rFonts w:hint="eastAsia"/>
        </w:rPr>
        <w:t xml:space="preserve">。触发判定比较</w:t>
      </w:r>
      <w:r>
        <w:t xml:space="preserve"> </w:t>
      </w:r>
      <m:oMath>
        <m:r>
          <m:t>A</m:t>
        </m:r>
        <m:r>
          <m:rPr>
            <m:sty m:val="p"/>
          </m:rPr>
          <m:t>(</m:t>
        </m:r>
        <m:sSub>
          <m:e>
            <m:r>
              <m:t>s</m:t>
            </m:r>
          </m:e>
          <m:sub>
            <m:r>
              <m:t>t</m:t>
            </m:r>
          </m:sub>
        </m:sSub>
        <m:r>
          <m:rPr>
            <m:sty m:val="p"/>
          </m:rPr>
          <m:t>)</m:t>
        </m:r>
      </m:oMath>
      <w:r>
        <w:t xml:space="preserve"> </w:t>
      </w:r>
      <w:r>
        <w:rPr>
          <w:rFonts w:hint="eastAsia"/>
        </w:rPr>
        <w:t xml:space="preserve">与</w:t>
      </w:r>
      <w:r>
        <w:t xml:space="preserve"> </w:t>
      </w:r>
      <m:oMath>
        <m:sSubSup>
          <m:e>
            <m:r>
              <m:t>τ</m:t>
            </m:r>
          </m:e>
          <m:sub>
            <m:r>
              <m:t>t</m:t>
            </m:r>
          </m:sub>
          <m:sup>
            <m:r>
              <m:rPr>
                <m:sty m:val="p"/>
              </m:rPr>
              <m:t>*</m:t>
            </m:r>
          </m:sup>
        </m:sSubSup>
      </m:oMath>
      <w:r>
        <w:rPr>
          <w:rFonts w:hint="eastAsia"/>
        </w:rPr>
        <w:t xml:space="preserve">，并进一步引入最小触发间隔</w:t>
      </w:r>
      <w:r>
        <w:t xml:space="preserve"> </w:t>
      </w:r>
      <m:oMath>
        <m:sSub>
          <m:e>
            <m:r>
              <m:rPr>
                <m:sty m:val="p"/>
              </m:rPr>
              <m:t>Δ</m:t>
            </m:r>
          </m:e>
          <m:sub>
            <m:r>
              <m:rPr>
                <m:sty m:val="p"/>
              </m:rPr>
              <m:t>min</m:t>
            </m:r>
          </m:sub>
        </m:sSub>
      </m:oMath>
      <w:r>
        <w:t xml:space="preserve"> </w:t>
      </w:r>
      <w:r>
        <w:rPr>
          <w:rFonts w:hint="eastAsia"/>
        </w:rPr>
        <w:t xml:space="preserve">和迟滞裕度，以抑制异常分数在阈值附近波动时导致的重复触发。若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rPr>
          <w:rFonts w:hint="eastAsia"/>
        </w:rPr>
        <w:t xml:space="preserve">，则表示当前运行状态相对于近期参考分布的偏离程度足以触发新的策略推理，训练好的</w:t>
      </w:r>
      <w:r>
        <w:t xml:space="preserve"> DQN </w:t>
      </w:r>
      <w:r>
        <w:rPr>
          <w:rFonts w:hint="eastAsia"/>
        </w:rPr>
        <w:t xml:space="preserve">从离散设定点集合</w:t>
      </w:r>
      <w:r>
        <w:t xml:space="preserve"> </w:t>
      </w:r>
      <m:oMath>
        <m:r>
          <m:rPr>
            <m:scr m:val="script"/>
            <m:sty m:val="p"/>
          </m:rPr>
          <m:t>A</m:t>
        </m:r>
      </m:oMath>
      <w:r>
        <w:t xml:space="preserve"> </w:t>
      </w:r>
      <w:r>
        <w:rPr>
          <w:rFonts w:hint="eastAsia"/>
        </w:rPr>
        <w:t xml:space="preserve">中选择学习动作价值最大的设定点。若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rPr>
          <w:rFonts w:hint="eastAsia"/>
        </w:rPr>
        <w:t xml:space="preserve">，则不执行新的策略推理，控制动作由零阶保持器维持，即</w:t>
      </w:r>
      <w:r>
        <w:t xml:space="preserve"> </w:t>
      </w:r>
      <m:oMath>
        <m:sSub>
          <m:e>
            <m:r>
              <m:t>a</m:t>
            </m:r>
          </m:e>
          <m:sub>
            <m:r>
              <m:t>t</m:t>
            </m:r>
          </m:sub>
        </m:sSub>
        <m:r>
          <m:rPr>
            <m:sty m:val="p"/>
          </m:rPr>
          <m:t>=</m:t>
        </m:r>
        <m:sSub>
          <m:e>
            <m:r>
              <m:t>a</m:t>
            </m:r>
          </m:e>
          <m:sub>
            <m:r>
              <m:t>t</m:t>
            </m:r>
            <m:r>
              <m:rPr>
                <m:sty m:val="p"/>
              </m:rPr>
              <m:t>−</m:t>
            </m:r>
            <m:r>
              <m:t>1</m:t>
            </m:r>
          </m:sub>
        </m:sSub>
      </m:oMath>
      <w:r>
        <w:rPr>
          <w:rFonts w:hint="eastAsia"/>
        </w:rPr>
        <w:t xml:space="preserve">。其中</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rPr>
          <w:rFonts w:hint="eastAsia"/>
        </w:rPr>
        <w:t xml:space="preserve">为训练好的</w:t>
      </w:r>
      <w:r>
        <w:t xml:space="preserve"> DQN </w:t>
      </w:r>
      <w:r>
        <w:rPr>
          <w:rFonts w:hint="eastAsia"/>
        </w:rPr>
        <w:t xml:space="preserve">策略网络在状态</w:t>
      </w:r>
      <w:r>
        <w:t xml:space="preserve"> </w:t>
      </w:r>
      <m:oMath>
        <m:sSub>
          <m:e>
            <m:r>
              <m:t>s</m:t>
            </m:r>
          </m:e>
          <m:sub>
            <m:r>
              <m:t>t</m:t>
            </m:r>
          </m:sub>
        </m:sSub>
      </m:oMath>
      <w:r>
        <w:t xml:space="preserve"> </w:t>
      </w:r>
      <w:r>
        <w:rPr>
          <w:rFonts w:hint="eastAsia"/>
        </w:rPr>
        <w:t xml:space="preserve">下输出的贪心动作。在线执行律由式</w:t>
      </w:r>
      <w:r>
        <w:t xml:space="preserve"> (23) </w:t>
      </w:r>
      <w:r>
        <w:rPr>
          <w:rFonts w:hint="eastAsia"/>
        </w:rPr>
        <w:t xml:space="preserve">定义：</w:t>
      </w:r>
    </w:p>
    <w:p>
      <w:pPr>
        <w:pStyle w:val="BodyText"/>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w:t>
      </w:r>
      <w:r>
        <w:t xml:space="preserve"> </w:t>
      </w:r>
      <m:oMath>
        <m:r>
          <m:t>A</m:t>
        </m:r>
        <m:r>
          <m:rPr>
            <m:sty m:val="p"/>
          </m:rPr>
          <m:t>(</m:t>
        </m:r>
        <m:sSub>
          <m:e>
            <m:r>
              <m:t>s</m:t>
            </m:r>
          </m:e>
          <m:sub>
            <m:r>
              <m:t>t</m:t>
            </m:r>
          </m:sub>
        </m:sSub>
        <m:r>
          <m:rPr>
            <m:sty m:val="p"/>
          </m:rPr>
          <m:t>)</m:t>
        </m:r>
      </m:oMath>
      <w:r>
        <w:t xml:space="preserve">, and the local-global two-layer adaptive threshold defined by Eqs. (9) to (16) is used to obtain the adaptive triggering threshold</w:t>
      </w:r>
      <w:r>
        <w:t xml:space="preserve"> </w:t>
      </w:r>
      <m:oMath>
        <m:sSubSup>
          <m:e>
            <m:r>
              <m:t>τ</m:t>
            </m:r>
          </m:e>
          <m:sub>
            <m:r>
              <m:t>t</m:t>
            </m:r>
          </m:sub>
          <m:sup>
            <m:r>
              <m:rPr>
                <m:sty m:val="p"/>
              </m:rPr>
              <m:t>*</m:t>
            </m:r>
          </m:sup>
        </m:sSubSup>
      </m:oMath>
      <w:r>
        <w:t xml:space="preserve">. The trigger decision compares</w:t>
      </w:r>
      <w:r>
        <w:t xml:space="preserve"> </w:t>
      </w:r>
      <m:oMath>
        <m:r>
          <m:t>A</m:t>
        </m:r>
        <m:r>
          <m:rPr>
            <m:sty m:val="p"/>
          </m:rPr>
          <m:t>(</m:t>
        </m:r>
        <m:sSub>
          <m:e>
            <m:r>
              <m:t>s</m:t>
            </m:r>
          </m:e>
          <m:sub>
            <m:r>
              <m:t>t</m:t>
            </m:r>
          </m:sub>
        </m:sSub>
        <m:r>
          <m:rPr>
            <m:sty m:val="p"/>
          </m:rPr>
          <m:t>)</m:t>
        </m:r>
      </m:oMath>
      <w:r>
        <w:t xml:space="preserve"> </w:t>
      </w:r>
      <w:r>
        <w:t xml:space="preserve">with</w:t>
      </w:r>
      <w:r>
        <w:t xml:space="preserve"> </w:t>
      </w:r>
      <m:oMath>
        <m:sSubSup>
          <m:e>
            <m:r>
              <m:t>τ</m:t>
            </m:r>
          </m:e>
          <m:sub>
            <m:r>
              <m:t>t</m:t>
            </m:r>
          </m:sub>
          <m:sup>
            <m:r>
              <m:rPr>
                <m:sty m:val="p"/>
              </m:rPr>
              <m:t>*</m:t>
            </m:r>
          </m:sup>
        </m:sSubSup>
      </m:oMath>
      <w:r>
        <w:t xml:space="preserve"> </w:t>
      </w:r>
      <w:r>
        <w:t xml:space="preserve">and further incorporates the minimum triggering interval</w:t>
      </w:r>
      <w:r>
        <w:t xml:space="preserve"> </w:t>
      </w:r>
      <m:oMath>
        <m:sSub>
          <m:e>
            <m:r>
              <m:rPr>
                <m:sty m:val="p"/>
              </m:rPr>
              <m:t>Δ</m:t>
            </m:r>
          </m:e>
          <m:sub>
            <m:r>
              <m:rPr>
                <m:sty m:val="p"/>
              </m:rPr>
              <m:t>min</m:t>
            </m:r>
          </m:sub>
        </m:sSub>
      </m:oMath>
      <w:r>
        <w:t xml:space="preserve"> </w:t>
      </w:r>
      <w:r>
        <w:t xml:space="preserve">and the hysteresis margin to suppress repeated triggers caused by threshold-level fluctuations.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w:t>
      </w:r>
      <w:r>
        <w:t xml:space="preserve"> </w:t>
      </w:r>
      <m:oMath>
        <m:r>
          <m:rPr>
            <m:scr m:val="script"/>
            <m:sty m:val="p"/>
          </m:rPr>
          <m:t>A</m:t>
        </m:r>
      </m:oMath>
      <w:r>
        <w:t xml:space="preserve">.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no new policy inference is performed, and the control action is held by a zero-order hold (ZOH), i.e.,</w:t>
      </w:r>
      <w:r>
        <w:t xml:space="preserve"> </w:t>
      </w:r>
      <m:oMath>
        <m:sSub>
          <m:e>
            <m:r>
              <m:t>a</m:t>
            </m:r>
          </m:e>
          <m:sub>
            <m:r>
              <m:t>t</m:t>
            </m:r>
          </m:sub>
        </m:sSub>
        <m:r>
          <m:rPr>
            <m:sty m:val="p"/>
          </m:rPr>
          <m:t>=</m:t>
        </m:r>
        <m:sSub>
          <m:e>
            <m:r>
              <m:t>a</m:t>
            </m:r>
          </m:e>
          <m:sub>
            <m:r>
              <m:t>t</m:t>
            </m:r>
            <m:r>
              <m:rPr>
                <m:sty m:val="p"/>
              </m:rPr>
              <m:t>−</m:t>
            </m:r>
            <m:r>
              <m:t>1</m:t>
            </m:r>
          </m:sub>
        </m:sSub>
      </m:oMath>
      <w:r>
        <w:t xml:space="preserve">. Here,</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t xml:space="preserve">denotes the greedy action selected by the trained DQN given state</w:t>
      </w:r>
      <w:r>
        <w:t xml:space="preserve"> </w:t>
      </w:r>
      <m:oMath>
        <m:sSub>
          <m:e>
            <m:r>
              <m:t>s</m:t>
            </m:r>
          </m:e>
          <m:sub>
            <m:r>
              <m:t>t</m:t>
            </m:r>
          </m:sub>
        </m:sSub>
      </m:oMath>
      <w:r>
        <w:t xml:space="preserve">. The online execution is defined by Eq. (23):</w:t>
      </w:r>
    </w:p>
    <w:p>
      <w:pPr>
        <w:pStyle w:val="BodyText"/>
      </w:pPr>
      <m:oMathPara>
        <m:oMathParaPr>
          <m:jc m:val="center"/>
        </m:oMathParaPr>
        <m:oMath>
          <m:sSub>
            <m:e>
              <m:r>
                <m:t>a</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a</m:t>
                        </m:r>
                      </m:e>
                      <m:sub>
                        <m:r>
                          <m:t>t</m:t>
                        </m:r>
                        <m:r>
                          <m:rPr>
                            <m:sty m:val="p"/>
                          </m:rPr>
                          <m:t>−</m:t>
                        </m:r>
                        <m:r>
                          <m:t>1</m:t>
                        </m:r>
                      </m:sub>
                    </m:sSub>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最终的在线执行流程如下：</w:t>
      </w:r>
    </w:p>
    <w:p>
      <w:pPr>
        <w:pStyle w:val="BodyText"/>
      </w:pPr>
      <w:r>
        <w:t xml:space="preserve">The complete online execution procedure is summarized below.</w:t>
      </w:r>
    </w:p>
    <w:tbl>
      <w:tblPr>
        <w:tblW w:type="dxa" w:w="9360"/>
        <w:tblLayout w:type="fixed"/>
        <w:tblLook w:firstColumn="1" w:firstRow="1" w:lastColumn="0" w:lastRow="0" w:noHBand="0" w:noVBand="1" w:val="04A0"/>
        <w:tblInd w:w="12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360"/>
        <w:gridCol w:w="360"/>
        <w:gridCol w:w="360"/>
        <w:gridCol w:w="8280"/>
      </w:tblGrid>
      <w:tr>
        <w:tc>
          <w:tcPr>
            <w:tcW w:type="dxa" w:w="9360"/>
            <w:vAlign w:val="center"/>
            <w:gridSpan w:val="4"/>
            <w:tcMar>
              <w:top w:w="30" w:type="dxa"/>
              <w:start w:w="120" w:type="dxa"/>
              <w:bottom w:w="30" w:type="dxa"/>
              <w:end w:w="120" w:type="dxa"/>
            </w:tcMar>
            <w:tcBorders>
              <w:top w:val="single" w:sz="6" w:space="0" w:color="7F7F7F"/>
              <w:bottom w:val="single" w:sz="6" w:space="0" w:color="7F7F7F"/>
            </w:tcBorders>
          </w:tcPr>
          <w:p>
            <w:pPr>
              <w:spacing w:before="0" w:after="0" w:line="240" w:lineRule="auto"/>
              <w:jc w:val="left"/>
            </w:pPr>
            <w:r>
              <w:rPr>
                <w:rFonts w:ascii="Times New Roman" w:hAnsi="Times New Roman" w:eastAsia="Times New Roman"/>
                <w:color w:val="000000"/>
                <w:sz w:val="22"/>
              </w:rPr>
              <w:t>Algorithm 1. Event-Triggered Predictive Reinforcement Learning with Unsupervised Dynamic Event Gating (ET-PRL) Online Control Procedure</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Input: </w:t>
            </w:r>
            <w:r>
              <w:rPr>
                <w:rFonts w:ascii="Times New Roman" w:hAnsi="Times New Roman" w:eastAsia="Times New Roman"/>
                <w:color w:val="000000"/>
                <w:sz w:val="21"/>
              </w:rPr>
              <w:t xml:space="preserve">Trained DQN policy </w:t>
            </w:r>
            <m:oMath>
              <m:sSub>
                <m:e>
                  <m:r>
                    <m:t>π</m:t>
                  </m:r>
                </m:e>
                <m:sub>
                  <m:r>
                    <m:rPr>
                      <m:sty m:val="p"/>
                    </m:rPr>
                    <m:t>D</m:t>
                  </m:r>
                  <m:r>
                    <m:rPr>
                      <m:sty m:val="p"/>
                    </m:rPr>
                    <m:t>Q</m:t>
                  </m:r>
                  <m:r>
                    <m:rPr>
                      <m:sty m:val="p"/>
                    </m:rPr>
                    <m:t>N</m:t>
                  </m:r>
                </m:sub>
              </m:sSub>
            </m:oMath>
            <w:r>
              <w:rPr>
                <w:rFonts w:ascii="Times New Roman" w:hAnsi="Times New Roman" w:eastAsia="Times New Roman"/>
                <w:color w:val="000000"/>
                <w:sz w:val="21"/>
              </w:rPr>
              <w:t xml:space="preserve">; gate parameters </w:t>
            </w:r>
            <m:oMath>
              <m:r>
                <m:rPr>
                  <m:sty m:val="p"/>
                </m:rPr>
                <m:t>Ω</m:t>
              </m:r>
              <m:r>
                <m:rPr>
                  <m:sty m:val="p"/>
                </m:rPr>
                <m:t>=</m:t>
              </m:r>
              <m:r>
                <m:rPr>
                  <m:sty m:val="p"/>
                </m:rPr>
                <m:t>{</m:t>
              </m:r>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q</m:t>
              </m:r>
              <m:r>
                <m:rPr>
                  <m:sty m:val="p"/>
                </m:rPr>
                <m:t>,</m:t>
              </m:r>
              <m:r>
                <m:t>κ</m:t>
              </m:r>
              <m:r>
                <m:rPr>
                  <m:sty m:val="p"/>
                </m:rPr>
                <m:t>,</m:t>
              </m:r>
              <m:sSub>
                <m:e>
                  <m:r>
                    <m:t>ω</m:t>
                  </m:r>
                </m:e>
                <m:sub>
                  <m:r>
                    <m:t>q</m:t>
                  </m:r>
                </m:sub>
              </m:sSub>
              <m:r>
                <m:rPr>
                  <m:sty m:val="p"/>
                </m:rPr>
                <m:t>,</m:t>
              </m:r>
              <m:sSub>
                <m:e>
                  <m:r>
                    <m:t>λ</m:t>
                  </m:r>
                </m:e>
                <m:sub>
                  <m:r>
                    <m:rPr>
                      <m:sty m:val="p"/>
                    </m:rPr>
                    <m:t>l</m:t>
                  </m:r>
                  <m:r>
                    <m:rPr>
                      <m:sty m:val="p"/>
                    </m:rPr>
                    <m:t>o</m:t>
                  </m:r>
                  <m:r>
                    <m:rPr>
                      <m:sty m:val="p"/>
                    </m:rPr>
                    <m:t>c</m:t>
                  </m:r>
                  <m:r>
                    <m:rPr>
                      <m:sty m:val="p"/>
                    </m:rPr>
                    <m:t>a</m:t>
                  </m:r>
                  <m:r>
                    <m:rPr>
                      <m:sty m:val="p"/>
                    </m:rPr>
                    <m:t>l</m:t>
                  </m:r>
                </m:sub>
              </m:sSub>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α</m:t>
                  </m:r>
                </m:e>
                <m:sub>
                  <m:r>
                    <m:rPr>
                      <m:sty m:val="p"/>
                    </m:rPr>
                    <m:t>l</m:t>
                  </m:r>
                  <m:r>
                    <m:rPr>
                      <m:sty m:val="p"/>
                    </m:rPr>
                    <m:t>o</m:t>
                  </m:r>
                  <m:r>
                    <m:rPr>
                      <m:sty m:val="p"/>
                    </m:rPr>
                    <m:t>c</m:t>
                  </m:r>
                  <m:r>
                    <m:rPr>
                      <m:sty m:val="p"/>
                    </m:rPr>
                    <m:t>a</m:t>
                  </m:r>
                  <m:r>
                    <m:rPr>
                      <m:sty m:val="p"/>
                    </m:rPr>
                    <m:t>l</m:t>
                  </m:r>
                </m:sub>
              </m:sSub>
              <m:r>
                <m:rPr>
                  <m:sty m:val="p"/>
                </m:rPr>
                <m:t>,</m:t>
              </m:r>
              <m:sSub>
                <m:e>
                  <m:r>
                    <m:t>b</m:t>
                  </m:r>
                </m:e>
                <m:sub>
                  <m:r>
                    <m:rPr>
                      <m:sty m:val="p"/>
                    </m:rPr>
                    <m:t>b</m:t>
                  </m:r>
                  <m:r>
                    <m:rPr>
                      <m:sty m:val="p"/>
                    </m:rPr>
                    <m:t>i</m:t>
                  </m:r>
                  <m:r>
                    <m:rPr>
                      <m:sty m:val="p"/>
                    </m:rPr>
                    <m:t>a</m:t>
                  </m:r>
                  <m:r>
                    <m:rPr>
                      <m:sty m:val="p"/>
                    </m:rPr>
                    <m:t>s</m:t>
                  </m:r>
                </m:sub>
              </m:sSub>
              <m:r>
                <m:rPr>
                  <m:sty m:val="p"/>
                </m:rPr>
                <m:t>,</m:t>
              </m:r>
              <m:r>
                <m:t>W</m:t>
              </m:r>
              <m:r>
                <m:rPr>
                  <m:sty m:val="p"/>
                </m:rPr>
                <m:t>,</m:t>
              </m:r>
              <m:sSub>
                <m:e>
                  <m:r>
                    <m:t>N</m:t>
                  </m:r>
                </m:e>
                <m:sub>
                  <m:r>
                    <m:rPr>
                      <m:sty m:val="p"/>
                    </m:rPr>
                    <m:t>r</m:t>
                  </m:r>
                  <m:r>
                    <m:rPr>
                      <m:sty m:val="p"/>
                    </m:rPr>
                    <m:t>e</m:t>
                  </m:r>
                  <m:r>
                    <m:rPr>
                      <m:sty m:val="p"/>
                    </m:rPr>
                    <m:t>f</m:t>
                  </m:r>
                </m:sub>
              </m:sSub>
              <m:r>
                <m:rPr>
                  <m:sty m:val="p"/>
                </m:rPr>
                <m:t>,</m:t>
              </m:r>
              <m:r>
                <m:t>ν</m:t>
              </m:r>
              <m:r>
                <m:rPr>
                  <m:sty m:val="p"/>
                </m:rPr>
                <m:t>,</m:t>
              </m:r>
              <m:sSub>
                <m:e>
                  <m:r>
                    <m:t>m</m:t>
                  </m:r>
                </m:e>
                <m:sub>
                  <m:r>
                    <m:rPr>
                      <m:sty m:val="p"/>
                    </m:rPr>
                    <m:t>h</m:t>
                  </m:r>
                  <m:r>
                    <m:rPr>
                      <m:sty m:val="p"/>
                    </m:rPr>
                    <m:t>y</m:t>
                  </m:r>
                  <m:r>
                    <m:rPr>
                      <m:sty m:val="p"/>
                    </m:rPr>
                    <m:t>s</m:t>
                  </m:r>
                </m:sub>
              </m:sSub>
              <m:r>
                <m:rPr>
                  <m:sty m:val="p"/>
                </m:rPr>
                <m:t>}</m:t>
              </m:r>
            </m:oMath>
            <w:r>
              <w:rPr>
                <w:rFonts w:ascii="Times New Roman" w:hAnsi="Times New Roman" w:eastAsia="Times New Roman"/>
                <w:color w:val="000000"/>
                <w:sz w:val="21"/>
              </w:rPr>
              <w:t xml:space="preserve"> defined in Eqs. (7) to (16); minimum trigger interval </w:t>
            </w:r>
            <m:oMath>
              <m:sSub>
                <m:e>
                  <m:r>
                    <m:rPr>
                      <m:sty m:val="p"/>
                    </m:rPr>
                    <m:t>Δ</m:t>
                  </m:r>
                </m:e>
                <m:sub>
                  <m:r>
                    <m:rPr>
                      <m:sty m:val="p"/>
                    </m:rPr>
                    <m:t>min</m:t>
                  </m:r>
                </m:sub>
              </m:sSub>
            </m:oMath>
            <w:r>
              <w:rPr>
                <w:rFonts w:ascii="Times New Roman" w:hAnsi="Times New Roman" w:eastAsia="Times New Roman"/>
                <w:color w:val="000000"/>
                <w:sz w:val="21"/>
              </w:rPr>
              <w:t xml:space="preserve">; total control horizon </w:t>
            </w:r>
            <m:oMath>
              <m:r>
                <m:t>T</m:t>
              </m:r>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Output: </w:t>
            </w:r>
            <w:r>
              <w:rPr>
                <w:rFonts w:ascii="Times New Roman" w:hAnsi="Times New Roman" w:eastAsia="Times New Roman"/>
                <w:color w:val="000000"/>
                <w:sz w:val="21"/>
              </w:rPr>
              <w:t xml:space="preserve">Control setpoint sequence </w:t>
            </w:r>
            <m:oMath>
              <m:r>
                <m:rPr>
                  <m:sty m:val="p"/>
                </m:rPr>
                <m:t>{</m:t>
              </m:r>
              <m:sSub>
                <m:e>
                  <m:r>
                    <m:t>a</m:t>
                  </m:r>
                </m:e>
                <m:sub>
                  <m:r>
                    <m:t>t</m:t>
                  </m:r>
                </m:sub>
              </m:sSub>
              <m:sSubSup>
                <m:e>
                  <m:r>
                    <m:rPr>
                      <m:sty m:val="p"/>
                    </m:rPr>
                    <m:t>}</m:t>
                  </m:r>
                </m:e>
                <m:sub>
                  <m:r>
                    <m:t>t</m:t>
                  </m:r>
                  <m:r>
                    <m:rPr>
                      <m:sty m:val="p"/>
                    </m:rPr>
                    <m:t>=</m:t>
                  </m:r>
                  <m:r>
                    <m:t>1</m:t>
                  </m:r>
                </m:sub>
                <m:sup>
                  <m:r>
                    <m:t>T</m:t>
                  </m:r>
                </m:sup>
              </m:sSubSup>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Initialization:</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initial control action </w:t>
            </w:r>
            <m:oMath>
              <m:sSub>
                <m:e>
                  <m:r>
                    <m:t>a</m:t>
                  </m:r>
                </m:e>
                <m:sub>
                  <m:r>
                    <m:t>0</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last trigger time </w:t>
            </w:r>
            <m:oMath>
              <m:sSub>
                <m:e>
                  <m:r>
                    <m:t>t</m:t>
                  </m:r>
                </m:e>
                <m:sub>
                  <m:r>
                    <m:rPr>
                      <m:sty m:val="p"/>
                    </m:rPr>
                    <m:t>l</m:t>
                  </m:r>
                  <m:r>
                    <m:rPr>
                      <m:sty m:val="p"/>
                    </m:rPr>
                    <m:t>a</m:t>
                  </m:r>
                  <m:r>
                    <m:rPr>
                      <m:sty m:val="p"/>
                    </m:rPr>
                    <m:t>s</m:t>
                  </m:r>
                  <m:r>
                    <m:rPr>
                      <m:sty m:val="p"/>
                    </m:rPr>
                    <m:t>t</m:t>
                  </m:r>
                </m:sub>
              </m:sSub>
              <m:r>
                <m:rPr>
                  <m:sty m:val="p"/>
                </m:rPr>
                <m:t>=</m:t>
              </m:r>
              <m:r>
                <m:rPr>
                  <m:sty m:val="p"/>
                </m:rPr>
                <m:t>−</m:t>
              </m:r>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Initialize the anomaly score sliding window </w:t>
            </w:r>
            <m:oMath>
              <m:sSubSup>
                <m:e>
                  <m:r>
                    <m:t>A</m:t>
                  </m:r>
                </m:e>
                <m:sub>
                  <m:r>
                    <m:t>t</m:t>
                  </m:r>
                </m:sub>
                <m:sup>
                  <m:r>
                    <m:rPr>
                      <m:sty m:val="p"/>
                    </m:rPr>
                    <m:t>(</m:t>
                  </m:r>
                  <m:r>
                    <m:t>W</m:t>
                  </m:r>
                  <m:r>
                    <m:rPr>
                      <m:sty m:val="p"/>
                    </m:rPr>
                    <m:t>)</m:t>
                  </m:r>
                </m:sup>
              </m:sSubSup>
            </m:oMath>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for </w:t>
            </w:r>
            <m:oMath>
              <m:r>
                <m:t>t</m:t>
              </m:r>
              <m:r>
                <m:rPr>
                  <m:sty m:val="p"/>
                </m:rPr>
                <m:t>=</m:t>
              </m:r>
              <m:r>
                <m:t>1</m:t>
              </m:r>
              <m:r>
                <m:rPr>
                  <m:sty m:val="p"/>
                </m:rPr>
                <m:t>,</m:t>
              </m:r>
              <m:r>
                <m:rPr>
                  <m:sty m:val="p"/>
                </m:rPr>
                <m:t>…</m:t>
              </m:r>
              <m:r>
                <m:rPr>
                  <m:sty m:val="p"/>
                </m:rPr>
                <m:t>,</m:t>
              </m:r>
              <m:r>
                <m:t>T</m:t>
              </m:r>
            </m:oMath>
            <w:r>
              <w:rPr>
                <w:rFonts w:ascii="Times New Roman" w:hAnsi="Times New Roman" w:eastAsia="Times New Roman"/>
                <w:color w:val="000000"/>
                <w:sz w:val="21"/>
              </w:rPr>
              <w:t xml:space="preserve"> do</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Collect </w:t>
            </w:r>
            <m:oMath>
              <m:sSubSup>
                <m:e>
                  <m:r>
                    <m:t>Q</m:t>
                  </m:r>
                </m:e>
                <m:sub>
                  <m:r>
                    <m:rPr>
                      <m:sty m:val="p"/>
                    </m:rPr>
                    <m:t>l</m:t>
                  </m:r>
                  <m:r>
                    <m:rPr>
                      <m:sty m:val="p"/>
                    </m:rPr>
                    <m:t>o</m:t>
                  </m:r>
                  <m:r>
                    <m:rPr>
                      <m:sty m:val="p"/>
                    </m:rPr>
                    <m:t>a</m:t>
                  </m:r>
                  <m:r>
                    <m:rPr>
                      <m:sty m:val="p"/>
                    </m:rPr>
                    <m:t>d</m:t>
                  </m:r>
                </m:sub>
                <m:sup>
                  <m:r>
                    <m:t>t</m:t>
                  </m:r>
                </m:sup>
              </m:sSubSup>
            </m:oMath>
            <w:r>
              <w:rPr>
                <w:rFonts w:ascii="Times New Roman" w:hAnsi="Times New Roman" w:eastAsia="Times New Roman"/>
                <w:color w:val="000000"/>
                <w:sz w:val="21"/>
              </w:rPr>
              <w:t xml:space="preserve">, </w:t>
            </w:r>
            <m:oMath>
              <m:sSubSup>
                <m:e>
                  <m:r>
                    <m:t>T</m:t>
                  </m:r>
                </m:e>
                <m:sub>
                  <m:r>
                    <m:rPr>
                      <m:sty m:val="p"/>
                    </m:rPr>
                    <m:t>w</m:t>
                  </m:r>
                  <m:r>
                    <m:rPr>
                      <m:sty m:val="p"/>
                    </m:rPr>
                    <m:t>b</m:t>
                  </m:r>
                </m:sub>
                <m:sup>
                  <m:r>
                    <m:t>t</m:t>
                  </m:r>
                </m:sup>
              </m:sSubSup>
            </m:oMath>
            <w:r>
              <w:rPr>
                <w:rFonts w:ascii="Times New Roman" w:hAnsi="Times New Roman" w:eastAsia="Times New Roman"/>
                <w:color w:val="000000"/>
                <w:sz w:val="21"/>
              </w:rPr>
              <w:t xml:space="preserve">, and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Construct the predictive state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scale-specific anomaly scores </w:t>
            </w: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oMath>
            <w:r>
              <w:rPr>
                <w:rFonts w:ascii="Times New Roman" w:hAnsi="Times New Roman" w:eastAsia="Times New Roman"/>
                <w:color w:val="000000"/>
                <w:sz w:val="21"/>
              </w:rP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oMath>
            <w:r>
              <w:rPr>
                <w:rFonts w:ascii="Times New Roman" w:hAnsi="Times New Roman" w:eastAsia="Times New Roman"/>
                <w:color w:val="000000"/>
                <w:sz w:val="21"/>
              </w:rPr>
              <w:t xml:space="preserve">, and </w:t>
            </w:r>
            <m:oMath>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multi-scale fused anomaly score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according to Eq. (8)</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Compute the candidate threshold, local threshold, and global threshold according to Eqs. (11) to (14)</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adaptive triggering threshold </w:t>
            </w:r>
            <m:oMath>
              <m:sSubSup>
                <m:e>
                  <m:r>
                    <m:t>τ</m:t>
                  </m:r>
                </m:e>
                <m:sub>
                  <m:r>
                    <m:t>t</m:t>
                  </m:r>
                </m:sub>
                <m:sup>
                  <m:r>
                    <m:rPr>
                      <m:sty m:val="p"/>
                    </m:rPr>
                    <m:t>*</m:t>
                  </m:r>
                </m:sup>
              </m:sSubSup>
            </m:oMath>
            <w:r>
              <w:rPr>
                <w:rFonts w:ascii="Times New Roman" w:hAnsi="Times New Roman" w:eastAsia="Times New Roman"/>
                <w:color w:val="000000"/>
                <w:sz w:val="21"/>
              </w:rPr>
              <w:t xml:space="preserve"> according to Eq. (15)</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if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rPr>
                <w:rFonts w:ascii="Times New Roman" w:hAnsi="Times New Roman" w:eastAsia="Times New Roman"/>
                <w:color w:val="000000"/>
                <w:sz w:val="21"/>
              </w:rPr>
              <w:t xml:space="preserve"> and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rPr>
                <w:rFonts w:ascii="Times New Roman" w:hAnsi="Times New Roman" w:eastAsia="Times New Roman"/>
                <w:color w:val="000000"/>
                <w:sz w:val="21"/>
              </w:rPr>
              <w:t xml:space="preserve"> then</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Infer a new control setpoint using the trained DQN policy: </w:t>
            </w:r>
            <m:oMath>
              <m:sSub>
                <m:e>
                  <m:r>
                    <m:t>a</m:t>
                  </m:r>
                </m:e>
                <m:sub>
                  <m:r>
                    <m:t>t</m:t>
                  </m:r>
                </m:sub>
              </m:sSub>
              <m:r>
                <m:rPr>
                  <m:sty m:val="p"/>
                </m:rPr>
                <m:t>=</m:t>
              </m:r>
              <m:sSub>
                <m:e>
                  <m:r>
                    <m:t>π</m:t>
                  </m:r>
                </m:e>
                <m:sub>
                  <m:r>
                    <m:rPr>
                      <m:sty m:val="p"/>
                    </m:rPr>
                    <m:t>D</m:t>
                  </m:r>
                  <m:r>
                    <m:rPr>
                      <m:sty m:val="p"/>
                    </m:rPr>
                    <m:t>Q</m:t>
                  </m:r>
                  <m:r>
                    <m:rPr>
                      <m:sty m:val="p"/>
                    </m:rPr>
                    <m:t>N</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Update the last trigger time: </w:t>
            </w:r>
            <m:oMath>
              <m:sSub>
                <m:e>
                  <m:r>
                    <m:t>t</m:t>
                  </m:r>
                </m:e>
                <m:sub>
                  <m:r>
                    <m:rPr>
                      <m:sty m:val="p"/>
                    </m:rPr>
                    <m:t>l</m:t>
                  </m:r>
                  <m:r>
                    <m:rPr>
                      <m:sty m:val="p"/>
                    </m:rPr>
                    <m:t>a</m:t>
                  </m:r>
                  <m:r>
                    <m:rPr>
                      <m:sty m:val="p"/>
                    </m:rPr>
                    <m:t>s</m:t>
                  </m:r>
                  <m:r>
                    <m:rPr>
                      <m:sty m:val="p"/>
                    </m:rPr>
                    <m:t>t</m:t>
                  </m:r>
                </m:sub>
              </m:sSub>
              <m:r>
                <m:rPr>
                  <m:sty m:val="p"/>
                </m:rPr>
                <m:t>=</m:t>
              </m:r>
              <m:r>
                <m:t>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else</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Hold the previous control setpoint: </w:t>
            </w:r>
            <m:oMath>
              <m:sSub>
                <m:e>
                  <m:r>
                    <m:t>a</m:t>
                  </m:r>
                </m:e>
                <m:sub>
                  <m:r>
                    <m:t>t</m:t>
                  </m:r>
                </m:sub>
              </m:sSub>
              <m:r>
                <m:rPr>
                  <m:sty m:val="p"/>
                </m:rPr>
                <m:t>=</m:t>
              </m:r>
              <m:sSub>
                <m:e>
                  <m:r>
                    <m:t>a</m:t>
                  </m:r>
                </m:e>
                <m:sub>
                  <m:r>
                    <m:t>t</m:t>
                  </m:r>
                  <m:r>
                    <m:rPr>
                      <m:sty m:val="p"/>
                    </m:rPr>
                    <m:t>−</m:t>
                  </m:r>
                  <m:r>
                    <m:t>1</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end if</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Execute </w:t>
            </w:r>
            <m:oMath>
              <m:sSub>
                <m:e>
                  <m:r>
                    <m:t>a</m:t>
                  </m:r>
                </m:e>
                <m:sub>
                  <m:r>
                    <m:t>t</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Append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to </w:t>
            </w:r>
            <m:oMath>
              <m:sSubSup>
                <m:e>
                  <m:r>
                    <m:t>A</m:t>
                  </m:r>
                </m:e>
                <m:sub>
                  <m:r>
                    <m:t>t</m:t>
                  </m:r>
                </m:sub>
                <m:sup>
                  <m:r>
                    <m:rPr>
                      <m:sty m:val="p"/>
                    </m:rPr>
                    <m:t>(</m:t>
                  </m:r>
                  <m:r>
                    <m:t>W</m:t>
                  </m:r>
                  <m:r>
                    <m:rPr>
                      <m:sty m:val="p"/>
                    </m:rPr>
                    <m:t>)</m:t>
                  </m:r>
                </m:sup>
              </m:sSubSup>
            </m:oMath>
            <w:r>
              <w:rPr>
                <w:rFonts w:ascii="Times New Roman" w:hAnsi="Times New Roman" w:eastAsia="Times New Roman"/>
                <w:color w:val="000000"/>
                <w:sz w:val="21"/>
              </w:rPr>
              <w:t xml:space="preserve"> for use in the next threshold update</w:t>
            </w:r>
          </w:p>
        </w:tc>
      </w:tr>
      <w:tr>
        <w:tc>
          <w:tcPr>
            <w:tcW w:type="dxa" w:w="9360"/>
            <w:vAlign w:val="center"/>
            <w:gridSpan w:val="4"/>
            <w:tcMar>
              <w:top w:w="30" w:type="dxa"/>
              <w:start w:w="120" w:type="dxa"/>
              <w:bottom w:w="30" w:type="dxa"/>
              <w:end w:w="120" w:type="dxa"/>
            </w:tcMar>
            <w:tcBorders>
              <w:bottom w:val="single" w:sz="6" w:space="0" w:color="7F7F7F"/>
            </w:tcBorders>
          </w:tcPr>
          <w:p>
            <w:pPr>
              <w:spacing w:before="0" w:after="0" w:line="240" w:lineRule="auto"/>
              <w:jc w:val="left"/>
            </w:pPr>
            <w:r>
              <w:rPr>
                <w:rFonts w:ascii="Times New Roman" w:hAnsi="Times New Roman" w:eastAsia="Times New Roman"/>
                <w:color w:val="000000"/>
                <w:sz w:val="21"/>
              </w:rPr>
              <w:t>end for</w:t>
            </w:r>
          </w:p>
        </w:tc>
      </w:tr>
    </w:tbl>
    <w:bookmarkEnd w:id="17"/>
    <w:bookmarkEnd w:id="18"/>
    <w:bookmarkStart w:id="27" w:name="X49d17b07cf51938fc1180a5d15ee34f634656ed"/>
    <w:p>
      <w:pPr>
        <w:pStyle w:val="Heading1"/>
      </w:pPr>
      <w:r>
        <w:t xml:space="preserve">4. </w:t>
      </w:r>
      <w:r>
        <w:rPr>
          <w:rFonts w:hint="eastAsia"/>
        </w:rPr>
        <w:t xml:space="preserve">案例系统与仿真环境</w:t>
      </w:r>
      <w:r>
        <w:t xml:space="preserve"> / Case System and Simulation Environment</w:t>
      </w:r>
    </w:p>
    <w:bookmarkStart w:id="19" w:name="X23bcad4ed2e5f6765dde6d96660ad5cf2b25439"/>
    <w:p>
      <w:pPr>
        <w:pStyle w:val="Heading2"/>
      </w:pPr>
      <w:r>
        <w:t xml:space="preserve">4.1 </w:t>
      </w:r>
      <w:r>
        <w:rPr>
          <w:rFonts w:hint="eastAsia"/>
        </w:rPr>
        <w:t xml:space="preserve">建筑热力系统建模</w:t>
      </w:r>
      <w:r>
        <w:t xml:space="preserve"> / Building Thermal System Modeling</w:t>
      </w:r>
    </w:p>
    <w:p>
      <w:pPr>
        <w:pStyle w:val="FirstParagraph"/>
      </w:pPr>
      <w:r>
        <w:rPr>
          <w:rFonts w:hint="eastAsia"/>
        </w:rPr>
        <w:t xml:space="preserve">本文以上海某商业建筑暖通空调的数据构建</w:t>
      </w:r>
      <w:r>
        <w:t xml:space="preserve"> EnergyPlus </w:t>
      </w:r>
      <w:r>
        <w:rPr>
          <w:rFonts w:hint="eastAsia"/>
        </w:rPr>
        <w:t xml:space="preserve">模型，作为仿真测试平台。该模型已在前期研究中基于实测运行数据完成参数校准，能够复现冷冻水系统的主要热力学响应。冷源系统为一次泵定流量冷冻水系统，主要包括离心式冷水机组、冷冻水泵、冷却水泵和冷却塔。为保证组件参数与仿真模型输入的一致性，主要设备的额定参数依据设计规格和校准模型参数进行配置。系统关键设计参数见附录</w:t>
      </w:r>
      <w:r>
        <w:t xml:space="preserve"> A </w:t>
      </w:r>
      <w:r>
        <w:rPr>
          <w:rFonts w:hint="eastAsia"/>
        </w:rPr>
        <w:t xml:space="preserve">的表</w:t>
      </w:r>
      <w:r>
        <w:t xml:space="preserve"> </w:t>
      </w:r>
      <w:r>
        <w:rPr>
          <w:rFonts w:hint="eastAsia"/>
        </w:rPr>
        <w:t xml:space="preserve">A1，其中性能系数（Coefficient</w:t>
      </w:r>
      <w:r>
        <w:t xml:space="preserve"> of Performance, </w:t>
      </w:r>
      <w:r>
        <w:rPr>
          <w:rFonts w:hint="eastAsia"/>
        </w:rPr>
        <w:t xml:space="preserve">COP）表示制冷量与输入功率之比。</w:t>
      </w:r>
    </w:p>
    <w:p>
      <w:pPr>
        <w:pStyle w:val="BodyText"/>
      </w:pPr>
      <w:r>
        <w:t xml:space="preserve">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parameters of the system are listed in Table A1 of Appendix A, where the coefficient of performance, COP, is defined as the ratio of cooling capacity to input power.</w:t>
      </w:r>
    </w:p>
    <w:bookmarkEnd w:id="19"/>
    <w:bookmarkStart w:id="26" w:name="X70868a378ddf5102d17c71b7d389b46e04b16ee"/>
    <w:p>
      <w:pPr>
        <w:pStyle w:val="Heading2"/>
      </w:pPr>
      <w:r>
        <w:t xml:space="preserve">4.2 </w:t>
      </w:r>
      <w:r>
        <w:rPr>
          <w:rFonts w:hint="eastAsia"/>
        </w:rPr>
        <w:t xml:space="preserve">气象与负荷数据集特征</w:t>
      </w:r>
      <w:r>
        <w:t xml:space="preserve"> / Weather and Load Dataset Characteristics</w:t>
      </w:r>
    </w:p>
    <w:p>
      <w:pPr>
        <w:pStyle w:val="FirstParagraph"/>
      </w:pPr>
      <w:r>
        <w:rPr>
          <w:rFonts w:hint="eastAsia"/>
        </w:rPr>
        <w:t xml:space="preserve">本研究采用上海某商业建筑</w:t>
      </w:r>
      <w:r>
        <w:t xml:space="preserve"> HVAC </w:t>
      </w:r>
      <w:r>
        <w:rPr>
          <w:rFonts w:hint="eastAsia"/>
        </w:rPr>
        <w:t xml:space="preserve">系统运行环境中直接采集的冷负荷序列作为</w:t>
      </w:r>
      <w:r>
        <w:t xml:space="preserve"> </w:t>
      </w:r>
      <m:oMath>
        <m:sSub>
          <m:e>
            <m:r>
              <m:t>Q</m:t>
            </m:r>
          </m:e>
          <m:sub>
            <m:r>
              <m:rPr>
                <m:sty m:val="p"/>
              </m:rPr>
              <m:t>l</m:t>
            </m:r>
            <m:r>
              <m:rPr>
                <m:sty m:val="p"/>
              </m:rPr>
              <m:t>o</m:t>
            </m:r>
            <m:r>
              <m:rPr>
                <m:sty m:val="p"/>
              </m:rPr>
              <m:t>a</m:t>
            </m:r>
            <m:r>
              <m:rPr>
                <m:sty m:val="p"/>
              </m:rPr>
              <m:t>d</m:t>
            </m:r>
          </m:sub>
        </m:sSub>
      </m:oMath>
      <w:r>
        <w:rPr>
          <w:rFonts w:hint="eastAsia"/>
        </w:rPr>
        <w:t xml:space="preserve">，采样间隔为</w:t>
      </w:r>
      <w:r>
        <w:t xml:space="preserve"> </w:t>
      </w:r>
      <m:oMath>
        <m:r>
          <m:t>5</m:t>
        </m:r>
        <m:r>
          <m:t> </m:t>
        </m:r>
        <m:r>
          <m:rPr>
            <m:sty m:val="p"/>
          </m:rPr>
          <m:t>m</m:t>
        </m:r>
        <m:r>
          <m:rPr>
            <m:sty m:val="p"/>
          </m:rPr>
          <m:t>i</m:t>
        </m:r>
        <m:r>
          <m:rPr>
            <m:sty m:val="p"/>
          </m:rPr>
          <m:t>n</m:t>
        </m:r>
      </m:oMath>
      <w:r>
        <w:rPr>
          <w:rFonts w:hint="eastAsia"/>
        </w:rPr>
        <w:t xml:space="preserve">，并与同一时间轴上的室外湿球温度</w:t>
      </w:r>
      <w:r>
        <w:t xml:space="preserve"> </w:t>
      </w:r>
      <m:oMath>
        <m:sSub>
          <m:e>
            <m:r>
              <m:t>T</m:t>
            </m:r>
          </m:e>
          <m:sub>
            <m:r>
              <m:rPr>
                <m:sty m:val="p"/>
              </m:rPr>
              <m:t>w</m:t>
            </m:r>
            <m:r>
              <m:rPr>
                <m:sty m:val="p"/>
              </m:rPr>
              <m:t>b</m:t>
            </m:r>
          </m:sub>
        </m:sSub>
      </m:oMath>
      <w:r>
        <w:t xml:space="preserve"> </w:t>
      </w:r>
      <w:r>
        <w:rPr>
          <w:rFonts w:hint="eastAsia"/>
        </w:rPr>
        <w:t xml:space="preserve">共同构成主要状态数据。研究时段为</w:t>
      </w:r>
      <w:r>
        <w:t xml:space="preserve"> 7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个时间步，能够表征日内周期性波动与季节尺度变化。统计结果显示，冷负荷峰值为</w:t>
      </w:r>
      <w:r>
        <w:t xml:space="preserve"> </w:t>
      </w:r>
      <m:oMath>
        <m:r>
          <m:t>5102.77</m:t>
        </m:r>
        <m:r>
          <m:t> </m:t>
        </m:r>
        <m:r>
          <m:rPr>
            <m:sty m:val="p"/>
          </m:rPr>
          <m:t>k</m:t>
        </m:r>
        <m:r>
          <m:rPr>
            <m:sty m:val="p"/>
          </m:rPr>
          <m:t>W</m:t>
        </m:r>
      </m:oMath>
      <w:r>
        <w:rPr>
          <w:rFonts w:hint="eastAsia"/>
        </w:rPr>
        <w:t xml:space="preserve">，标准差为</w:t>
      </w:r>
      <w:r>
        <w:t xml:space="preserve"> </w:t>
      </w:r>
      <m:oMath>
        <m:r>
          <m:t>962.02</m:t>
        </m:r>
        <m:r>
          <m:t> </m:t>
        </m:r>
        <m:r>
          <m:rPr>
            <m:sty m:val="p"/>
          </m:rPr>
          <m:t>k</m:t>
        </m:r>
        <m:r>
          <m:rPr>
            <m:sty m:val="p"/>
          </m:rPr>
          <m:t>W</m:t>
        </m:r>
      </m:oMath>
      <w:r>
        <w:rPr>
          <w:rFonts w:hint="eastAsia"/>
        </w:rPr>
        <w:t xml:space="preserve">，变异系数（Coefficient</w:t>
      </w:r>
      <w:r>
        <w:t xml:space="preserve"> of Variation, </w:t>
      </w:r>
      <w:r>
        <w:rPr>
          <w:rFonts w:hint="eastAsia"/>
        </w:rPr>
        <w:t xml:space="preserve">CV）为</w:t>
      </w:r>
      <w:r>
        <w:t xml:space="preserve"> </w:t>
      </w:r>
      <m:oMath>
        <m:r>
          <m:t>37.3</m:t>
        </m:r>
        <m:r>
          <m:rPr>
            <m:sty m:val="p"/>
          </m:rPr>
          <m:t>%</m:t>
        </m:r>
      </m:oMath>
      <w:r>
        <w:rPr>
          <w:rFonts w:hint="eastAsia"/>
        </w:rPr>
        <w:t xml:space="preserve">；室外湿球温度</w:t>
      </w:r>
      <w:r>
        <w:t xml:space="preserve"> </w:t>
      </w:r>
      <m:oMath>
        <m:sSub>
          <m:e>
            <m:r>
              <m:t>T</m:t>
            </m:r>
          </m:e>
          <m:sub>
            <m:r>
              <m:rPr>
                <m:sty m:val="p"/>
              </m:rPr>
              <m:t>w</m:t>
            </m:r>
            <m:r>
              <m:rPr>
                <m:sty m:val="p"/>
              </m:rPr>
              <m:t>b</m:t>
            </m:r>
          </m:sub>
        </m:sSub>
      </m:oMath>
      <w:r>
        <w:t xml:space="preserve"> </w:t>
      </w:r>
      <w:r>
        <w:rPr>
          <w:rFonts w:hint="eastAsia"/>
        </w:rPr>
        <w:t xml:space="preserve">的范围为</w:t>
      </w:r>
      <w:r>
        <w:t xml:space="preserve"> </w:t>
      </w:r>
      <m:oMath>
        <m:r>
          <m:t>21</m:t>
        </m:r>
      </m:oMath>
      <w:r>
        <w:t xml:space="preserve"> </w:t>
      </w:r>
      <w:r>
        <w:rPr>
          <w:rFonts w:hint="eastAsia"/>
        </w:rPr>
        <w:t xml:space="preserve">至</w:t>
      </w:r>
      <w:r>
        <w:t xml:space="preserve"> </w:t>
      </w:r>
      <m:oMath>
        <m:r>
          <m:t>28</m:t>
        </m:r>
        <m:r>
          <m:t> </m:t>
        </m:r>
        <m:sSup>
          <m:e>
            <m:r>
              <m:rPr>
                <m:sty m:val="p"/>
              </m:rPr>
              <m:t>​</m:t>
            </m:r>
          </m:e>
          <m:sup>
            <m:r>
              <m:rPr>
                <m:sty m:val="p"/>
              </m:rPr>
              <m:t>∘</m:t>
            </m:r>
          </m:sup>
        </m:sSup>
        <m:r>
          <m:rPr>
            <m:sty m:val="p"/>
          </m:rPr>
          <m:t>C</m:t>
        </m:r>
      </m:oMath>
      <w:r>
        <w:t xml:space="preserve">。</w:t>
      </w:r>
    </w:p>
    <w:p>
      <w:pPr>
        <w:pStyle w:val="BodyText"/>
      </w:pPr>
      <w:r>
        <w:t xml:space="preserve">We use a cooling load sequence directly collected from the operating environment of a commercial building HVAC system in Shanghai as</w:t>
      </w:r>
      <w:r>
        <w:t xml:space="preserve"> </w:t>
      </w:r>
      <m:oMath>
        <m:sSub>
          <m:e>
            <m:r>
              <m:t>Q</m:t>
            </m:r>
          </m:e>
          <m:sub>
            <m:r>
              <m:rPr>
                <m:sty m:val="p"/>
              </m:rPr>
              <m:t>l</m:t>
            </m:r>
            <m:r>
              <m:rPr>
                <m:sty m:val="p"/>
              </m:rPr>
              <m:t>o</m:t>
            </m:r>
            <m:r>
              <m:rPr>
                <m:sty m:val="p"/>
              </m:rPr>
              <m:t>a</m:t>
            </m:r>
            <m:r>
              <m:rPr>
                <m:sty m:val="p"/>
              </m:rPr>
              <m:t>d</m:t>
            </m:r>
          </m:sub>
        </m:sSub>
      </m:oMath>
      <w:r>
        <w:t xml:space="preserve">, with a sampling interval of</w:t>
      </w:r>
      <w:r>
        <w:t xml:space="preserve"> </w:t>
      </w:r>
      <m:oMath>
        <m:r>
          <m:t>5</m:t>
        </m:r>
        <m:r>
          <m:t> </m:t>
        </m:r>
        <m:r>
          <m:rPr>
            <m:sty m:val="p"/>
          </m:rPr>
          <m:t>m</m:t>
        </m:r>
        <m:r>
          <m:rPr>
            <m:sty m:val="p"/>
          </m:rPr>
          <m:t>i</m:t>
        </m:r>
        <m:r>
          <m:rPr>
            <m:sty m:val="p"/>
          </m:rPr>
          <m:t>n</m:t>
        </m:r>
      </m:oMath>
      <w:r>
        <w:t xml:space="preserve">, and pair it with the outdoor wet bulb temperature</w:t>
      </w:r>
      <w:r>
        <w:t xml:space="preserve"> </w:t>
      </w:r>
      <m:oMath>
        <m:sSub>
          <m:e>
            <m:r>
              <m:t>T</m:t>
            </m:r>
          </m:e>
          <m:sub>
            <m:r>
              <m:rPr>
                <m:sty m:val="p"/>
              </m:rPr>
              <m:t>w</m:t>
            </m:r>
            <m:r>
              <m:rPr>
                <m:sty m:val="p"/>
              </m:rPr>
              <m:t>b</m:t>
            </m:r>
          </m:sub>
        </m:sSub>
      </m:oMath>
      <w:r>
        <w:t xml:space="preserve"> </w:t>
      </w:r>
      <w:r>
        <w:t xml:space="preserve">on the same time axis to form the main state data. The period extends from July 1 to October 10, corresponding to</w:t>
      </w:r>
      <w:r>
        <w:t xml:space="preserve"> </w:t>
      </w:r>
      <m:oMath>
        <m:r>
          <m:t>102</m:t>
        </m:r>
      </m:oMath>
      <w:r>
        <w:t xml:space="preserve"> </w:t>
      </w:r>
      <w:r>
        <w:t xml:space="preserve">days, or</w:t>
      </w:r>
      <w:r>
        <w:t xml:space="preserve"> </w:t>
      </w:r>
      <m:oMath>
        <m:r>
          <m:t>29</m:t>
        </m:r>
        <m:r>
          <m:rPr>
            <m:sty m:val="p"/>
          </m:rPr>
          <m:t>,</m:t>
        </m:r>
        <m:r>
          <m:t>376</m:t>
        </m:r>
      </m:oMath>
      <w:r>
        <w:t xml:space="preserve"> </w:t>
      </w:r>
      <w:r>
        <w:t xml:space="preserve">time steps at the</w:t>
      </w:r>
      <w:r>
        <w:t xml:space="preserve"> </w:t>
      </w:r>
      <m:oMath>
        <m:r>
          <m:t>5</m:t>
        </m:r>
        <m:r>
          <m:t> </m:t>
        </m:r>
        <m:r>
          <m:rPr>
            <m:sty m:val="p"/>
          </m:rPr>
          <m:t>m</m:t>
        </m:r>
        <m:r>
          <m:rPr>
            <m:sty m:val="p"/>
          </m:rPr>
          <m:t>i</m:t>
        </m:r>
        <m:r>
          <m:rPr>
            <m:sty m:val="p"/>
          </m:rPr>
          <m:t>n</m:t>
        </m:r>
      </m:oMath>
      <w:r>
        <w:t xml:space="preserve"> </w:t>
      </w:r>
      <w:r>
        <w:t xml:space="preserve">resolution, thereby capturing both intraday periodic fluctuations and seasonal scale variations. Descriptive statistics show that the peak cooling load is</w:t>
      </w:r>
      <w:r>
        <w:t xml:space="preserve"> </w:t>
      </w:r>
      <m:oMath>
        <m:r>
          <m:t>5102.77</m:t>
        </m:r>
        <m:r>
          <m:t> </m:t>
        </m:r>
        <m:r>
          <m:rPr>
            <m:sty m:val="p"/>
          </m:rPr>
          <m:t>k</m:t>
        </m:r>
        <m:r>
          <m:rPr>
            <m:sty m:val="p"/>
          </m:rPr>
          <m:t>W</m:t>
        </m:r>
      </m:oMath>
      <w:r>
        <w:t xml:space="preserve">, with a standard deviation of</w:t>
      </w:r>
      <w:r>
        <w:t xml:space="preserve"> </w:t>
      </w:r>
      <m:oMath>
        <m:r>
          <m:t>962.02</m:t>
        </m:r>
        <m:r>
          <m:t> </m:t>
        </m:r>
        <m:r>
          <m:rPr>
            <m:sty m:val="p"/>
          </m:rPr>
          <m:t>k</m:t>
        </m:r>
        <m:r>
          <m:rPr>
            <m:sty m:val="p"/>
          </m:rPr>
          <m:t>W</m:t>
        </m:r>
      </m:oMath>
      <w:r>
        <w:t xml:space="preserve"> </w:t>
      </w:r>
      <w:r>
        <w:t xml:space="preserve">and a coefficient of variation (CV) of</w:t>
      </w:r>
      <w:r>
        <w:t xml:space="preserve"> </w:t>
      </w:r>
      <m:oMath>
        <m:r>
          <m:t>37.3</m:t>
        </m:r>
        <m:r>
          <m:rPr>
            <m:sty m:val="p"/>
          </m:rPr>
          <m:t>%</m:t>
        </m:r>
      </m:oMath>
      <w:r>
        <w:t xml:space="preserve">, while the outdoor wet bulb temperature</w:t>
      </w:r>
      <w:r>
        <w:t xml:space="preserve"> </w:t>
      </w:r>
      <m:oMath>
        <m:sSub>
          <m:e>
            <m:r>
              <m:t>T</m:t>
            </m:r>
          </m:e>
          <m:sub>
            <m:r>
              <m:rPr>
                <m:sty m:val="p"/>
              </m:rPr>
              <m:t>w</m:t>
            </m:r>
            <m:r>
              <m:rPr>
                <m:sty m:val="p"/>
              </m:rPr>
              <m:t>b</m:t>
            </m:r>
          </m:sub>
        </m:sSub>
      </m:oMath>
      <w:r>
        <w:t xml:space="preserve"> </w:t>
      </w:r>
      <w:r>
        <w:t xml:space="preserve">ranges from</w:t>
      </w:r>
      <w:r>
        <w:t xml:space="preserve"> </w:t>
      </w:r>
      <m:oMath>
        <m:r>
          <m:t>21</m:t>
        </m:r>
      </m:oMath>
      <w:r>
        <w:t xml:space="preserve"> </w:t>
      </w:r>
      <w:r>
        <w:t xml:space="preserve">to</w:t>
      </w:r>
      <w:r>
        <w:t xml:space="preserve"> </w:t>
      </w:r>
      <m:oMath>
        <m:r>
          <m:t>28</m:t>
        </m:r>
        <m:r>
          <m:t> </m:t>
        </m:r>
        <m:sSup>
          <m:e>
            <m:r>
              <m:rPr>
                <m:sty m:val="p"/>
              </m:rPr>
              <m:t>​</m:t>
            </m:r>
          </m:e>
          <m:sup>
            <m:r>
              <m:rPr>
                <m:sty m:val="p"/>
              </m:rPr>
              <m:t>∘</m:t>
            </m:r>
          </m:sup>
        </m:sSup>
        <m:r>
          <m:rPr>
            <m:sty m:val="p"/>
          </m:rPr>
          <m:t>C</m:t>
        </m:r>
      </m:oMath>
      <w:r>
        <w:t xml:space="preserve">.</w:t>
      </w:r>
    </w:p>
    <w:p>
      <w:pPr>
        <w:pStyle w:val="BodyText"/>
      </w:pPr>
      <w:r>
        <w:rPr>
          <w:rFonts w:hint="eastAsia"/>
        </w:rPr>
        <w:t xml:space="preserve">图</w:t>
      </w:r>
      <w:r>
        <w:t xml:space="preserve"> 3 </w:t>
      </w:r>
      <w:r>
        <w:rPr>
          <w:rFonts w:hint="eastAsia"/>
        </w:rPr>
        <w:t xml:space="preserve">展示了冷负荷与湿球温度在不同时间尺度上的变化特征。图</w:t>
      </w:r>
      <w:r>
        <w:t xml:space="preserve"> 3a </w:t>
      </w:r>
      <w:r>
        <w:rPr>
          <w:rFonts w:hint="eastAsia"/>
        </w:rPr>
        <w:t xml:space="preserve">给出季节序列中选取的代表性</w:t>
      </w:r>
      <w:r>
        <w:t xml:space="preserve"> 7 </w:t>
      </w:r>
      <w:r>
        <w:rPr>
          <w:rFonts w:hint="eastAsia"/>
        </w:rPr>
        <w:t xml:space="preserve">天连续片段。结果表明，</w:t>
      </w:r>
      <m:oMath>
        <m:sSub>
          <m:e>
            <m:r>
              <m:t>Q</m:t>
            </m:r>
          </m:e>
          <m:sub>
            <m:r>
              <m:rPr>
                <m:sty m:val="p"/>
              </m:rPr>
              <m:t>l</m:t>
            </m:r>
            <m:r>
              <m:rPr>
                <m:sty m:val="p"/>
              </m:rPr>
              <m:t>o</m:t>
            </m:r>
            <m:r>
              <m:rPr>
                <m:sty m:val="p"/>
              </m:rPr>
              <m:t>a</m:t>
            </m:r>
            <m:r>
              <m:rPr>
                <m:sty m:val="p"/>
              </m:rPr>
              <m:t>d</m:t>
            </m:r>
          </m:sub>
        </m:sSub>
      </m:oMath>
      <w:r>
        <w:t xml:space="preserve"> </w:t>
      </w:r>
      <w:r>
        <w:rPr>
          <w:rFonts w:hint="eastAsia"/>
        </w:rPr>
        <w:t xml:space="preserve">与</w:t>
      </w:r>
      <w:r>
        <w:t xml:space="preserve"> </w:t>
      </w:r>
      <m:oMath>
        <m:sSub>
          <m:e>
            <m:r>
              <m:t>T</m:t>
            </m:r>
          </m:e>
          <m:sub>
            <m:r>
              <m:rPr>
                <m:sty m:val="p"/>
              </m:rPr>
              <m:t>w</m:t>
            </m:r>
            <m:r>
              <m:rPr>
                <m:sty m:val="p"/>
              </m:rPr>
              <m:t>b</m:t>
            </m:r>
          </m:sub>
        </m:sSub>
      </m:oMath>
      <w:r>
        <w:t xml:space="preserve"> </w:t>
      </w:r>
      <w:r>
        <w:rPr>
          <w:rFonts w:hint="eastAsia"/>
        </w:rPr>
        <w:t xml:space="preserve">在高负荷时段总体同向变化，但</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具有更大的昼夜振幅。图</w:t>
      </w:r>
      <w:r>
        <w:t xml:space="preserve"> 3b </w:t>
      </w:r>
      <w:r>
        <w:rPr>
          <w:rFonts w:hint="eastAsia"/>
        </w:rPr>
        <w:t xml:space="preserve">给出同一代表性时间窗口内按日内时刻聚合的均值曲线，显示</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在白天运行时段上升并在夜间回落，而</w:t>
      </w:r>
      <w:r>
        <w:t xml:space="preserve"> </w:t>
      </w:r>
      <m:oMath>
        <m:sSub>
          <m:e>
            <m:r>
              <m:t>T</m:t>
            </m:r>
          </m:e>
          <m:sub>
            <m:r>
              <m:rPr>
                <m:sty m:val="p"/>
              </m:rPr>
              <m:t>w</m:t>
            </m:r>
            <m:r>
              <m:rPr>
                <m:sty m:val="p"/>
              </m:rPr>
              <m:t>b</m:t>
            </m:r>
          </m:sub>
        </m:sSub>
      </m:oMath>
      <w:r>
        <w:t xml:space="preserve"> </w:t>
      </w:r>
      <w:r>
        <w:rPr>
          <w:rFonts w:hint="eastAsia"/>
        </w:rPr>
        <w:t xml:space="preserve">的日内变化更平缓。</w:t>
      </w:r>
    </w:p>
    <w:p>
      <w:pPr>
        <w:pStyle w:val="BodyText"/>
      </w:pPr>
      <w:r>
        <w:t xml:space="preserve">Figure 3 presents the multiscale temporal characteristics of the cooling load and outdoor wet bulb temperature. In the representative 7 day segment shown in Figure 3a,</w:t>
      </w:r>
      <w:r>
        <w:t xml:space="preserve"> </w:t>
      </w:r>
      <m:oMath>
        <m:sSub>
          <m:e>
            <m:r>
              <m:t>Q</m:t>
            </m:r>
          </m:e>
          <m:sub>
            <m:r>
              <m:rPr>
                <m:sty m:val="p"/>
              </m:rPr>
              <m:t>l</m:t>
            </m:r>
            <m:r>
              <m:rPr>
                <m:sty m:val="p"/>
              </m:rPr>
              <m:t>o</m:t>
            </m:r>
            <m:r>
              <m:rPr>
                <m:sty m:val="p"/>
              </m:rPr>
              <m:t>a</m:t>
            </m:r>
            <m:r>
              <m:rPr>
                <m:sty m:val="p"/>
              </m:rPr>
              <m:t>d</m:t>
            </m:r>
          </m:sub>
        </m:sSub>
      </m:oMath>
      <w:r>
        <w:t xml:space="preserve"> </w:t>
      </w:r>
      <w:r>
        <w:t xml:space="preserve">and</w:t>
      </w:r>
      <w:r>
        <w:t xml:space="preserve"> </w:t>
      </w:r>
      <m:oMath>
        <m:sSub>
          <m:e>
            <m:r>
              <m:t>T</m:t>
            </m:r>
          </m:e>
          <m:sub>
            <m:r>
              <m:rPr>
                <m:sty m:val="p"/>
              </m:rPr>
              <m:t>w</m:t>
            </m:r>
            <m:r>
              <m:rPr>
                <m:sty m:val="p"/>
              </m:rPr>
              <m:t>b</m:t>
            </m:r>
          </m:sub>
        </m:sSub>
      </m:oMath>
      <w:r>
        <w:t xml:space="preserve"> </w:t>
      </w:r>
      <w:r>
        <w:t xml:space="preserve">generally increase and decrease together during high load periods, although</w:t>
      </w:r>
      <w:r>
        <w:t xml:space="preserve"> </w:t>
      </w:r>
      <m:oMath>
        <m:sSub>
          <m:e>
            <m:r>
              <m:t>Q</m:t>
            </m:r>
          </m:e>
          <m:sub>
            <m:r>
              <m:rPr>
                <m:sty m:val="p"/>
              </m:rPr>
              <m:t>l</m:t>
            </m:r>
            <m:r>
              <m:rPr>
                <m:sty m:val="p"/>
              </m:rPr>
              <m:t>o</m:t>
            </m:r>
            <m:r>
              <m:rPr>
                <m:sty m:val="p"/>
              </m:rPr>
              <m:t>a</m:t>
            </m:r>
            <m:r>
              <m:rPr>
                <m:sty m:val="p"/>
              </m:rPr>
              <m:t>d</m:t>
            </m:r>
          </m:sub>
        </m:sSub>
      </m:oMath>
      <w:r>
        <w:t xml:space="preserve"> </w:t>
      </w:r>
      <w:r>
        <w:t xml:space="preserve">exhibits a much larger diurnal amplitude. The time of day averaged profiles computed over the same representative window in Figure 3b further show that</w:t>
      </w:r>
      <w:r>
        <w:t xml:space="preserve"> </w:t>
      </w:r>
      <m:oMath>
        <m:sSub>
          <m:e>
            <m:r>
              <m:t>Q</m:t>
            </m:r>
          </m:e>
          <m:sub>
            <m:r>
              <m:rPr>
                <m:sty m:val="p"/>
              </m:rPr>
              <m:t>l</m:t>
            </m:r>
            <m:r>
              <m:rPr>
                <m:sty m:val="p"/>
              </m:rPr>
              <m:t>o</m:t>
            </m:r>
            <m:r>
              <m:rPr>
                <m:sty m:val="p"/>
              </m:rPr>
              <m:t>a</m:t>
            </m:r>
            <m:r>
              <m:rPr>
                <m:sty m:val="p"/>
              </m:rPr>
              <m:t>d</m:t>
            </m:r>
          </m:sub>
        </m:sSub>
      </m:oMath>
      <w:r>
        <w:t xml:space="preserve"> </w:t>
      </w:r>
      <w:r>
        <w:t xml:space="preserve">rises during daytime operating hours and decreases at night, whereas</w:t>
      </w:r>
      <w:r>
        <w:t xml:space="preserve"> </w:t>
      </w:r>
      <m:oMath>
        <m:sSub>
          <m:e>
            <m:r>
              <m:t>T</m:t>
            </m:r>
          </m:e>
          <m:sub>
            <m:r>
              <m:rPr>
                <m:sty m:val="p"/>
              </m:rPr>
              <m:t>w</m:t>
            </m:r>
            <m:r>
              <m:rPr>
                <m:sty m:val="p"/>
              </m:rPr>
              <m:t>b</m:t>
            </m:r>
          </m:sub>
        </m:sSub>
      </m:oMath>
      <w:r>
        <w:t xml:space="preserve"> </w:t>
      </w:r>
      <w:r>
        <w:t xml:space="preserve">varies more smoothly over the day.</w:t>
      </w:r>
    </w:p>
    <w:p>
      <w:pPr>
        <w:pStyle w:val="CaptionedFigure"/>
      </w:pPr>
      <w:r>
        <w:drawing>
          <wp:inline>
            <wp:extent cx="5334000" cy="3426797"/>
            <wp:effectExtent b="0" l="0" r="0" t="0"/>
            <wp:docPr descr="图3 数据集时序特征可视化，代表性时间序列与日内统计轮廓 / Figure 3 Visualization of dataset temporal characteristics, representative time series and intraday statistical profiles" title="" id="21" name="Picture"/>
            <a:graphic>
              <a:graphicData uri="http://schemas.openxmlformats.org/drawingml/2006/picture">
                <pic:pic>
                  <pic:nvPicPr>
                    <pic:cNvPr descr="../pics/fig3_dataset_temporal_characteristics.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数据集时序特征可视化，代表性时间序列与日内统计轮廓</w:t>
      </w:r>
      <w:r>
        <w:t xml:space="preserve"> / Figure 3 Visualization of dataset temporal characteristics, representative time series and intraday statistical profiles</w:t>
      </w:r>
    </w:p>
    <w:p>
      <w:pPr>
        <w:pStyle w:val="BodyText"/>
      </w:pPr>
      <w:r>
        <w:rPr>
          <w:rFonts w:hint="eastAsia"/>
        </w:rPr>
        <w:t xml:space="preserve">图</w:t>
      </w:r>
      <w:r>
        <w:t xml:space="preserve"> 4 </w:t>
      </w:r>
      <w:r>
        <w:rPr>
          <w:rFonts w:hint="eastAsia"/>
        </w:rPr>
        <w:t xml:space="preserve">进一步展示了关键变量的边际分布与联合分布。</w:t>
      </w:r>
      <m:oMath>
        <m:sSub>
          <m:e>
            <m:r>
              <m:t>Q</m:t>
            </m:r>
          </m:e>
          <m:sub>
            <m:r>
              <m:rPr>
                <m:sty m:val="p"/>
              </m:rPr>
              <m:t>l</m:t>
            </m:r>
            <m:r>
              <m:rPr>
                <m:sty m:val="p"/>
              </m:rPr>
              <m:t>o</m:t>
            </m:r>
            <m:r>
              <m:rPr>
                <m:sty m:val="p"/>
              </m:rPr>
              <m:t>a</m:t>
            </m:r>
            <m:r>
              <m:rPr>
                <m:sty m:val="p"/>
              </m:rPr>
              <m:t>d</m:t>
            </m:r>
          </m:sub>
        </m:sSub>
      </m:oMath>
      <w:r>
        <w:t xml:space="preserve"> </w:t>
      </w:r>
      <w:r>
        <w:rPr>
          <w:rFonts w:hint="eastAsia"/>
        </w:rPr>
        <w:t xml:space="preserve">在多个负荷区间形成明显的密度聚集，表明冷负荷数据包含多种典型运行工况；</w:t>
      </w:r>
      <m:oMath>
        <m:sSub>
          <m:e>
            <m:r>
              <m:t>T</m:t>
            </m:r>
          </m:e>
          <m:sub>
            <m:r>
              <m:rPr>
                <m:sty m:val="p"/>
              </m:rPr>
              <m:t>w</m:t>
            </m:r>
            <m:r>
              <m:rPr>
                <m:sty m:val="p"/>
              </m:rPr>
              <m:t>b</m:t>
            </m:r>
          </m:sub>
        </m:sSub>
      </m:oMath>
      <w:r>
        <w:t xml:space="preserve"> </w:t>
      </w:r>
      <w:r>
        <w:rPr>
          <w:rFonts w:hint="eastAsia"/>
        </w:rPr>
        <w:t xml:space="preserve">主要分布在较窄区间内，说明本研究数据中室外湿球温度的波动范围较为有限。</w:t>
      </w:r>
      <m:oMath>
        <m:sSub>
          <m:e>
            <m:r>
              <m:t>T</m:t>
            </m:r>
          </m:e>
          <m:sub>
            <m:r>
              <m:rPr>
                <m:sty m:val="p"/>
              </m:rPr>
              <m:t>w</m:t>
            </m:r>
            <m:r>
              <m:rPr>
                <m:sty m:val="p"/>
              </m:rPr>
              <m:t>b</m:t>
            </m:r>
          </m:sub>
        </m:sSub>
      </m:oMath>
      <w:r>
        <w:t xml:space="preserve"> </w:t>
      </w:r>
      <w:r>
        <w:rPr>
          <w:rFonts w:hint="eastAsia"/>
        </w:rPr>
        <w:t xml:space="preserve">与</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的联合密度没有呈现简单线性关系，而是在不同温度区间形成多个密度聚集区，说明两者之间存在分区特征和非线性联合变化。结合图</w:t>
      </w:r>
      <w:r>
        <w:t xml:space="preserve"> 3 </w:t>
      </w:r>
      <w:r>
        <w:rPr>
          <w:rFonts w:hint="eastAsia"/>
        </w:rPr>
        <w:t xml:space="preserve">的时序结果可见，该数据集同时包含日内周期性负荷变化与变量间非线性依赖。因此，该数据集能够支持流式门控模块基于冷负荷与湿球温度的联合变化进行自适应触发判定，而不是只根据单个变量的异常偏离作出判断。</w:t>
      </w:r>
    </w:p>
    <w:p>
      <w:pPr>
        <w:pStyle w:val="BodyText"/>
      </w:pPr>
      <w:r>
        <w:t xml:space="preserve">Figure 4 further presents the marginal and joint distributions of the key variables. The cooling load</w:t>
      </w:r>
      <w:r>
        <w:t xml:space="preserve"> </w:t>
      </w:r>
      <m:oMath>
        <m:sSub>
          <m:e>
            <m:r>
              <m:t>Q</m:t>
            </m:r>
          </m:e>
          <m:sub>
            <m:r>
              <m:rPr>
                <m:sty m:val="p"/>
              </m:rPr>
              <m:t>l</m:t>
            </m:r>
            <m:r>
              <m:rPr>
                <m:sty m:val="p"/>
              </m:rPr>
              <m:t>o</m:t>
            </m:r>
            <m:r>
              <m:rPr>
                <m:sty m:val="p"/>
              </m:rPr>
              <m:t>a</m:t>
            </m:r>
            <m:r>
              <m:rPr>
                <m:sty m:val="p"/>
              </m:rPr>
              <m:t>d</m:t>
            </m:r>
          </m:sub>
        </m:sSub>
      </m:oMath>
      <w:r>
        <w:t xml:space="preserve"> </w:t>
      </w:r>
      <w:r>
        <w:t xml:space="preserve">forms pronounced density clusters across multiple load ranges, indicating that the dataset contains several typical operating regimes, whereas</w:t>
      </w:r>
      <w:r>
        <w:t xml:space="preserve"> </w:t>
      </w:r>
      <m:oMath>
        <m:sSub>
          <m:e>
            <m:r>
              <m:t>T</m:t>
            </m:r>
          </m:e>
          <m:sub>
            <m:r>
              <m:rPr>
                <m:sty m:val="p"/>
              </m:rPr>
              <m:t>w</m:t>
            </m:r>
            <m:r>
              <m:rPr>
                <m:sty m:val="p"/>
              </m:rPr>
              <m:t>b</m:t>
            </m:r>
          </m:sub>
        </m:sSub>
      </m:oMath>
      <w:r>
        <w:t xml:space="preserve"> </w:t>
      </w:r>
      <w:r>
        <w:t xml:space="preserve">is concentrated within a relatively narrow range, indicating limited variability in the outdoor wet bulb temperature in this dataset. Moreover, the joint density of</w:t>
      </w:r>
      <w:r>
        <w:t xml:space="preserve"> </w:t>
      </w:r>
      <m:oMath>
        <m:sSub>
          <m:e>
            <m:r>
              <m:t>T</m:t>
            </m:r>
          </m:e>
          <m:sub>
            <m:r>
              <m:rPr>
                <m:sty m:val="p"/>
              </m:rPr>
              <m:t>w</m:t>
            </m:r>
            <m:r>
              <m:rPr>
                <m:sty m:val="p"/>
              </m:rPr>
              <m:t>b</m:t>
            </m:r>
          </m:sub>
        </m:sSub>
      </m:oMath>
      <w:r>
        <w:t xml:space="preserve"> </w:t>
      </w:r>
      <w:r>
        <w:t xml:space="preserve">and</w:t>
      </w:r>
      <w:r>
        <w:t xml:space="preserve"> </w:t>
      </w:r>
      <m:oMath>
        <m:sSub>
          <m:e>
            <m:r>
              <m:t>Q</m:t>
            </m:r>
          </m:e>
          <m:sub>
            <m:r>
              <m:rPr>
                <m:sty m:val="p"/>
              </m:rPr>
              <m:t>l</m:t>
            </m:r>
            <m:r>
              <m:rPr>
                <m:sty m:val="p"/>
              </m:rPr>
              <m:t>o</m:t>
            </m:r>
            <m:r>
              <m:rPr>
                <m:sty m:val="p"/>
              </m:rPr>
              <m:t>a</m:t>
            </m:r>
            <m:r>
              <m:rPr>
                <m:sty m:val="p"/>
              </m:rPr>
              <m:t>d</m:t>
            </m:r>
          </m:sub>
        </m:sSub>
      </m:oMath>
      <w:r>
        <w:t xml:space="preserve"> </w:t>
      </w:r>
      <w:r>
        <w:t xml:space="preserve">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pPr>
        <w:pStyle w:val="CaptionedFigure"/>
      </w:pPr>
      <w:r>
        <w:drawing>
          <wp:inline>
            <wp:extent cx="5334000" cy="1530032"/>
            <wp:effectExtent b="0" l="0" r="0" t="0"/>
            <wp:docPr descr="图4 数据集分布与特征依赖关系可视化 / Figure 4 Visualization of dataset distributions and feature dependence" title="" id="24" name="Picture"/>
            <a:graphic>
              <a:graphicData uri="http://schemas.openxmlformats.org/drawingml/2006/picture">
                <pic:pic>
                  <pic:nvPicPr>
                    <pic:cNvPr descr="../pics/fig4_dataset_distribution_and_correlation.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数据集分布与特征依赖关系可视化</w:t>
      </w:r>
      <w:r>
        <w:t xml:space="preserve"> / Figure 4 Visualization of dataset distributions and feature dependence</w:t>
      </w:r>
    </w:p>
    <w:p>
      <w:pPr>
        <w:pStyle w:val="BodyText"/>
      </w:pPr>
      <w:r>
        <w:rPr>
          <w:rFonts w:hint="eastAsia"/>
        </w:rPr>
        <w:t xml:space="preserve">在预处理阶段，原始采集的冷负荷序列中包含</w:t>
      </w:r>
      <w:r>
        <w:t xml:space="preserve"> 8 </w:t>
      </w:r>
      <w:r>
        <w:rPr>
          <w:rFonts w:hint="eastAsia"/>
        </w:rPr>
        <w:t xml:space="preserve">个负冷负荷样本，本文将其截断为零。由于这些样本在全序列中占比极低，该修正对整体负荷分布的影响可以忽略。为引入短期预测信息，本文将</w:t>
      </w:r>
      <w:r>
        <w:t xml:space="preserve"> LSTM </w:t>
      </w:r>
      <w:r>
        <w:rPr>
          <w:rFonts w:hint="eastAsia"/>
        </w:rPr>
        <w:t xml:space="preserve">生成的一步超前负荷预测值</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rPr>
          <w:rFonts w:hint="eastAsia"/>
        </w:rPr>
        <w:t xml:space="preserve">作为额外状态输入，用于表征短期负荷变化趋势，从而使最终状态输入同时包含当前运行条件与短期演化趋势。</w:t>
      </w:r>
    </w:p>
    <w:p>
      <w:pPr>
        <w:pStyle w:val="BodyText"/>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generated by the LSTM as an additional state input to characterize short term load variation trends, thereby ensuring that the final state input includes both the current operating conditions and the short term evolution trend.</w:t>
      </w:r>
    </w:p>
    <w:p>
      <w:pPr>
        <w:pStyle w:val="BodyText"/>
      </w:pPr>
      <w:r>
        <w:rPr>
          <w:rFonts w:hint="eastAsia"/>
        </w:rPr>
        <w:t xml:space="preserve">为避免时间信息泄漏并贴近实际在线部署条件，本文采用严格时间顺序划分策略，将数据集按时间先后划分为训练集、验证集与测试集，比例为</w:t>
      </w:r>
      <w:r>
        <w:t xml:space="preserve"> </w:t>
      </w:r>
      <w:r>
        <w:rPr>
          <w:rFonts w:hint="eastAsia"/>
        </w:rPr>
        <w:t xml:space="preserve">70:15:15。归一化统计量、LSTM</w:t>
      </w:r>
      <w:r>
        <w:t xml:space="preserve"> </w:t>
      </w:r>
      <w:r>
        <w:rPr>
          <w:rFonts w:hint="eastAsia"/>
        </w:rPr>
        <w:t xml:space="preserve">模型训练和超参数选择均仅使用训练集与验证集信息确定，随后在测试集上保持固定。</w:t>
      </w:r>
    </w:p>
    <w:p>
      <w:pPr>
        <w:pStyle w:val="BodyText"/>
      </w:pPr>
      <w:r>
        <w:t xml:space="preserve">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bookmarkEnd w:id="26"/>
    <w:bookmarkEnd w:id="27"/>
    <w:bookmarkStart w:id="48" w:name="实验及结果-experiments-and-results"/>
    <w:p>
      <w:pPr>
        <w:pStyle w:val="Heading1"/>
      </w:pPr>
      <w:r>
        <w:t xml:space="preserve">5. </w:t>
      </w:r>
      <w:r>
        <w:rPr>
          <w:rFonts w:hint="eastAsia"/>
        </w:rPr>
        <w:t xml:space="preserve">实验及结果</w:t>
      </w:r>
      <w:r>
        <w:t xml:space="preserve"> / Experiments and Results</w:t>
      </w:r>
    </w:p>
    <w:bookmarkStart w:id="30" w:name="实验设置-experimental-setup"/>
    <w:p>
      <w:pPr>
        <w:pStyle w:val="Heading2"/>
      </w:pPr>
      <w:r>
        <w:t xml:space="preserve">5.1 </w:t>
      </w:r>
      <w:r>
        <w:rPr>
          <w:rFonts w:hint="eastAsia"/>
        </w:rPr>
        <w:t xml:space="preserve">实验设置</w:t>
      </w:r>
      <w:r>
        <w:t xml:space="preserve"> / Experimental Setup</w:t>
      </w:r>
    </w:p>
    <w:bookmarkStart w:id="28" w:name="X527a89d0cd3553e0b0e3d04f695e0f979dff822"/>
    <w:p>
      <w:pPr>
        <w:pStyle w:val="Heading3"/>
      </w:pPr>
      <w:r>
        <w:t xml:space="preserve">5.1.1 </w:t>
      </w:r>
      <w:r>
        <w:rPr>
          <w:rFonts w:hint="eastAsia"/>
        </w:rPr>
        <w:t xml:space="preserve">实验配置与超参数设置</w:t>
      </w:r>
      <w:r>
        <w:t xml:space="preserve"> / Experimental Configuration and Hyperparameter Settings</w:t>
      </w:r>
    </w:p>
    <w:p>
      <w:pPr>
        <w:pStyle w:val="FirstParagraph"/>
      </w:pPr>
      <w:r>
        <w:rPr>
          <w:rFonts w:hint="eastAsia"/>
        </w:rPr>
        <w:t xml:space="preserve">本节说明实验配置与超参数来源。为保证实验可复现性，DQN</w:t>
      </w:r>
      <w:r>
        <w:t xml:space="preserve"> </w:t>
      </w:r>
      <w:r>
        <w:rPr>
          <w:rFonts w:hint="eastAsia"/>
        </w:rPr>
        <w:t xml:space="preserve">控制策略与在线流式门控的关键参数在各组实验中保持一致；除特别说明外，系统采样间隔统一为</w:t>
      </w:r>
      <w:r>
        <w:t xml:space="preserve"> 5 </w:t>
      </w:r>
      <w:r>
        <w:rPr>
          <w:rFonts w:hint="eastAsia"/>
        </w:rPr>
        <w:t xml:space="preserve">分钟。所有超参数均通过贝叶斯优化确定，并经验证集筛选后固定用于后续实验。其中，DQN</w:t>
      </w:r>
      <w:r>
        <w:t xml:space="preserve"> </w:t>
      </w:r>
      <w:r>
        <w:rPr>
          <w:rFonts w:hint="eastAsia"/>
        </w:rPr>
        <w:t xml:space="preserve">控制策略相关参数决定强化学习控制器的状态表示、动作空间与训练过程，在线流式门控参数决定事件驱动动作更新的触发灵敏度与稳定性。完整超参数设置见附录</w:t>
      </w:r>
      <w:r>
        <w:t xml:space="preserve"> A </w:t>
      </w:r>
      <w:r>
        <w:rPr>
          <w:rFonts w:hint="eastAsia"/>
        </w:rPr>
        <w:t xml:space="preserve">的表</w:t>
      </w:r>
      <w:r>
        <w:t xml:space="preserve"> A2。</w:t>
      </w:r>
    </w:p>
    <w:p>
      <w:pPr>
        <w:pStyle w:val="BodyText"/>
      </w:pPr>
      <w:r>
        <w:t xml:space="preserve">This subsection describes the experimental configuration and the source of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of Appendix A.</w:t>
      </w:r>
    </w:p>
    <w:bookmarkEnd w:id="28"/>
    <w:bookmarkStart w:id="29" w:name="评价指标-evaluation-metrics"/>
    <w:p>
      <w:pPr>
        <w:pStyle w:val="Heading3"/>
      </w:pPr>
      <w:r>
        <w:t xml:space="preserve">5.1.2 </w:t>
      </w:r>
      <w:r>
        <w:rPr>
          <w:rFonts w:hint="eastAsia"/>
        </w:rPr>
        <w:t xml:space="preserve">评价指标</w:t>
      </w:r>
      <w:r>
        <w:t xml:space="preserve"> / Evaluation Metrics</w:t>
      </w:r>
    </w:p>
    <w:p>
      <w:pPr>
        <w:pStyle w:val="FirstParagraph"/>
      </w:pPr>
      <w:r>
        <w:rPr>
          <w:rFonts w:hint="eastAsia"/>
        </w:rPr>
        <w:t xml:space="preserve">为全面评估所提</w:t>
      </w:r>
      <w:r>
        <w:t xml:space="preserve"> ET-PRL </w:t>
      </w:r>
      <w:r>
        <w:rPr>
          <w:rFonts w:hint="eastAsia"/>
        </w:rPr>
        <w:t xml:space="preserve">方法的性能，本文从能耗效率、温度控制与稳定性、控制稀疏性及策略执行层统计四个方面构建评价指标体系，以保证实验结果的完整性与可复现性。</w:t>
      </w:r>
    </w:p>
    <w:p>
      <w:pPr>
        <w:pStyle w:val="BodyText"/>
      </w:pPr>
      <w:r>
        <w:t xml:space="preserve">To comprehensively evaluate the performance of the proposed ET-PRL method, we construct an evaluation metric system from four aspects, namely energy efficiency, temperature control and stability, control sparsity, and execution level statistics, to ensure the completeness and reproducibility of the experimental results.</w:t>
      </w:r>
    </w:p>
    <w:p>
      <w:pPr>
        <w:pStyle w:val="Compact"/>
        <w:numPr>
          <w:ilvl w:val="0"/>
          <w:numId w:val="1002"/>
        </w:numPr>
      </w:pPr>
      <w:r>
        <w:rPr>
          <w:rFonts w:hint="eastAsia"/>
        </w:rPr>
        <w:t xml:space="preserve">能耗效率指标</w:t>
      </w:r>
    </w:p>
    <w:p>
      <w:pPr>
        <w:pStyle w:val="FirstParagraph"/>
      </w:pPr>
      <w:r>
        <w:rPr>
          <w:rFonts w:hint="eastAsia"/>
        </w:rPr>
        <w:t xml:space="preserve">能耗效率是建筑能源管理的核心优化目标。本文以冷水机组</w:t>
      </w:r>
      <w:r>
        <w:t xml:space="preserve"> Chiller </w:t>
      </w:r>
      <w:r>
        <w:rPr>
          <w:rFonts w:hint="eastAsia"/>
        </w:rPr>
        <w:t xml:space="preserve">的运行功率为主要计量对象。</w:t>
      </w:r>
    </w:p>
    <w:p>
      <w:pPr>
        <w:pStyle w:val="BodyText"/>
      </w:pPr>
      <w:r>
        <w:rPr>
          <w:rFonts w:hint="eastAsia"/>
        </w:rPr>
        <w:t xml:space="preserve">（1）日均能耗</w:t>
      </w:r>
      <w:r>
        <w:t xml:space="preserve"> Average Daily Energy Consumption,</w:t>
      </w:r>
      <w:r>
        <w:t xml:space="preserve"> </w:t>
      </w:r>
      <m:oMath>
        <m:sSub>
          <m:e>
            <m:r>
              <m:t>E</m:t>
            </m:r>
          </m:e>
          <m:sub>
            <m:r>
              <m:rPr>
                <m:nor/>
                <m:sty m:val="p"/>
              </m:rPr>
              <m:t>daily</m:t>
            </m:r>
          </m:sub>
        </m:sSub>
      </m:oMath>
      <w:r>
        <w:t xml:space="preserve">。</w:t>
      </w:r>
    </w:p>
    <w:p>
      <w:pPr>
        <w:pStyle w:val="BodyText"/>
      </w:pPr>
      <w:r>
        <w:rPr>
          <w:rFonts w:hint="eastAsia"/>
        </w:rPr>
        <w:t xml:space="preserve">日均能耗用于反映测试周期内每天的平均耗电量，单位为</w:t>
      </w:r>
      <w:r>
        <w:t xml:space="preserve"> </w:t>
      </w:r>
      <w:r>
        <w:rPr>
          <w:rFonts w:hint="eastAsia"/>
        </w:rPr>
        <w:t xml:space="preserve">kWh/day，定义见式</w:t>
      </w:r>
      <w:r>
        <w:t xml:space="preserve">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为采样间隔，单位为小时，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时刻机组的运行功率，单位为</w:t>
      </w:r>
      <w:r>
        <w:t xml:space="preserve"> kW。</w:t>
      </w:r>
    </w:p>
    <w:p>
      <w:pPr>
        <w:pStyle w:val="BodyText"/>
      </w:pPr>
      <w:r>
        <w:rPr>
          <w:rFonts w:hint="eastAsia"/>
        </w:rPr>
        <w:t xml:space="preserve">（2）相对节能率</w:t>
      </w:r>
      <w:r>
        <w:t xml:space="preserve"> Relative Energy Saving Rate,</w:t>
      </w:r>
      <w:r>
        <w:t xml:space="preserve"> </w:t>
      </w:r>
      <m:oMath>
        <m:sSub>
          <m:e>
            <m:r>
              <m:t>η</m:t>
            </m:r>
          </m:e>
          <m:sub>
            <m:r>
              <m:rPr>
                <m:nor/>
                <m:sty m:val="p"/>
              </m:rPr>
              <m:t>saving</m:t>
            </m:r>
          </m:sub>
        </m:sSub>
      </m:oMath>
      <w:r>
        <w:t xml:space="preserve">。</w:t>
      </w:r>
    </w:p>
    <w:p>
      <w:pPr>
        <w:pStyle w:val="BodyText"/>
      </w:pPr>
      <w:r>
        <w:rPr>
          <w:rFonts w:hint="eastAsia"/>
        </w:rPr>
        <w:t xml:space="preserve">相对节能率用于量化任一待评估方法相对于统一比较基线的节能效果，定义见式</w:t>
      </w:r>
      <w:r>
        <w:t xml:space="preserve">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rPr>
          <w:rFonts w:hint="eastAsia"/>
        </w:rPr>
        <w:t xml:space="preserve">其中，</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pStyle w:val="BodyText"/>
      </w:pPr>
      <w:r>
        <w:rPr>
          <w:rFonts w:hint="eastAsia"/>
        </w:rPr>
        <w:t xml:space="preserve">（3）平均冷机功率</w:t>
      </w:r>
      <w:r>
        <w:t xml:space="preserve"> Average Chiller Power,</w:t>
      </w:r>
      <w:r>
        <w:t xml:space="preserve"> </w:t>
      </w:r>
      <m:oMath>
        <m:sSub>
          <m:e>
            <m:acc>
              <m:accPr>
                <m:chr m:val="‾"/>
              </m:accPr>
              <m:e>
                <m:r>
                  <m:t>P</m:t>
                </m:r>
              </m:e>
            </m:acc>
          </m:e>
          <m:sub>
            <m:r>
              <m:rPr>
                <m:nor/>
                <m:sty m:val="p"/>
              </m:rPr>
              <m:t>chiller</m:t>
            </m:r>
          </m:sub>
        </m:sSub>
      </m:oMath>
      <w:r>
        <w:t xml:space="preserve">。</w:t>
      </w:r>
    </w:p>
    <w:p>
      <w:pPr>
        <w:pStyle w:val="BodyText"/>
      </w:pPr>
      <w:r>
        <w:rPr>
          <w:rFonts w:hint="eastAsia"/>
        </w:rPr>
        <w:t xml:space="preserve">平均冷机功率用于反映整个测试周期内的平均负载水平与运行强度，定义见式</w:t>
      </w:r>
      <w:r>
        <w:t xml:space="preserve">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rPr>
          <w:rFonts w:hint="eastAsia"/>
        </w:rPr>
        <w:t xml:space="preserve">其中，</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在物理含义上相关，但二者分别表征平均负载强度与累计能耗。</w:t>
      </w:r>
    </w:p>
    <w:p>
      <w:pPr>
        <w:pStyle w:val="Compact"/>
        <w:numPr>
          <w:ilvl w:val="0"/>
          <w:numId w:val="1003"/>
        </w:numPr>
      </w:pPr>
      <w:r>
        <w:t xml:space="preserve">Energy efficiency metrics</w:t>
      </w:r>
    </w:p>
    <w:p>
      <w:pPr>
        <w:pStyle w:val="FirstParagraph"/>
      </w:pPr>
      <w:r>
        <w:t xml:space="preserve">Energy efficiency is a core optimization objective in building energy management. We use the operating power of the chiller as the primary measurement target.</w:t>
      </w:r>
    </w:p>
    <w:p>
      <w:pPr>
        <w:pStyle w:val="BodyText"/>
      </w:pPr>
      <w:r>
        <w:rPr>
          <w:rFonts w:hint="eastAsia"/>
        </w:rPr>
        <w:t xml:space="preserve">（1）Average</w:t>
      </w:r>
      <w:r>
        <w:t xml:space="preserve"> daily energy consumption,</w:t>
      </w:r>
      <w:r>
        <w:t xml:space="preserve"> </w:t>
      </w:r>
      <m:oMath>
        <m:sSub>
          <m:e>
            <m:r>
              <m:t>E</m:t>
            </m:r>
          </m:e>
          <m:sub>
            <m:r>
              <m:rPr>
                <m:nor/>
                <m:sty m:val="p"/>
              </m:rPr>
              <m:t>daily</m:t>
            </m:r>
          </m:sub>
        </m:sSub>
      </m:oMath>
      <w:r>
        <w:t xml:space="preserve">.</w:t>
      </w:r>
    </w:p>
    <w:p>
      <w:pPr>
        <w:pStyle w:val="BodyText"/>
      </w:pPr>
      <w:r>
        <w:t xml:space="preserve">Average daily energy consumption characterizes the average daily electricity use over the test period in kWh/day, as defined in Eq.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t xml:space="preserve">where</w:t>
      </w:r>
      <w:r>
        <w:t xml:space="preserve"> </w:t>
      </w:r>
      <m:oMath>
        <m:r>
          <m:t>D</m:t>
        </m:r>
      </m:oMath>
      <w:r>
        <w:t xml:space="preserve"> </w:t>
      </w:r>
      <w:r>
        <w:t xml:space="preserve">is the number of test days,</w:t>
      </w:r>
      <w:r>
        <w:t xml:space="preserve"> </w:t>
      </w:r>
      <m:oMath>
        <m:sSub>
          <m:e>
            <m:r>
              <m:t>T</m:t>
            </m:r>
          </m:e>
          <m:sub>
            <m:r>
              <m:t>d</m:t>
            </m:r>
          </m:sub>
        </m:sSub>
      </m:oMath>
      <w:r>
        <w:t xml:space="preserve"> </w:t>
      </w:r>
      <w:r>
        <w:t xml:space="preserve">is the number of time steps on day</w:t>
      </w:r>
      <w:r>
        <w:t xml:space="preserve"> </w:t>
      </w:r>
      <m:oMath>
        <m:r>
          <m:t>d</m:t>
        </m:r>
      </m:oMath>
      <w:r>
        <w:t xml:space="preserve">,</w:t>
      </w:r>
      <w:r>
        <w:t xml:space="preserve"> </w:t>
      </w:r>
      <m:oMath>
        <m:r>
          <m:rPr>
            <m:sty m:val="p"/>
          </m:rPr>
          <m:t>Δ</m:t>
        </m:r>
        <m:r>
          <m:t>t</m:t>
        </m:r>
      </m:oMath>
      <w:r>
        <w:t xml:space="preserve"> </w:t>
      </w:r>
      <w:r>
        <w:t xml:space="preserve">is the sampling interval in hours, and</w:t>
      </w:r>
      <w:r>
        <w:t xml:space="preserve"> </w:t>
      </w:r>
      <m:oMath>
        <m:sSub>
          <m:e>
            <m:r>
              <m:t>P</m:t>
            </m:r>
          </m:e>
          <m:sub>
            <m:r>
              <m:rPr>
                <m:nor/>
                <m:sty m:val="p"/>
              </m:rPr>
              <m:t>chiller</m:t>
            </m:r>
          </m:sub>
        </m:sSub>
        <m:r>
          <m:rPr>
            <m:sty m:val="p"/>
          </m:rPr>
          <m:t>(</m:t>
        </m:r>
        <m:r>
          <m:t>t</m:t>
        </m:r>
        <m:r>
          <m:rPr>
            <m:sty m:val="p"/>
          </m:rPr>
          <m:t>)</m:t>
        </m:r>
      </m:oMath>
      <w:r>
        <w:t xml:space="preserve"> </w:t>
      </w:r>
      <w:r>
        <w:t xml:space="preserve">is the chiller operating power at time step</w:t>
      </w:r>
      <w:r>
        <w:t xml:space="preserve"> </w:t>
      </w:r>
      <m:oMath>
        <m:r>
          <m:t>t</m:t>
        </m:r>
      </m:oMath>
      <w:r>
        <w:t xml:space="preserve"> </w:t>
      </w:r>
      <w:r>
        <w:t xml:space="preserve">in kW.</w:t>
      </w:r>
    </w:p>
    <w:p>
      <w:pPr>
        <w:pStyle w:val="BodyText"/>
      </w:pPr>
      <w:r>
        <w:rPr>
          <w:rFonts w:hint="eastAsia"/>
        </w:rPr>
        <w:t xml:space="preserve">（2）Relative</w:t>
      </w:r>
      <w:r>
        <w:t xml:space="preserve"> energy saving rate,</w:t>
      </w:r>
      <w:r>
        <w:t xml:space="preserve"> </w:t>
      </w:r>
      <m:oMath>
        <m:sSub>
          <m:e>
            <m:r>
              <m:t>η</m:t>
            </m:r>
          </m:e>
          <m:sub>
            <m:r>
              <m:rPr>
                <m:nor/>
                <m:sty m:val="p"/>
              </m:rPr>
              <m:t>saving</m:t>
            </m:r>
          </m:sub>
        </m:sSub>
      </m:oMath>
      <w:r>
        <w:t xml:space="preserve">.</w:t>
      </w:r>
    </w:p>
    <w:p>
      <w:pPr>
        <w:pStyle w:val="BodyText"/>
      </w:pPr>
      <w:r>
        <w:t xml:space="preserve">Relative energy saving rate quantifies the energy saving effect of each evaluated method relative to the common baseline, as defined in Eq.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t xml:space="preserve">where</w:t>
      </w:r>
      <w:r>
        <w:t xml:space="preserve"> </w:t>
      </w:r>
      <m:oMath>
        <m:sSub>
          <m:e>
            <m:r>
              <m:t>E</m:t>
            </m:r>
          </m:e>
          <m:sub>
            <m:r>
              <m:rPr>
                <m:nor/>
                <m:sty m:val="p"/>
              </m:rPr>
              <m:t>base</m:t>
            </m:r>
          </m:sub>
        </m:sSub>
      </m:oMath>
      <w:r>
        <w:t xml:space="preserve"> </w:t>
      </w:r>
      <w:r>
        <w:t xml:space="preserve">is the cumulative energy consumption of the common baseline, and</w:t>
      </w:r>
      <w:r>
        <w:t xml:space="preserve"> </w:t>
      </w:r>
      <m:oMath>
        <m:sSub>
          <m:e>
            <m:r>
              <m:t>E</m:t>
            </m:r>
          </m:e>
          <m:sub>
            <m:r>
              <m:t>i</m:t>
            </m:r>
          </m:sub>
        </m:sSub>
      </m:oMath>
      <w:r>
        <w:t xml:space="preserve"> </w:t>
      </w:r>
      <w:r>
        <w:t xml:space="preserve">is the cumulative energy consumption of the</w:t>
      </w:r>
      <w:r>
        <w:t xml:space="preserve"> </w:t>
      </w:r>
      <m:oMath>
        <m:r>
          <m:t>i</m:t>
        </m:r>
      </m:oMath>
      <w:r>
        <w:t xml:space="preserve">th method.</w:t>
      </w:r>
    </w:p>
    <w:p>
      <w:pPr>
        <w:pStyle w:val="BodyText"/>
      </w:pPr>
      <w:r>
        <w:rPr>
          <w:rFonts w:hint="eastAsia"/>
        </w:rPr>
        <w:t xml:space="preserve">（3）Average</w:t>
      </w:r>
      <w:r>
        <w:t xml:space="preserve"> chiller power,</w:t>
      </w:r>
      <w:r>
        <w:t xml:space="preserve"> </w:t>
      </w:r>
      <m:oMath>
        <m:sSub>
          <m:e>
            <m:acc>
              <m:accPr>
                <m:chr m:val="‾"/>
              </m:accPr>
              <m:e>
                <m:r>
                  <m:t>P</m:t>
                </m:r>
              </m:e>
            </m:acc>
          </m:e>
          <m:sub>
            <m:r>
              <m:rPr>
                <m:nor/>
                <m:sty m:val="p"/>
              </m:rPr>
              <m:t>chiller</m:t>
            </m:r>
          </m:sub>
        </m:sSub>
      </m:oMath>
      <w:r>
        <w:t xml:space="preserve">.</w:t>
      </w:r>
    </w:p>
    <w:p>
      <w:pPr>
        <w:pStyle w:val="BodyText"/>
      </w:pPr>
      <w:r>
        <w:t xml:space="preserve">Average chiller power reflects the average load level and operating intensity over the whole test period, as defined in Eq.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t xml:space="preserve">where</w:t>
      </w:r>
      <w:r>
        <w:t xml:space="preserve"> </w:t>
      </w:r>
      <m:oMath>
        <m:r>
          <m:t>N</m:t>
        </m:r>
      </m:oMath>
      <w:r>
        <w:t xml:space="preserve"> </w:t>
      </w:r>
      <w:r>
        <w:t xml:space="preserve">is the total number of test steps. This metric is physically related to</w:t>
      </w:r>
      <w:r>
        <w:t xml:space="preserve"> </w:t>
      </w:r>
      <m:oMath>
        <m:sSub>
          <m:e>
            <m:r>
              <m:t>E</m:t>
            </m:r>
          </m:e>
          <m:sub>
            <m:r>
              <m:rPr>
                <m:nor/>
                <m:sty m:val="p"/>
              </m:rPr>
              <m:t>daily</m:t>
            </m:r>
          </m:sub>
        </m:sSub>
      </m:oMath>
      <w:r>
        <w:t xml:space="preserve">, but the two metrics characterize average load intensity and cumulative energy consumption, respectively.</w:t>
      </w:r>
    </w:p>
    <w:p>
      <w:pPr>
        <w:pStyle w:val="Compact"/>
        <w:numPr>
          <w:ilvl w:val="0"/>
          <w:numId w:val="1004"/>
        </w:numPr>
      </w:pPr>
      <w:r>
        <w:rPr>
          <w:rFonts w:hint="eastAsia"/>
        </w:rPr>
        <w:t xml:space="preserve">温度控制与稳定性指标</w:t>
      </w:r>
    </w:p>
    <w:p>
      <w:pPr>
        <w:pStyle w:val="FirstParagraph"/>
      </w:pPr>
      <w:r>
        <w:rPr>
          <w:rFonts w:hint="eastAsia"/>
        </w:rPr>
        <w:t xml:space="preserve">本文采用冷冻水供水温度作为控制对象，代码记录字段为</w:t>
      </w:r>
      <w:r>
        <w:t xml:space="preserve"> </w:t>
      </w:r>
      <w:r>
        <w:rPr>
          <w:rStyle w:val="VerbatimChar"/>
        </w:rPr>
        <w:t xml:space="preserve">chiller_supply_temp</w:t>
      </w:r>
      <w:r>
        <w:rPr>
          <w:rFonts w:hint="eastAsia"/>
        </w:rPr>
        <w:t xml:space="preserve">，目标区间设定为</w:t>
      </w:r>
      <w:r>
        <w:t xml:space="preserve"> </w:t>
      </w:r>
      <m:oMath>
        <m:sSup>
          <m:e>
            <m:r>
              <m:t>15.0</m:t>
            </m:r>
          </m:e>
          <m:sup>
            <m:r>
              <m:rPr>
                <m:sty m:val="p"/>
              </m:rPr>
              <m:t>∘</m:t>
            </m:r>
          </m:sup>
        </m:sSup>
        <m:r>
          <m:rPr>
            <m:sty m:val="p"/>
          </m:rPr>
          <m:t>C</m:t>
        </m:r>
      </m:oMath>
      <w:r>
        <w:t xml:space="preserve"> </w:t>
      </w:r>
      <w:r>
        <w:rPr>
          <w:rFonts w:hint="eastAsia"/>
        </w:rPr>
        <w:t xml:space="preserve">至</w:t>
      </w:r>
      <w:r>
        <w:t xml:space="preserve"> </w:t>
      </w:r>
      <m:oMath>
        <m:sSup>
          <m:e>
            <m:r>
              <m:t>19.0</m:t>
            </m:r>
          </m:e>
          <m:sup>
            <m:r>
              <m:rPr>
                <m:sty m:val="p"/>
              </m:rPr>
              <m:t>∘</m:t>
            </m:r>
          </m:sup>
        </m:sSup>
        <m:r>
          <m:rPr>
            <m:sty m:val="p"/>
          </m:rPr>
          <m:t>C</m:t>
        </m:r>
      </m:oMath>
      <w:r>
        <w:t xml:space="preserve">。</w:t>
      </w:r>
    </w:p>
    <w:p>
      <w:pPr>
        <w:pStyle w:val="BodyText"/>
      </w:pPr>
      <w:r>
        <w:rPr>
          <w:rFonts w:hint="eastAsia"/>
        </w:rPr>
        <w:t xml:space="preserve">（1）性能保持率</w:t>
      </w:r>
      <w:r>
        <w:t xml:space="preserve"> Performance Preservation Rate, PPR。</w:t>
      </w:r>
    </w:p>
    <w:p>
      <w:pPr>
        <w:pStyle w:val="BodyText"/>
      </w:pPr>
      <w:r>
        <w:rPr>
          <w:rFonts w:hint="eastAsia"/>
        </w:rPr>
        <w:t xml:space="preserve">性能保持率用于衡量事件驱动机制在动作稀疏化条件下，对固定步长密集控制基线累计奖励的保持程度，定义见式</w:t>
      </w:r>
      <w:r>
        <w:t xml:space="preserve">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pStyle w:val="BodyText"/>
      </w:pPr>
      <w:r>
        <w:rPr>
          <w:rFonts w:hint="eastAsia"/>
        </w:rPr>
        <w:t xml:space="preserve">（2）动作平滑度</w:t>
      </w:r>
      <w:r>
        <w:t xml:space="preserve"> Action Smoothness,</w:t>
      </w:r>
      <w:r>
        <w:t xml:space="preserve"> </w:t>
      </w:r>
      <m:oMath>
        <m:acc>
          <m:accPr>
            <m:chr m:val="‾"/>
          </m:accPr>
          <m:e>
            <m:r>
              <m:rPr>
                <m:sty m:val="p"/>
              </m:rPr>
              <m:t>Δ</m:t>
            </m:r>
            <m:r>
              <m:t>a</m:t>
            </m:r>
          </m:e>
        </m:acc>
      </m:oMath>
      <w:r>
        <w:t xml:space="preserve">。</w:t>
      </w:r>
    </w:p>
    <w:p>
      <w:pPr>
        <w:pStyle w:val="BodyText"/>
      </w:pPr>
      <w:r>
        <w:rPr>
          <w:rFonts w:hint="eastAsia"/>
        </w:rPr>
        <w:t xml:space="preserve">动作平滑度用于量化控制动作对执行器的冲击强度，其定义为相邻时间步控制量变化绝对值的均值，如式</w:t>
      </w:r>
      <w:r>
        <w:t xml:space="preserve"> (29) </w:t>
      </w:r>
      <w:r>
        <w:rPr>
          <w:rFonts w:hint="eastAsia"/>
        </w:rPr>
        <w:t xml:space="preserve">所示。</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rPr>
          <w:rFonts w:hint="eastAsia"/>
        </w:rPr>
        <w:t xml:space="preserve">该值越小，表明控制动作越平稳，可降低执行器振荡风险。</w:t>
      </w:r>
    </w:p>
    <w:p>
      <w:pPr>
        <w:pStyle w:val="Compact"/>
        <w:numPr>
          <w:ilvl w:val="0"/>
          <w:numId w:val="1005"/>
        </w:numPr>
      </w:pPr>
      <w:r>
        <w:t xml:space="preserve">Temperature control and stability metrics</w:t>
      </w:r>
    </w:p>
    <w:p>
      <w:pPr>
        <w:pStyle w:val="FirstParagraph"/>
      </w:pPr>
      <w:r>
        <w:t xml:space="preserve">We use the chilled water supply temperature as the controlled variable, with the acceptable range set from</w:t>
      </w:r>
      <w:r>
        <w:t xml:space="preserve"> </w:t>
      </w:r>
      <m:oMath>
        <m:sSup>
          <m:e>
            <m:r>
              <m:t>15.0</m:t>
            </m:r>
          </m:e>
          <m:sup>
            <m:r>
              <m:rPr>
                <m:sty m:val="p"/>
              </m:rPr>
              <m:t>∘</m:t>
            </m:r>
          </m:sup>
        </m:sSup>
        <m:r>
          <m:rPr>
            <m:sty m:val="p"/>
          </m:rPr>
          <m:t>C</m:t>
        </m:r>
      </m:oMath>
      <w:r>
        <w:t xml:space="preserve"> </w:t>
      </w:r>
      <w:r>
        <w:t xml:space="preserve">to</w:t>
      </w:r>
      <w:r>
        <w:t xml:space="preserve"> </w:t>
      </w:r>
      <m:oMath>
        <m:sSup>
          <m:e>
            <m:r>
              <m:t>19.0</m:t>
            </m:r>
          </m:e>
          <m:sup>
            <m:r>
              <m:rPr>
                <m:sty m:val="p"/>
              </m:rPr>
              <m:t>∘</m:t>
            </m:r>
          </m:sup>
        </m:sSup>
        <m:r>
          <m:rPr>
            <m:sty m:val="p"/>
          </m:rPr>
          <m:t>C</m:t>
        </m:r>
      </m:oMath>
      <w:r>
        <w:t xml:space="preserve">.</w:t>
      </w:r>
    </w:p>
    <w:p>
      <w:pPr>
        <w:pStyle w:val="BodyText"/>
      </w:pPr>
      <w:r>
        <w:rPr>
          <w:rFonts w:hint="eastAsia"/>
        </w:rPr>
        <w:t xml:space="preserve">（1）Performance</w:t>
      </w:r>
      <w:r>
        <w:t xml:space="preserve"> preservation rate, PPR.</w:t>
      </w:r>
    </w:p>
    <w:p>
      <w:pPr>
        <w:pStyle w:val="BodyText"/>
      </w:pPr>
      <w:r>
        <w:t xml:space="preserve">Performance preservation rate measures how well the event driven mechanism preserves the cumulative reward of the fixed step dense control baseline under sparse actuation, as defined in Eq.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t xml:space="preserve">where</w:t>
      </w:r>
      <w:r>
        <w:t xml:space="preserve"> </w:t>
      </w:r>
      <m:oMath>
        <m:sSub>
          <m:e>
            <m:r>
              <m:t>R</m:t>
            </m:r>
          </m:e>
          <m:sub>
            <m:r>
              <m:rPr>
                <m:nor/>
                <m:sty m:val="p"/>
              </m:rPr>
              <m:t>event</m:t>
            </m:r>
          </m:sub>
        </m:sSub>
      </m:oMath>
      <w:r>
        <w:t xml:space="preserve"> </w:t>
      </w:r>
      <w:r>
        <w:t xml:space="preserve">and</w:t>
      </w:r>
      <w:r>
        <w:t xml:space="preserve"> </w:t>
      </w:r>
      <m:oMath>
        <m:sSub>
          <m:e>
            <m:r>
              <m:t>R</m:t>
            </m:r>
          </m:e>
          <m:sub>
            <m:r>
              <m:rPr>
                <m:nor/>
                <m:sty m:val="p"/>
              </m:rPr>
              <m:t>dense</m:t>
            </m:r>
          </m:sub>
        </m:sSub>
      </m:oMath>
      <w:r>
        <w:t xml:space="preserve"> </w:t>
      </w:r>
      <w:r>
        <w:t xml:space="preserve">are the cumulative rewards of the event driven strategy and the fixed step dense control strategy over the same test period.</w:t>
      </w:r>
    </w:p>
    <w:p>
      <w:pPr>
        <w:pStyle w:val="BodyText"/>
      </w:pPr>
      <w:r>
        <w:rPr>
          <w:rFonts w:hint="eastAsia"/>
        </w:rPr>
        <w:t xml:space="preserve">（2）Action</w:t>
      </w:r>
      <w:r>
        <w:t xml:space="preserve"> smoothness,</w:t>
      </w:r>
      <w:r>
        <w:t xml:space="preserve"> </w:t>
      </w:r>
      <m:oMath>
        <m:acc>
          <m:accPr>
            <m:chr m:val="‾"/>
          </m:accPr>
          <m:e>
            <m:r>
              <m:rPr>
                <m:sty m:val="p"/>
              </m:rPr>
              <m:t>Δ</m:t>
            </m:r>
            <m:r>
              <m:t>a</m:t>
            </m:r>
          </m:e>
        </m:acc>
      </m:oMath>
      <w:r>
        <w:t xml:space="preserve">.</w:t>
      </w:r>
    </w:p>
    <w:p>
      <w:pPr>
        <w:pStyle w:val="BodyText"/>
      </w:pPr>
      <w:r>
        <w:t xml:space="preserve">Action smoothness quantifies the impact intensity imposed on the actuator and is defined as the mean absolute change between adjacent control actions, as shown in Eq. (29).</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t xml:space="preserve">A smaller value indicates smoother control actions and a lower risk of actuator oscillation.</w:t>
      </w:r>
    </w:p>
    <w:p>
      <w:pPr>
        <w:pStyle w:val="Compact"/>
        <w:numPr>
          <w:ilvl w:val="0"/>
          <w:numId w:val="1006"/>
        </w:numPr>
      </w:pPr>
      <w:r>
        <w:rPr>
          <w:rFonts w:hint="eastAsia"/>
        </w:rPr>
        <w:t xml:space="preserve">控制稀疏性指标</w:t>
      </w:r>
    </w:p>
    <w:p>
      <w:pPr>
        <w:pStyle w:val="FirstParagraph"/>
      </w:pPr>
      <w:r>
        <w:rPr>
          <w:rFonts w:hint="eastAsia"/>
        </w:rPr>
        <w:t xml:space="preserve">本类指标用于量化事件驱动机制在降低通信负载与执行器磨损方面的效果。</w:t>
      </w:r>
    </w:p>
    <w:p>
      <w:pPr>
        <w:pStyle w:val="BodyText"/>
      </w:pPr>
      <w:r>
        <w:rPr>
          <w:rFonts w:hint="eastAsia"/>
        </w:rPr>
        <w:t xml:space="preserve">（1）动作更新总次数</w:t>
      </w:r>
      <w:r>
        <w:t xml:space="preserve"> Total Action Updates,</w:t>
      </w:r>
      <w:r>
        <w:t xml:space="preserve"> </w:t>
      </w:r>
      <m:oMath>
        <m:sSub>
          <m:e>
            <m:r>
              <m:t>N</m:t>
            </m:r>
          </m:e>
          <m:sub>
            <m:r>
              <m:rPr>
                <m:nor/>
                <m:sty m:val="p"/>
              </m:rPr>
              <m:t>update</m:t>
            </m:r>
          </m:sub>
        </m:sSub>
      </m:oMath>
      <w:r>
        <w:t xml:space="preserve">。</w:t>
      </w:r>
    </w:p>
    <w:p>
      <w:pPr>
        <w:pStyle w:val="BodyText"/>
      </w:pPr>
      <w:r>
        <w:rPr>
          <w:rFonts w:hint="eastAsia"/>
        </w:rPr>
        <w:t xml:space="preserve">动作更新总次数用于统计测试周期内控制动作实际发生更新的总次数，定义见式</w:t>
      </w:r>
      <w:r>
        <w:t xml:space="preserve">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pStyle w:val="BodyText"/>
      </w:pPr>
      <w:r>
        <w:rPr>
          <w:rFonts w:hint="eastAsia"/>
        </w:rPr>
        <w:t xml:space="preserve">（2）日均触发次数</w:t>
      </w:r>
      <w:r>
        <w:t xml:space="preserve"> Daily Trigger Count,</w:t>
      </w:r>
      <w:r>
        <w:t xml:space="preserve"> </w:t>
      </w:r>
      <m:oMath>
        <m:sSub>
          <m:e>
            <m:r>
              <m:t>N</m:t>
            </m:r>
          </m:e>
          <m:sub>
            <m:r>
              <m:rPr>
                <m:nor/>
                <m:sty m:val="p"/>
              </m:rPr>
              <m:t>daily</m:t>
            </m:r>
          </m:sub>
        </m:sSub>
      </m:oMath>
      <w:r>
        <w:t xml:space="preserve">。</w:t>
      </w:r>
    </w:p>
    <w:p>
      <w:pPr>
        <w:pStyle w:val="BodyText"/>
      </w:pPr>
      <w:r>
        <w:rPr>
          <w:rFonts w:hint="eastAsia"/>
        </w:rPr>
        <w:t xml:space="preserve">日均触发次数是衡量控制频率的物理指标，反映平均每天执行控制动作的次数，定义见式</w:t>
      </w:r>
      <w:r>
        <w:t xml:space="preserve">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rPr>
          <w:rFonts w:hint="eastAsia"/>
        </w:rPr>
        <w:t xml:space="preserve">该指标以实际控制次数直接反映执行器的机械磨损风险。</w:t>
      </w:r>
    </w:p>
    <w:p>
      <w:pPr>
        <w:pStyle w:val="BodyText"/>
      </w:pPr>
      <w:r>
        <w:rPr>
          <w:rFonts w:hint="eastAsia"/>
        </w:rPr>
        <w:t xml:space="preserve">（3）动作压缩比</w:t>
      </w:r>
      <w:r>
        <w:t xml:space="preserve"> Actuation Compression Ratio, ACR。</w:t>
      </w:r>
    </w:p>
    <w:p>
      <w:pPr>
        <w:pStyle w:val="BodyText"/>
      </w:pPr>
      <w:r>
        <w:rPr>
          <w:rFonts w:hint="eastAsia"/>
        </w:rPr>
        <w:t xml:space="preserve">动作压缩比用于衡量固定步长策略与待评估策略之间的动作更新次数比例，定义见式</w:t>
      </w:r>
      <w:r>
        <w:t xml:space="preserve">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rPr>
          <w:rFonts w:hint="eastAsia"/>
        </w:rPr>
        <w:t xml:space="preserve">其中，</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pStyle w:val="BodyText"/>
      </w:pPr>
      <w:r>
        <w:rPr>
          <w:rFonts w:hint="eastAsia"/>
        </w:rPr>
        <w:t xml:space="preserve">（4）动作减少率</w:t>
      </w:r>
      <w:r>
        <w:t xml:space="preserve"> Action Reduction Rate, ARR。</w:t>
      </w:r>
    </w:p>
    <w:p>
      <w:pPr>
        <w:pStyle w:val="BodyText"/>
      </w:pPr>
      <w:r>
        <w:rPr>
          <w:rFonts w:hint="eastAsia"/>
        </w:rPr>
        <w:t xml:space="preserve">动作减少率用于表征待评估策略相对固定步长策略减少的动作更新比例，定义见式</w:t>
      </w:r>
      <w:r>
        <w:t xml:space="preserve">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ARR </w:t>
      </w:r>
      <w:r>
        <w:rPr>
          <w:rFonts w:hint="eastAsia"/>
        </w:rPr>
        <w:t xml:space="preserve">值越大，表示动作更新压缩越充分，也更便于工程解释与横向比较。</w:t>
      </w:r>
    </w:p>
    <w:p>
      <w:pPr>
        <w:pStyle w:val="Compact"/>
        <w:numPr>
          <w:ilvl w:val="0"/>
          <w:numId w:val="1007"/>
        </w:numPr>
      </w:pPr>
      <w:r>
        <w:t xml:space="preserve">Control sparsity metrics</w:t>
      </w:r>
    </w:p>
    <w:p>
      <w:pPr>
        <w:pStyle w:val="FirstParagraph"/>
      </w:pPr>
      <w:r>
        <w:t xml:space="preserve">This group of metrics quantifies how effectively the event driven mechanism reduces communication load and actuator wear.</w:t>
      </w:r>
    </w:p>
    <w:p>
      <w:pPr>
        <w:pStyle w:val="BodyText"/>
      </w:pPr>
      <w:r>
        <w:rPr>
          <w:rFonts w:hint="eastAsia"/>
        </w:rPr>
        <w:t xml:space="preserve">（1）Total</w:t>
      </w:r>
      <w:r>
        <w:t xml:space="preserve"> action updates,</w:t>
      </w:r>
      <w:r>
        <w:t xml:space="preserve"> </w:t>
      </w:r>
      <m:oMath>
        <m:sSub>
          <m:e>
            <m:r>
              <m:t>N</m:t>
            </m:r>
          </m:e>
          <m:sub>
            <m:r>
              <m:rPr>
                <m:nor/>
                <m:sty m:val="p"/>
              </m:rPr>
              <m:t>update</m:t>
            </m:r>
          </m:sub>
        </m:sSub>
      </m:oMath>
      <w:r>
        <w:t xml:space="preserve">.</w:t>
      </w:r>
    </w:p>
    <w:p>
      <w:pPr>
        <w:pStyle w:val="BodyText"/>
      </w:pPr>
      <w:r>
        <w:t xml:space="preserve">Total action updates count the number of actual control action changes during the test period, as defined in Eq.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Under the fixed step strategy,</w:t>
      </w:r>
      <w:r>
        <w:t xml:space="preserve"> </w:t>
      </w:r>
      <m:oMath>
        <m:sSub>
          <m:e>
            <m:r>
              <m:t>N</m:t>
            </m:r>
          </m:e>
          <m:sub>
            <m:r>
              <m:rPr>
                <m:nor/>
                <m:sty m:val="p"/>
              </m:rPr>
              <m:t>update</m:t>
            </m:r>
          </m:sub>
        </m:sSub>
      </m:oMath>
      <w:r>
        <w:t xml:space="preserve"> </w:t>
      </w:r>
      <w:r>
        <w:t xml:space="preserve">is typically close to</w:t>
      </w:r>
      <w:r>
        <w:t xml:space="preserve"> </w:t>
      </w:r>
      <m:oMath>
        <m:r>
          <m:t>N</m:t>
        </m:r>
      </m:oMath>
      <w:r>
        <w:t xml:space="preserve">, whereas under the event driven strategy,</w:t>
      </w:r>
      <w:r>
        <w:t xml:space="preserve"> </w:t>
      </w:r>
      <m:oMath>
        <m:sSub>
          <m:e>
            <m:r>
              <m:t>N</m:t>
            </m:r>
          </m:e>
          <m:sub>
            <m:r>
              <m:rPr>
                <m:nor/>
                <m:sty m:val="p"/>
              </m:rPr>
              <m:t>update</m:t>
            </m:r>
          </m:sub>
        </m:sSub>
      </m:oMath>
      <w:r>
        <w:t xml:space="preserve"> </w:t>
      </w:r>
      <w:r>
        <w:t xml:space="preserve">is typically much smaller than</w:t>
      </w:r>
      <w:r>
        <w:t xml:space="preserve"> </w:t>
      </w:r>
      <m:oMath>
        <m:r>
          <m:t>N</m:t>
        </m:r>
      </m:oMath>
      <w:r>
        <w:t xml:space="preserve">.</w:t>
      </w:r>
    </w:p>
    <w:p>
      <w:pPr>
        <w:pStyle w:val="BodyText"/>
      </w:pPr>
      <w:r>
        <w:rPr>
          <w:rFonts w:hint="eastAsia"/>
        </w:rPr>
        <w:t xml:space="preserve">（2）Daily</w:t>
      </w:r>
      <w:r>
        <w:t xml:space="preserve"> trigger count,</w:t>
      </w:r>
      <w:r>
        <w:t xml:space="preserve"> </w:t>
      </w:r>
      <m:oMath>
        <m:sSub>
          <m:e>
            <m:r>
              <m:t>N</m:t>
            </m:r>
          </m:e>
          <m:sub>
            <m:r>
              <m:rPr>
                <m:nor/>
                <m:sty m:val="p"/>
              </m:rPr>
              <m:t>daily</m:t>
            </m:r>
          </m:sub>
        </m:sSub>
      </m:oMath>
      <w:r>
        <w:t xml:space="preserve">.</w:t>
      </w:r>
    </w:p>
    <w:p>
      <w:pPr>
        <w:pStyle w:val="BodyText"/>
      </w:pPr>
      <w:r>
        <w:t xml:space="preserve">Daily trigger count is a physical measure of control frequency and reflects the average number of control actions executed per day, as defined in Eq.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t xml:space="preserve">This metric directly reflects actuator wear risk through the actual number of control actions executed per day.</w:t>
      </w:r>
    </w:p>
    <w:p>
      <w:pPr>
        <w:pStyle w:val="BodyText"/>
      </w:pPr>
      <w:r>
        <w:rPr>
          <w:rFonts w:hint="eastAsia"/>
        </w:rPr>
        <w:t xml:space="preserve">（3）Actuation</w:t>
      </w:r>
      <w:r>
        <w:t xml:space="preserve"> compression ratio, ACR.</w:t>
      </w:r>
    </w:p>
    <w:p>
      <w:pPr>
        <w:pStyle w:val="BodyText"/>
      </w:pPr>
      <w:r>
        <w:t xml:space="preserve">Actuation compression ratio measures the ratio of action updates between the fixed step strategy and the evaluated strategy, as defined in Eq.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fixed</m:t>
            </m:r>
          </m:sub>
        </m:sSub>
      </m:oMath>
      <w:r>
        <w:t xml:space="preserve"> </w:t>
      </w:r>
      <w:r>
        <w:t xml:space="preserve">and</w:t>
      </w:r>
      <w:r>
        <w:t xml:space="preserve"> </w:t>
      </w:r>
      <m:oMath>
        <m:sSub>
          <m:e>
            <m:r>
              <m:t>N</m:t>
            </m:r>
          </m:e>
          <m:sub>
            <m:r>
              <m:rPr>
                <m:nor/>
                <m:sty m:val="p"/>
              </m:rPr>
              <m:t>update</m:t>
            </m:r>
          </m:sub>
        </m:sSub>
      </m:oMath>
      <w:r>
        <w:t xml:space="preserve"> </w:t>
      </w:r>
      <w:r>
        <w:t xml:space="preserve">are the total numbers of action updates under the fixed step strategy and the evaluated strategy, respectively. A larger ACR indicates a stronger sparsification effect of the event driven mechanism on control actions.</w:t>
      </w:r>
    </w:p>
    <w:p>
      <w:pPr>
        <w:pStyle w:val="BodyText"/>
      </w:pPr>
      <w:r>
        <w:rPr>
          <w:rFonts w:hint="eastAsia"/>
        </w:rPr>
        <w:t xml:space="preserve">（4）Action</w:t>
      </w:r>
      <w:r>
        <w:t xml:space="preserve"> reduction rate, ARR.</w:t>
      </w:r>
    </w:p>
    <w:p>
      <w:pPr>
        <w:pStyle w:val="BodyText"/>
      </w:pPr>
      <w:r>
        <w:t xml:space="preserve">Action reduction rate measures the proportion of action updates reduced by the evaluated strategy relative to the fixed step strategy, as defined in Eq.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 larger ARR indicates more effective compression of action updates and facilitates engineering interpretation and comparison across methods.</w:t>
      </w:r>
    </w:p>
    <w:p>
      <w:pPr>
        <w:pStyle w:val="Compact"/>
        <w:numPr>
          <w:ilvl w:val="0"/>
          <w:numId w:val="1008"/>
        </w:numPr>
      </w:pPr>
      <w:r>
        <w:rPr>
          <w:rFonts w:hint="eastAsia"/>
        </w:rPr>
        <w:t xml:space="preserve">策略执行层统计指标</w:t>
      </w:r>
    </w:p>
    <w:p>
      <w:pPr>
        <w:pStyle w:val="FirstParagraph"/>
      </w:pPr>
      <w:r>
        <w:rPr>
          <w:rFonts w:hint="eastAsia"/>
        </w:rPr>
        <w:t xml:space="preserve">为综合刻画门控机制的运行行为与策略执行开销，本文进一步报告以下策略执行层统计指标。</w:t>
      </w:r>
    </w:p>
    <w:p>
      <w:pPr>
        <w:pStyle w:val="BodyText"/>
      </w:pPr>
      <w:r>
        <w:rPr>
          <w:rFonts w:hint="eastAsia"/>
        </w:rPr>
        <w:t xml:space="preserve">（1）总奖励</w:t>
      </w:r>
      <w:r>
        <w:t xml:space="preserve"> Cumulative Test Reward,</w:t>
      </w:r>
      <w:r>
        <w:t xml:space="preserve"> </w:t>
      </w:r>
      <m:oMath>
        <m:sSub>
          <m:e>
            <m:r>
              <m:t>R</m:t>
            </m:r>
          </m:e>
          <m:sub>
            <m:r>
              <m:rPr>
                <m:nor/>
                <m:sty m:val="p"/>
              </m:rPr>
              <m:t>test</m:t>
            </m:r>
          </m:sub>
        </m:sSub>
      </m:oMath>
      <w:r>
        <w:t xml:space="preserve">。</w:t>
      </w:r>
    </w:p>
    <w:p>
      <w:pPr>
        <w:pStyle w:val="BodyText"/>
      </w:pPr>
      <w:r>
        <w:rPr>
          <w:rFonts w:hint="eastAsia"/>
        </w:rPr>
        <w:t xml:space="preserve">总奖励用于衡量测试周期内策略的总体控制收益，定义见式</w:t>
      </w:r>
      <w:r>
        <w:t xml:space="preserve">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（2）平均更新奖励</w:t>
      </w:r>
      <w:r>
        <w:t xml:space="preserve"> Average Reward per Update,</w:t>
      </w:r>
      <w:r>
        <w:t xml:space="preserve"> </w:t>
      </w:r>
      <m:oMath>
        <m:sSub>
          <m:e>
            <m:acc>
              <m:accPr>
                <m:chr m:val="‾"/>
              </m:accPr>
              <m:e>
                <m:r>
                  <m:t>R</m:t>
                </m:r>
              </m:e>
            </m:acc>
          </m:e>
          <m:sub>
            <m:r>
              <m:rPr>
                <m:nor/>
                <m:sty m:val="p"/>
              </m:rPr>
              <m:t>update</m:t>
            </m:r>
          </m:sub>
        </m:sSub>
      </m:oMath>
      <w:r>
        <w:t xml:space="preserve">。</w:t>
      </w:r>
    </w:p>
    <w:p>
      <w:pPr>
        <w:pStyle w:val="BodyText"/>
      </w:pPr>
      <w:r>
        <w:rPr>
          <w:rFonts w:hint="eastAsia"/>
        </w:rPr>
        <w:t xml:space="preserve">平均更新奖励用于衡量单位动作更新开销对应的平均控制收益，定义见式</w:t>
      </w:r>
      <w:r>
        <w:t xml:space="preserve">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t xml:space="preserve">。</w:t>
      </w:r>
    </w:p>
    <w:p>
      <w:pPr>
        <w:pStyle w:val="BodyText"/>
      </w:pPr>
      <w:r>
        <w:rPr>
          <w:rFonts w:hint="eastAsia"/>
        </w:rPr>
        <w:t xml:space="preserve">（3）触发间隔</w:t>
      </w:r>
      <w:r>
        <w:t xml:space="preserve"> Trigger Interval,</w:t>
      </w:r>
      <w:r>
        <w:t xml:space="preserve"> </w:t>
      </w:r>
      <m:oMath>
        <m:sSub>
          <m:e>
            <m:r>
              <m:t>L</m:t>
            </m:r>
          </m:e>
          <m:sub>
            <m:r>
              <m:rPr>
                <m:nor/>
                <m:sty m:val="p"/>
              </m:rPr>
              <m:t>trigger</m:t>
            </m:r>
          </m:sub>
        </m:sSub>
      </m:oMath>
      <w:r>
        <w:t xml:space="preserve">。</w:t>
      </w:r>
    </w:p>
    <w:p>
      <w:pPr>
        <w:pStyle w:val="BodyText"/>
      </w:pPr>
      <w:r>
        <w:rPr>
          <w:rFonts w:hint="eastAsia"/>
        </w:rPr>
        <w:t xml:space="preserve">触发间隔用于衡量门控层实际释放动作更新的稀疏程度，定义见式</w:t>
      </w:r>
      <w:r>
        <w:t xml:space="preserve">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rPr>
          <w:rFonts w:hint="eastAsia"/>
        </w:rPr>
        <w:t xml:space="preserve">其中，</w:t>
      </w:r>
      <m:oMath>
        <m:sSub>
          <m:e>
            <m:r>
              <m:t>t</m:t>
            </m:r>
          </m:e>
          <m:sub>
            <m:r>
              <m:t>k</m:t>
            </m:r>
          </m:sub>
        </m:sSub>
      </m:oMath>
      <w:r>
        <w:t xml:space="preserve"> </w:t>
      </w:r>
      <w:r>
        <w:rPr>
          <w:rFonts w:hint="eastAsia"/>
        </w:rPr>
        <w:t xml:space="preserve">表示第</w:t>
      </w:r>
      <w:r>
        <w:t xml:space="preserve"> </w:t>
      </w:r>
      <m:oMath>
        <m:r>
          <m:t>k</m:t>
        </m:r>
      </m:oMath>
      <w:r>
        <w:t xml:space="preserve"> </w:t>
      </w:r>
      <w:r>
        <w:rPr>
          <w:rFonts w:hint="eastAsia"/>
        </w:rPr>
        <w:t xml:space="preserve">次事件触发发生的时间步，</w:t>
      </w:r>
      <m:oMath>
        <m:r>
          <m:t>K</m:t>
        </m:r>
      </m:oMath>
      <w:r>
        <w:t xml:space="preserve"> </w:t>
      </w:r>
      <w:r>
        <w:rPr>
          <w:rFonts w:hint="eastAsia"/>
        </w:rPr>
        <w:t xml:space="preserve">表示测试轨迹中的触发总次数。需要说明的是，触发间隔是测试轨迹中的观测统计量，不同于门控机制中的最小触发间隔约束参数</w:t>
      </w:r>
      <w:r>
        <w:t xml:space="preserve"> </w:t>
      </w:r>
      <m:oMath>
        <m:sSub>
          <m:e>
            <m:r>
              <m:rPr>
                <m:sty m:val="p"/>
              </m:rPr>
              <m:t>Δ</m:t>
            </m:r>
          </m:e>
          <m:sub>
            <m:r>
              <m:rPr>
                <m:sty m:val="p"/>
              </m:rPr>
              <m:t>min</m:t>
            </m:r>
          </m:sub>
        </m:sSub>
      </m:oMath>
      <w:r>
        <w:t xml:space="preserve">。</w:t>
      </w:r>
    </w:p>
    <w:p>
      <w:pPr>
        <w:pStyle w:val="BodyText"/>
      </w:pPr>
      <w:r>
        <w:rPr>
          <w:rFonts w:hint="eastAsia"/>
        </w:rPr>
        <w:t xml:space="preserve">（4）动作保持长度</w:t>
      </w:r>
      <w:r>
        <w:t xml:space="preserve"> Hold Length,</w:t>
      </w:r>
      <w:r>
        <w:t xml:space="preserve"> </w:t>
      </w:r>
      <m:oMath>
        <m:sSub>
          <m:e>
            <m:r>
              <m:t>L</m:t>
            </m:r>
          </m:e>
          <m:sub>
            <m:r>
              <m:rPr>
                <m:nor/>
                <m:sty m:val="p"/>
              </m:rPr>
              <m:t>hold</m:t>
            </m:r>
          </m:sub>
        </m:sSub>
      </m:oMath>
      <w:r>
        <w:t xml:space="preserve">。</w:t>
      </w:r>
    </w:p>
    <w:p>
      <w:pPr>
        <w:pStyle w:val="BodyText"/>
      </w:pPr>
      <w:r>
        <w:rPr>
          <w:rFonts w:hint="eastAsia"/>
        </w:rPr>
        <w:t xml:space="preserve">动作保持长度用于衡量执行层设定值稳定性，定义见式</w:t>
      </w:r>
      <w:r>
        <w:t xml:space="preserve">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rPr>
          <w:rFonts w:hint="eastAsia"/>
        </w:rPr>
        <w:t xml:space="preserve">其中，</w:t>
      </w:r>
      <m:oMath>
        <m:sSub>
          <m:e>
            <m:r>
              <m:t>h</m:t>
            </m:r>
          </m:e>
          <m:sub>
            <m:r>
              <m:t>m</m:t>
            </m:r>
          </m:sub>
        </m:sSub>
      </m:oMath>
      <w:r>
        <w:t xml:space="preserve"> </w:t>
      </w:r>
      <w:r>
        <w:rPr>
          <w:rFonts w:hint="eastAsia"/>
        </w:rPr>
        <w:t xml:space="preserve">表示第</w:t>
      </w:r>
      <w:r>
        <w:t xml:space="preserve"> </w:t>
      </w:r>
      <m:oMath>
        <m:r>
          <m:t>m</m:t>
        </m:r>
      </m:oMath>
      <w:r>
        <w:t xml:space="preserve"> </w:t>
      </w:r>
      <w:r>
        <w:rPr>
          <w:rFonts w:hint="eastAsia"/>
        </w:rPr>
        <w:t xml:space="preserve">段连续保持不变的设定值持续步长，</w:t>
      </w:r>
      <m:oMath>
        <m:r>
          <m:t>M</m:t>
        </m:r>
      </m:oMath>
      <w:r>
        <w:t xml:space="preserve"> </w:t>
      </w:r>
      <w:r>
        <w:rPr>
          <w:rFonts w:hint="eastAsia"/>
        </w:rPr>
        <w:t xml:space="preserve">表示测试轨迹中的保持段总数。</w:t>
      </w:r>
    </w:p>
    <w:p>
      <w:pPr>
        <w:pStyle w:val="Compact"/>
        <w:numPr>
          <w:ilvl w:val="0"/>
          <w:numId w:val="1009"/>
        </w:numPr>
      </w:pPr>
      <w:r>
        <w:t xml:space="preserve">Execution level statistics</w:t>
      </w:r>
    </w:p>
    <w:p>
      <w:pPr>
        <w:pStyle w:val="FirstParagraph"/>
      </w:pPr>
      <w:r>
        <w:t xml:space="preserve">To characterize the operating behavior of the gate mechanism and the execution cost of the strategy, we further report the following execution level statistics.</w:t>
      </w:r>
    </w:p>
    <w:p>
      <w:pPr>
        <w:pStyle w:val="BodyText"/>
      </w:pPr>
      <w:r>
        <w:rPr>
          <w:rFonts w:hint="eastAsia"/>
        </w:rPr>
        <w:t xml:space="preserve">（1）Cumulative</w:t>
      </w:r>
      <w:r>
        <w:t xml:space="preserve"> test reward,</w:t>
      </w:r>
      <w:r>
        <w:t xml:space="preserve"> </w:t>
      </w:r>
      <m:oMath>
        <m:sSub>
          <m:e>
            <m:r>
              <m:t>R</m:t>
            </m:r>
          </m:e>
          <m:sub>
            <m:r>
              <m:rPr>
                <m:nor/>
                <m:sty m:val="p"/>
              </m:rPr>
              <m:t>test</m:t>
            </m:r>
          </m:sub>
        </m:sSub>
      </m:oMath>
      <w:r>
        <w:t xml:space="preserve">.</w:t>
      </w:r>
    </w:p>
    <w:p>
      <w:pPr>
        <w:pStyle w:val="BodyText"/>
      </w:pPr>
      <w:r>
        <w:t xml:space="preserve">Cumulative test reward measures the overall control benefit accumulated during the test period, as defined in Eq.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（2）Average</w:t>
      </w:r>
      <w:r>
        <w:t xml:space="preserve"> reward per update,</w:t>
      </w:r>
      <w:r>
        <w:t xml:space="preserve"> </w:t>
      </w:r>
      <m:oMath>
        <m:sSub>
          <m:e>
            <m:acc>
              <m:accPr>
                <m:chr m:val="‾"/>
              </m:accPr>
              <m:e>
                <m:r>
                  <m:t>R</m:t>
                </m:r>
              </m:e>
            </m:acc>
          </m:e>
          <m:sub>
            <m:r>
              <m:rPr>
                <m:nor/>
                <m:sty m:val="p"/>
              </m:rPr>
              <m:t>update</m:t>
            </m:r>
          </m:sub>
        </m:sSub>
      </m:oMath>
      <w:r>
        <w:t xml:space="preserve">.</w:t>
      </w:r>
    </w:p>
    <w:p>
      <w:pPr>
        <w:pStyle w:val="BodyText"/>
      </w:pPr>
      <w:r>
        <w:t xml:space="preserve">Average reward per update measures the average control benefit per unit action update cost, as defined in Eq.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update</m:t>
            </m:r>
          </m:sub>
        </m:sSub>
      </m:oMath>
      <w:r>
        <w:t xml:space="preserve"> </w:t>
      </w:r>
      <w:r>
        <w:t xml:space="preserve">is the number of actual action updates. Under the fixed step strategy,</w:t>
      </w:r>
      <w:r>
        <w:t xml:space="preserve"> </w:t>
      </w:r>
      <m:oMath>
        <m:sSub>
          <m:e>
            <m:r>
              <m:t>N</m:t>
            </m:r>
          </m:e>
          <m:sub>
            <m:r>
              <m:rPr>
                <m:nor/>
                <m:sty m:val="p"/>
              </m:rPr>
              <m:t>update</m:t>
            </m:r>
          </m:sub>
        </m:sSub>
        <m:r>
          <m:rPr>
            <m:sty m:val="p"/>
          </m:rPr>
          <m:t>=</m:t>
        </m:r>
        <m:r>
          <m:t>N</m:t>
        </m:r>
      </m:oMath>
      <w:r>
        <w:t xml:space="preserve">, whereas under the event driven strategy,</w:t>
      </w:r>
      <w:r>
        <w:t xml:space="preserve"> </w:t>
      </w:r>
      <m:oMath>
        <m:sSub>
          <m:e>
            <m:r>
              <m:t>N</m:t>
            </m:r>
          </m:e>
          <m:sub>
            <m:r>
              <m:rPr>
                <m:nor/>
                <m:sty m:val="p"/>
              </m:rPr>
              <m:t>update</m:t>
            </m:r>
          </m:sub>
        </m:sSub>
      </m:oMath>
      <w:r>
        <w:t xml:space="preserve"> </w:t>
      </w:r>
      <w:r>
        <w:t xml:space="preserve">is usually much smaller than</w:t>
      </w:r>
      <w:r>
        <w:t xml:space="preserve"> </w:t>
      </w:r>
      <m:oMath>
        <m:r>
          <m:t>N</m:t>
        </m:r>
      </m:oMath>
      <w:r>
        <w:t xml:space="preserve">.</w:t>
      </w:r>
    </w:p>
    <w:p>
      <w:pPr>
        <w:pStyle w:val="BodyText"/>
      </w:pPr>
      <w:r>
        <w:rPr>
          <w:rFonts w:hint="eastAsia"/>
        </w:rPr>
        <w:t xml:space="preserve">（3）Trigger</w:t>
      </w:r>
      <w:r>
        <w:t xml:space="preserve"> interval,</w:t>
      </w:r>
      <w:r>
        <w:t xml:space="preserve"> </w:t>
      </w:r>
      <m:oMath>
        <m:sSub>
          <m:e>
            <m:r>
              <m:t>L</m:t>
            </m:r>
          </m:e>
          <m:sub>
            <m:r>
              <m:rPr>
                <m:nor/>
                <m:sty m:val="p"/>
              </m:rPr>
              <m:t>trigger</m:t>
            </m:r>
          </m:sub>
        </m:sSub>
      </m:oMath>
      <w:r>
        <w:t xml:space="preserve">.</w:t>
      </w:r>
    </w:p>
    <w:p>
      <w:pPr>
        <w:pStyle w:val="BodyText"/>
      </w:pPr>
      <w:r>
        <w:t xml:space="preserve">Trigger interval measures the actual sparsity with which the gating layer releases action updates, as defined in Eq.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t xml:space="preserve">where</w:t>
      </w:r>
      <w:r>
        <w:t xml:space="preserve"> </w:t>
      </w:r>
      <m:oMath>
        <m:sSub>
          <m:e>
            <m:r>
              <m:t>t</m:t>
            </m:r>
          </m:e>
          <m:sub>
            <m:r>
              <m:t>k</m:t>
            </m:r>
          </m:sub>
        </m:sSub>
      </m:oMath>
      <w:r>
        <w:t xml:space="preserve"> </w:t>
      </w:r>
      <w:r>
        <w:t xml:space="preserve">denotes the time step of the</w:t>
      </w:r>
      <w:r>
        <w:t xml:space="preserve"> </w:t>
      </w:r>
      <m:oMath>
        <m:r>
          <m:t>k</m:t>
        </m:r>
      </m:oMath>
      <w:r>
        <w:t xml:space="preserve">th event trigger and</w:t>
      </w:r>
      <w:r>
        <w:t xml:space="preserve"> </w:t>
      </w:r>
      <m:oMath>
        <m:r>
          <m:t>K</m:t>
        </m:r>
      </m:oMath>
      <w:r>
        <w:t xml:space="preserve"> </w:t>
      </w:r>
      <w:r>
        <w:t xml:space="preserve">is the total number of triggers in the test trajectory. The trigger interval is an observed statistic from the test trajectory and differs from the minimum trigger interval constraint parameter</w:t>
      </w:r>
      <w:r>
        <w:t xml:space="preserve"> </w:t>
      </w:r>
      <m:oMath>
        <m:sSub>
          <m:e>
            <m:r>
              <m:rPr>
                <m:sty m:val="p"/>
              </m:rPr>
              <m:t>Δ</m:t>
            </m:r>
          </m:e>
          <m:sub>
            <m:r>
              <m:rPr>
                <m:sty m:val="p"/>
              </m:rPr>
              <m:t>min</m:t>
            </m:r>
          </m:sub>
        </m:sSub>
      </m:oMath>
      <w:r>
        <w:t xml:space="preserve"> </w:t>
      </w:r>
      <w:r>
        <w:t xml:space="preserve">used in the gating mechanism.</w:t>
      </w:r>
    </w:p>
    <w:p>
      <w:pPr>
        <w:pStyle w:val="BodyText"/>
      </w:pPr>
      <w:r>
        <w:rPr>
          <w:rFonts w:hint="eastAsia"/>
        </w:rPr>
        <w:t xml:space="preserve">（4）Hold</w:t>
      </w:r>
      <w:r>
        <w:t xml:space="preserve"> length,</w:t>
      </w:r>
      <w:r>
        <w:t xml:space="preserve"> </w:t>
      </w:r>
      <m:oMath>
        <m:sSub>
          <m:e>
            <m:r>
              <m:t>L</m:t>
            </m:r>
          </m:e>
          <m:sub>
            <m:r>
              <m:rPr>
                <m:nor/>
                <m:sty m:val="p"/>
              </m:rPr>
              <m:t>hold</m:t>
            </m:r>
          </m:sub>
        </m:sSub>
      </m:oMath>
      <w:r>
        <w:t xml:space="preserve">.</w:t>
      </w:r>
    </w:p>
    <w:p>
      <w:pPr>
        <w:pStyle w:val="BodyText"/>
      </w:pPr>
      <w:r>
        <w:t xml:space="preserve">Hold length measures setpoint stability at the execution layer, as defined in Eq.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t xml:space="preserve">where</w:t>
      </w:r>
      <w:r>
        <w:t xml:space="preserve"> </w:t>
      </w:r>
      <m:oMath>
        <m:sSub>
          <m:e>
            <m:r>
              <m:t>h</m:t>
            </m:r>
          </m:e>
          <m:sub>
            <m:r>
              <m:t>m</m:t>
            </m:r>
          </m:sub>
        </m:sSub>
      </m:oMath>
      <w:r>
        <w:t xml:space="preserve"> </w:t>
      </w:r>
      <w:r>
        <w:t xml:space="preserve">denotes the length of the</w:t>
      </w:r>
      <w:r>
        <w:t xml:space="preserve"> </w:t>
      </w:r>
      <m:oMath>
        <m:r>
          <m:t>m</m:t>
        </m:r>
      </m:oMath>
      <w:r>
        <w:t xml:space="preserve">th constant setpoint segment and</w:t>
      </w:r>
      <w:r>
        <w:t xml:space="preserve"> </w:t>
      </w:r>
      <m:oMath>
        <m:r>
          <m:t>M</m:t>
        </m:r>
      </m:oMath>
      <w:r>
        <w:t xml:space="preserve"> </w:t>
      </w:r>
      <w:r>
        <w:t xml:space="preserve">is the total number of holding segments in the test trajectory.</w:t>
      </w:r>
    </w:p>
    <w:p>
      <w:pPr>
        <w:pStyle w:val="BodyText"/>
      </w:pPr>
      <w:r>
        <w:rPr>
          <w:rFonts w:hint="eastAsia"/>
        </w:rPr>
        <w:t xml:space="preserve">评价指标与优化方向见附录</w:t>
      </w:r>
      <w:r>
        <w:t xml:space="preserve"> A </w:t>
      </w:r>
      <w:r>
        <w:rPr>
          <w:rFonts w:hint="eastAsia"/>
        </w:rPr>
        <w:t xml:space="preserve">的表</w:t>
      </w:r>
      <w:r>
        <w:t xml:space="preserve"> A3。</w:t>
      </w:r>
    </w:p>
    <w:p>
      <w:pPr>
        <w:pStyle w:val="BodyText"/>
      </w:pPr>
      <w:r>
        <w:t xml:space="preserve">The evaluation metrics and optimization objectives are summarized in Table A3 of Appendix A.</w:t>
      </w:r>
    </w:p>
    <w:bookmarkEnd w:id="29"/>
    <w:bookmarkEnd w:id="30"/>
    <w:bookmarkStart w:id="47" w:name="实验结果分析-experimental-results-analysis"/>
    <w:p>
      <w:pPr>
        <w:pStyle w:val="Heading2"/>
      </w:pPr>
      <w:r>
        <w:t xml:space="preserve">5.2 </w:t>
      </w:r>
      <w:r>
        <w:rPr>
          <w:rFonts w:hint="eastAsia"/>
        </w:rPr>
        <w:t xml:space="preserve">实验结果分析</w:t>
      </w:r>
      <w:r>
        <w:t xml:space="preserve"> / Experimental Results Analysis</w:t>
      </w:r>
    </w:p>
    <w:bookmarkStart w:id="46" w:name="整体性能分析-overall-performance-analysis"/>
    <w:p>
      <w:pPr>
        <w:pStyle w:val="Heading3"/>
      </w:pPr>
      <w:r>
        <w:t xml:space="preserve">5.2.1 </w:t>
      </w:r>
      <w:r>
        <w:rPr>
          <w:rFonts w:hint="eastAsia"/>
        </w:rPr>
        <w:t xml:space="preserve">整体性能分析</w:t>
      </w:r>
      <w:r>
        <w:t xml:space="preserve"> / Overall Performance Analysis</w:t>
      </w:r>
    </w:p>
    <w:p>
      <w:pPr>
        <w:pStyle w:val="FirstParagraph"/>
      </w:pPr>
      <w:r>
        <w:rPr>
          <w:rFonts w:hint="eastAsia"/>
        </w:rPr>
        <w:t xml:space="preserve">本文在统一测试集与评估协议下比较六类策略，以分析控制稀疏性与能效之间的关系。六类策略包括两类传统控制基线与四类强化学习策略。PID</w:t>
      </w:r>
      <w:r>
        <w:t xml:space="preserve"> </w:t>
      </w:r>
      <w:r>
        <w:rPr>
          <w:rFonts w:hint="eastAsia"/>
        </w:rPr>
        <w:t xml:space="preserve">为基于供水温度误差的离散闭环控制器，根据当前温度偏差调整设定值；RBC</w:t>
      </w:r>
      <w:r>
        <w:t xml:space="preserve"> </w:t>
      </w:r>
      <w:r>
        <w:rPr>
          <w:rFonts w:hint="eastAsia"/>
        </w:rPr>
        <w:t xml:space="preserve">采用固定供水温度设定值，作为无需学习的规则控制基线。时间触发强化学习（Time-Triggered</w:t>
      </w:r>
      <w:r>
        <w:t xml:space="preserve"> Reinforcement Learning, </w:t>
      </w:r>
      <w:r>
        <w:rPr>
          <w:rFonts w:hint="eastAsia"/>
        </w:rPr>
        <w:t xml:space="preserve">TTC-RL）策略包括</w:t>
      </w:r>
      <w:r>
        <w:t xml:space="preserve"> TTC-RL-1 </w:t>
      </w:r>
      <w:r>
        <w:rPr>
          <w:rFonts w:hint="eastAsia"/>
        </w:rPr>
        <w:t xml:space="preserve">与</w:t>
      </w:r>
      <w:r>
        <w:t xml:space="preserve"> </w:t>
      </w:r>
      <w:r>
        <w:rPr>
          <w:rFonts w:hint="eastAsia"/>
        </w:rPr>
        <w:t xml:space="preserve">TTC-RL-2，其中</w:t>
      </w:r>
      <w:r>
        <w:t xml:space="preserve"> TTC-RL-1 </w:t>
      </w:r>
      <w:r>
        <w:rPr>
          <w:rFonts w:hint="eastAsia"/>
        </w:rPr>
        <w:t xml:space="preserve">使用训练后的</w:t>
      </w:r>
      <w:r>
        <w:t xml:space="preserve"> DQN </w:t>
      </w:r>
      <w:r>
        <w:rPr>
          <w:rFonts w:hint="eastAsia"/>
        </w:rPr>
        <w:t xml:space="preserve">策略在每个采样步重新计算并执行控制动作，是强化学习策略组的密集更新基线；TTC-RL-2</w:t>
      </w:r>
      <w:r>
        <w:t xml:space="preserve"> </w:t>
      </w:r>
      <w:r>
        <w:rPr>
          <w:rFonts w:hint="eastAsia"/>
        </w:rPr>
        <w:t xml:space="preserve">使用同一策略网络，但每两个采样步更新一次动作，用于考察固定降频调度的影响。静态阈值事件触发控制（Static-Threshold</w:t>
      </w:r>
      <w:r>
        <w:t xml:space="preserve"> Event-Triggered Control, </w:t>
      </w:r>
      <w:r>
        <w:rPr>
          <w:rFonts w:hint="eastAsia"/>
        </w:rPr>
        <w:t xml:space="preserve">ST-ETC）仍复用同一策略网络，仅当静态阈值触发条件满足时释放动作更新，用于表征固定事件边界下的稀疏控制效果。所提</w:t>
      </w:r>
      <w:r>
        <w:t xml:space="preserve"> Event-Triggered Predictive Reinforcement Learning with Unsupervised Dynamic Event </w:t>
      </w:r>
      <w:r>
        <w:rPr>
          <w:rFonts w:hint="eastAsia"/>
        </w:rPr>
        <w:t xml:space="preserve">Gating（ET-PRL）方法在相同策略网络和状态输入基础上，引入流式多尺度异常评分与双层动态阈值，仅在当前工况显示出较高更新价值时触发动作更新。为保证跨方法比较的一致性，本文以</w:t>
      </w:r>
      <w:r>
        <w:t xml:space="preserve"> TTC-RL-1 </w:t>
      </w:r>
      <w:r>
        <w:rPr>
          <w:rFonts w:hint="eastAsia"/>
        </w:rPr>
        <w:t xml:space="preserve">作为统一比较基线，计算相对节能率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ARR。综合对比结果见表</w:t>
      </w:r>
      <w:r>
        <w:t xml:space="preserve"> 1。</w:t>
      </w:r>
    </w:p>
    <w:p>
      <w:pPr>
        <w:pStyle w:val="BodyText"/>
      </w:pPr>
      <w:r>
        <w:t xml:space="preserve">We compare six control strategies under the same test set and evaluation protocol to examine the relationship between control sparsity and energy efficiency. The six strategies include two conventional control baselines and four RL strategies. PID is a discrete closed loop controller based on the supply water temperature error and adjusts the setpoint according to the current temperature deviation, while RBC uses a fixed supply water setpoint and serves as a rule based baseline without learning. Time-Triggered Reinforcement Learning (TTC-RL) includes TTC-RL-1 and TTC-RL-2. TTC-RL-1 uses the trained DQN policy to recompute and execute the control action at every sampling step, making it the dense update baseline for the RL strategy group. TTC-RL-2 uses the same policy network but updates the action every two sampling steps, which allows us to examine the effect of fixed frequency reduction. Static-Threshold Event-Triggered Control (ST-ETC) also reuses the same policy network and releases action updates only when the static threshold condition is satisfied, representing sparse control under a fixed event boundary. The proposed Event-Triggered Predictive Reinforcement Learning with Unsupervised Dynamic Event Gating (ET-PRL) method uses the same policy network and state inputs, combines streaming multiscale anomaly scoring with two layer dynamic thresholds, and triggers action updates only when the current operating condition indicates a higher value for updating. To ensure consistent cross method comparison, we use TTC-RL-1 as the common baseline for computing the relative energy saving rate</w:t>
      </w:r>
      <w:r>
        <w:t xml:space="preserve"> </w:t>
      </w:r>
      <m:oMath>
        <m:sSub>
          <m:e>
            <m:r>
              <m:t>η</m:t>
            </m:r>
          </m:e>
          <m:sub>
            <m:r>
              <m:rPr>
                <m:nor/>
                <m:sty m:val="p"/>
              </m:rPr>
              <m:t>saving</m:t>
            </m:r>
          </m:sub>
        </m:sSub>
      </m:oMath>
      <w:r>
        <w:t xml:space="preserve">, PPR, ACR, and ARR. The overall comparison results are reported in Table 1.</w:t>
      </w:r>
    </w:p>
    <w:p>
      <w:pPr>
        <w:pStyle w:val="BodyText"/>
      </w:pPr>
      <w:r>
        <w:rPr>
          <w:rFonts w:hint="eastAsia"/>
        </w:rPr>
        <w:t xml:space="preserve">表</w:t>
      </w:r>
      <w:r>
        <w:t xml:space="preserve"> 1 </w:t>
      </w:r>
      <w:r>
        <w:rPr>
          <w:rFonts w:hint="eastAsia"/>
        </w:rPr>
        <w:t xml:space="preserve">多控制策略综合对比结果</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策略</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0.1669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53.54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94.41</w:t>
            </w:r>
          </w:p>
        </w:tc>
      </w:tr>
    </w:tbl>
    <w:p>
      <w:pPr>
        <w:pStyle w:val="BodyText"/>
      </w:pPr>
      <w:r>
        <w:t xml:space="preserve">Table 1 Overall comparison results of multiple control strategies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Strategy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0.1669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53.54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94.41</w:t>
            </w:r>
          </w:p>
        </w:tc>
      </w:tr>
    </w:tbl>
    <w:p>
      <w:pPr>
        <w:pStyle w:val="BodyText"/>
      </w:pPr>
      <w:r>
        <w:rPr>
          <w:rFonts w:hint="eastAsia"/>
        </w:rPr>
        <w:t xml:space="preserve">由表</w:t>
      </w:r>
      <w:r>
        <w:t xml:space="preserve"> 1 </w:t>
      </w:r>
      <w:r>
        <w:rPr>
          <w:rFonts w:hint="eastAsia"/>
        </w:rPr>
        <w:t xml:space="preserve">可见，在以</w:t>
      </w:r>
      <w:r>
        <w:t xml:space="preserve"> TTC-RL-1 </w:t>
      </w:r>
      <w:r>
        <w:rPr>
          <w:rFonts w:hint="eastAsia"/>
        </w:rPr>
        <w:t xml:space="preserve">为统一基线的强化学习策略组内，ET-PRL</w:t>
      </w:r>
      <w:r>
        <w:t xml:space="preserve"> </w:t>
      </w:r>
      <w:r>
        <w:rPr>
          <w:rFonts w:hint="eastAsia"/>
        </w:rPr>
        <w:t xml:space="preserve">同时实现了更高的稀疏性与更低的能耗。具体而言，TTC-RL-2</w:t>
      </w:r>
      <w:r>
        <w:t xml:space="preserve"> </w:t>
      </w:r>
      <w:r>
        <w:rPr>
          <w:rFonts w:hint="eastAsia"/>
        </w:rPr>
        <w:t xml:space="preserve">将动作更新总次数由</w:t>
      </w:r>
      <w:r>
        <w:t xml:space="preserve"> 4404 </w:t>
      </w:r>
      <w:r>
        <w:rPr>
          <w:rFonts w:hint="eastAsia"/>
        </w:rPr>
        <w:t xml:space="preserve">降至</w:t>
      </w:r>
      <w:r>
        <w:t xml:space="preserve"> </w:t>
      </w:r>
      <w:r>
        <w:rPr>
          <w:rFonts w:hint="eastAsia"/>
        </w:rPr>
        <w:t xml:space="preserve">2202，ARR</w:t>
      </w:r>
      <w:r>
        <w:t xml:space="preserve"> </w:t>
      </w:r>
      <w:r>
        <w:rPr>
          <w:rFonts w:hint="eastAsia"/>
        </w:rPr>
        <w:t xml:space="preserve">为</w:t>
      </w:r>
      <w:r>
        <w:t xml:space="preserve"> </w:t>
      </w:r>
      <w:r>
        <w:rPr>
          <w:rFonts w:hint="eastAsia"/>
        </w:rPr>
        <w:t xml:space="preserve">50.00%，但相对节能率仅为</w:t>
      </w:r>
      <w:r>
        <w:t xml:space="preserve"> </w:t>
      </w:r>
      <w:r>
        <w:rPr>
          <w:rFonts w:hint="eastAsia"/>
        </w:rPr>
        <w:t xml:space="preserve">0.02%；ST-ETC</w:t>
      </w:r>
      <w:r>
        <w:t xml:space="preserve"> </w:t>
      </w:r>
      <w:r>
        <w:rPr>
          <w:rFonts w:hint="eastAsia"/>
        </w:rPr>
        <w:t xml:space="preserve">的</w:t>
      </w:r>
      <w:r>
        <w:t xml:space="preserve"> ARR </w:t>
      </w:r>
      <w:r>
        <w:rPr>
          <w:rFonts w:hint="eastAsia"/>
        </w:rPr>
        <w:t xml:space="preserve">为</w:t>
      </w:r>
      <w:r>
        <w:t xml:space="preserve"> </w:t>
      </w:r>
      <w:r>
        <w:rPr>
          <w:rFonts w:hint="eastAsia"/>
        </w:rPr>
        <w:t xml:space="preserve">19.96%，相对节能率为</w:t>
      </w:r>
      <w:r>
        <w:t xml:space="preserve"> </w:t>
      </w:r>
      <w:r>
        <w:rPr>
          <w:rFonts w:hint="eastAsia"/>
        </w:rPr>
        <w:t xml:space="preserve">0.08%。相比之下，ET-PRL</w:t>
      </w:r>
      <w:r>
        <w:t xml:space="preserve"> </w:t>
      </w:r>
      <w:r>
        <w:rPr>
          <w:rFonts w:hint="eastAsia"/>
        </w:rPr>
        <w:t xml:space="preserve">在动作更新总次数降至</w:t>
      </w:r>
      <w:r>
        <w:t xml:space="preserve"> 2046 </w:t>
      </w:r>
      <w:r>
        <w:rPr>
          <w:rFonts w:hint="eastAsia"/>
        </w:rPr>
        <w:t xml:space="preserve">且</w:t>
      </w:r>
      <w:r>
        <w:t xml:space="preserve"> ARR </w:t>
      </w:r>
      <w:r>
        <w:rPr>
          <w:rFonts w:hint="eastAsia"/>
        </w:rPr>
        <w:t xml:space="preserve">为</w:t>
      </w:r>
      <w:r>
        <w:t xml:space="preserve"> 53.54% </w:t>
      </w:r>
      <w:r>
        <w:rPr>
          <w:rFonts w:hint="eastAsia"/>
        </w:rPr>
        <w:t xml:space="preserve">的同时，相对节能率提升至</w:t>
      </w:r>
      <w:r>
        <w:t xml:space="preserve"> </w:t>
      </w:r>
      <w:r>
        <w:rPr>
          <w:rFonts w:hint="eastAsia"/>
        </w:rPr>
        <w:t xml:space="preserve">2.13%。按测试周期折算，TTC-RL-1、TTC-RL-2、ST-ETC</w:t>
      </w:r>
      <w:r>
        <w:t xml:space="preserve"> </w:t>
      </w:r>
      <w:r>
        <w:rPr>
          <w:rFonts w:hint="eastAsia"/>
        </w:rPr>
        <w:t xml:space="preserve">与</w:t>
      </w:r>
      <w:r>
        <w:t xml:space="preserve"> ET-PRL </w:t>
      </w:r>
      <w:r>
        <w:rPr>
          <w:rFonts w:hint="eastAsia"/>
        </w:rPr>
        <w:t xml:space="preserve">的</w:t>
      </w:r>
      <w:r>
        <w:t xml:space="preserve"> </w:t>
      </w:r>
      <m:oMath>
        <m:sSub>
          <m:e>
            <m:r>
              <m:t>N</m:t>
            </m:r>
          </m:e>
          <m:sub>
            <m:r>
              <m:rPr>
                <m:nor/>
                <m:sty m:val="p"/>
              </m:rPr>
              <m:t>daily</m:t>
            </m:r>
          </m:sub>
        </m:sSub>
      </m:oMath>
      <w:r>
        <w:t xml:space="preserve"> </w:t>
      </w:r>
      <w:r>
        <w:rPr>
          <w:rFonts w:hint="eastAsia"/>
        </w:rPr>
        <w:t xml:space="preserve">分别为</w:t>
      </w:r>
      <w:r>
        <w:t xml:space="preserve"> 288.00、144.00、230.51 </w:t>
      </w:r>
      <w:r>
        <w:rPr>
          <w:rFonts w:hint="eastAsia"/>
        </w:rPr>
        <w:t xml:space="preserve">与</w:t>
      </w:r>
      <w:r>
        <w:t xml:space="preserve"> 133.80 </w:t>
      </w:r>
      <w:r>
        <w:rPr>
          <w:rFonts w:hint="eastAsia"/>
        </w:rPr>
        <w:t xml:space="preserve">次/日；对应</w:t>
      </w:r>
      <w:r>
        <w:t xml:space="preserve"> ACR </w:t>
      </w:r>
      <w:r>
        <w:rPr>
          <w:rFonts w:hint="eastAsia"/>
        </w:rPr>
        <w:t xml:space="preserve">分别为</w:t>
      </w:r>
      <w:r>
        <w:t xml:space="preserve"> 1.0000、2.0000、1.2494 </w:t>
      </w:r>
      <w:r>
        <w:rPr>
          <w:rFonts w:hint="eastAsia"/>
        </w:rPr>
        <w:t xml:space="preserve">与</w:t>
      </w:r>
      <w:r>
        <w:t xml:space="preserve"> </w:t>
      </w:r>
      <w:r>
        <w:rPr>
          <w:rFonts w:hint="eastAsia"/>
        </w:rPr>
        <w:t xml:space="preserve">2.1525。该结果说明，ET-PRL</w:t>
      </w:r>
      <w:r>
        <w:t xml:space="preserve"> </w:t>
      </w:r>
      <w:r>
        <w:rPr>
          <w:rFonts w:hint="eastAsia"/>
        </w:rPr>
        <w:t xml:space="preserve">的性能改善难以仅由动作更新频率降低解释，而可能与其能够在更值得更新的决策时刻进行选择性触发有关。</w:t>
      </w:r>
    </w:p>
    <w:p>
      <w:pPr>
        <w:pStyle w:val="BodyText"/>
      </w:pPr>
      <w:r>
        <w:t xml:space="preserve">As shown in Table 1, 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w:t>
      </w:r>
      <w:r>
        <w:t xml:space="preserve"> </w:t>
      </w:r>
      <m:oMath>
        <m:sSub>
          <m:e>
            <m:r>
              <m:t>N</m:t>
            </m:r>
          </m:e>
          <m:sub>
            <m:r>
              <m:rPr>
                <m:nor/>
                <m:sty m:val="p"/>
              </m:rPr>
              <m:t>daily</m:t>
            </m:r>
          </m:sub>
        </m:sSub>
      </m:oMath>
      <w:r>
        <w:t xml:space="preserve"> </w:t>
      </w:r>
      <w:r>
        <w:t xml:space="preserve">values of TTC-RL-1, TTC-RL-2, ST-ETC, and ET-PRL are 288.00, 144.00, 230.51, and 133.80 updates per day, respectively. Their corresponding ACR values are 1.0000, 2.0000, 1.2494, and 2.1525. These results indicate that the performance improvement of ET-PRL cannot be explained solely by lower update frequency and may instead be related to selective triggering at decision moments where an update is more valuable.</w:t>
      </w:r>
    </w:p>
    <w:p>
      <w:pPr>
        <w:pStyle w:val="BodyText"/>
      </w:pPr>
      <w:r>
        <w:rPr>
          <w:rFonts w:hint="eastAsia"/>
        </w:rPr>
        <w:t xml:space="preserve">在传统控制策略对照下，PID</w:t>
      </w:r>
      <w:r>
        <w:t xml:space="preserve"> </w:t>
      </w:r>
      <w:r>
        <w:rPr>
          <w:rFonts w:hint="eastAsia"/>
        </w:rPr>
        <w:t xml:space="preserve">与</w:t>
      </w:r>
      <w:r>
        <w:t xml:space="preserve"> RBC </w:t>
      </w:r>
      <w:r>
        <w:rPr>
          <w:rFonts w:hint="eastAsia"/>
        </w:rPr>
        <w:t xml:space="preserve">的日均能耗分别为</w:t>
      </w:r>
      <w:r>
        <w:t xml:space="preserve"> 8486.90 </w:t>
      </w:r>
      <w:r>
        <w:rPr>
          <w:rFonts w:hint="eastAsia"/>
        </w:rPr>
        <w:t xml:space="preserve">与</w:t>
      </w:r>
      <w:r>
        <w:t xml:space="preserve"> 8548.72 </w:t>
      </w:r>
      <w:r>
        <w:rPr>
          <w:rFonts w:hint="eastAsia"/>
        </w:rPr>
        <w:t xml:space="preserve">kWh/day，均高于强化学习策略组的</w:t>
      </w:r>
      <w:r>
        <w:t xml:space="preserve"> 7331.85 </w:t>
      </w:r>
      <w:r>
        <w:rPr>
          <w:rFonts w:hint="eastAsia"/>
        </w:rPr>
        <w:t xml:space="preserve">至</w:t>
      </w:r>
      <w:r>
        <w:t xml:space="preserve"> 7491.14 </w:t>
      </w:r>
      <w:r>
        <w:rPr>
          <w:rFonts w:hint="eastAsia"/>
        </w:rPr>
        <w:t xml:space="preserve">kWh/day。其中，ET-PRL</w:t>
      </w:r>
      <w:r>
        <w:t xml:space="preserve"> </w:t>
      </w:r>
      <w:r>
        <w:rPr>
          <w:rFonts w:hint="eastAsia"/>
        </w:rPr>
        <w:t xml:space="preserve">的日均能耗最低，为</w:t>
      </w:r>
      <w:r>
        <w:t xml:space="preserve"> 7331.85 </w:t>
      </w:r>
      <w:r>
        <w:rPr>
          <w:rFonts w:hint="eastAsia"/>
        </w:rPr>
        <w:t xml:space="preserve">kWh/day；相较于</w:t>
      </w:r>
      <w:r>
        <w:t xml:space="preserve"> PID </w:t>
      </w:r>
      <w:r>
        <w:rPr>
          <w:rFonts w:hint="eastAsia"/>
        </w:rPr>
        <w:t xml:space="preserve">与</w:t>
      </w:r>
      <w:r>
        <w:t xml:space="preserve"> </w:t>
      </w:r>
      <w:r>
        <w:rPr>
          <w:rFonts w:hint="eastAsia"/>
        </w:rPr>
        <w:t xml:space="preserve">RBC，分别降低</w:t>
      </w:r>
      <w:r>
        <w:t xml:space="preserve"> 1155.05 </w:t>
      </w:r>
      <w:r>
        <w:rPr>
          <w:rFonts w:hint="eastAsia"/>
        </w:rPr>
        <w:t xml:space="preserve">与</w:t>
      </w:r>
      <w:r>
        <w:t xml:space="preserve"> 1216.87 </w:t>
      </w:r>
      <w:r>
        <w:rPr>
          <w:rFonts w:hint="eastAsia"/>
        </w:rPr>
        <w:t xml:space="preserve">kWh/day，对应降幅为</w:t>
      </w:r>
      <w:r>
        <w:t xml:space="preserve"> 13.61% </w:t>
      </w:r>
      <w:r>
        <w:rPr>
          <w:rFonts w:hint="eastAsia"/>
        </w:rPr>
        <w:t xml:space="preserve">与</w:t>
      </w:r>
      <w:r>
        <w:t xml:space="preserve"> </w:t>
      </w:r>
      <w:r>
        <w:rPr>
          <w:rFonts w:hint="eastAsia"/>
        </w:rPr>
        <w:t xml:space="preserve">14.24%。在功率指标上，ET-PRL</w:t>
      </w:r>
      <w:r>
        <w:t xml:space="preserve"> </w:t>
      </w:r>
      <w:r>
        <w:rPr>
          <w:rFonts w:hint="eastAsia"/>
        </w:rPr>
        <w:t xml:space="preserve">的平均功率</w:t>
      </w:r>
      <w:r>
        <w:t xml:space="preserve"> </w:t>
      </w:r>
      <m:oMath>
        <m:sSub>
          <m:e>
            <m:acc>
              <m:accPr>
                <m:chr m:val="‾"/>
              </m:accPr>
              <m:e>
                <m:r>
                  <m:t>P</m:t>
                </m:r>
              </m:e>
            </m:acc>
          </m:e>
          <m:sub>
            <m:r>
              <m:rPr>
                <m:nor/>
                <m:sty m:val="p"/>
              </m:rPr>
              <m:t>chiller</m:t>
            </m:r>
          </m:sub>
        </m:sSub>
        <m:r>
          <m:rPr>
            <m:sty m:val="p"/>
          </m:rPr>
          <m:t>=</m:t>
        </m:r>
        <m:r>
          <m:t>305.49</m:t>
        </m:r>
      </m:oMath>
      <w:r>
        <w:t xml:space="preserve"> </w:t>
      </w:r>
      <w:r>
        <w:rPr>
          <w:rFonts w:hint="eastAsia"/>
        </w:rPr>
        <w:t xml:space="preserve">kW，也低于</w:t>
      </w:r>
      <w:r>
        <w:t xml:space="preserve"> PID </w:t>
      </w:r>
      <w:r>
        <w:rPr>
          <w:rFonts w:hint="eastAsia"/>
        </w:rPr>
        <w:t xml:space="preserve">的</w:t>
      </w:r>
      <w:r>
        <w:t xml:space="preserve"> 353.62 kW </w:t>
      </w:r>
      <w:r>
        <w:rPr>
          <w:rFonts w:hint="eastAsia"/>
        </w:rPr>
        <w:t xml:space="preserve">与</w:t>
      </w:r>
      <w:r>
        <w:t xml:space="preserve"> RBC </w:t>
      </w:r>
      <w:r>
        <w:rPr>
          <w:rFonts w:hint="eastAsia"/>
        </w:rPr>
        <w:t xml:space="preserve">的</w:t>
      </w:r>
      <w:r>
        <w:t xml:space="preserve"> 356.20 </w:t>
      </w:r>
      <w:r>
        <w:rPr>
          <w:rFonts w:hint="eastAsia"/>
        </w:rPr>
        <w:t xml:space="preserve">kW，表明其在本测试集上表现出一致的能效优势。</w:t>
      </w:r>
    </w:p>
    <w:p>
      <w:pPr>
        <w:pStyle w:val="BodyText"/>
      </w:pPr>
      <w:r>
        <w:t xml:space="preserve">Compared with the conventional control strategies, PID and RBC yield daily energy consumption values of 8486.90 and 8548.72 kWh/day, respectively, both of which are higher than the 7331.85 to 7491.14 kWh/day range achieved by the RL strategies. ET-PRL obtains the lowest daily energy consumption at 7331.85 kWh/day, reducing daily energy consumption by 1155.05 and 1216.87 kWh/day relative to PID and RBC, corresponding to reductions of 13.61% and 14.24%, respectively. In terms of power, ET-PRL also achieves a lower average chiller power, with</w:t>
      </w:r>
      <w:r>
        <w:t xml:space="preserve"> </w:t>
      </w:r>
      <m:oMath>
        <m:sSub>
          <m:e>
            <m:acc>
              <m:accPr>
                <m:chr m:val="‾"/>
              </m:accPr>
              <m:e>
                <m:r>
                  <m:t>P</m:t>
                </m:r>
              </m:e>
            </m:acc>
          </m:e>
          <m:sub>
            <m:r>
              <m:rPr>
                <m:nor/>
                <m:sty m:val="p"/>
              </m:rPr>
              <m:t>chiller</m:t>
            </m:r>
          </m:sub>
        </m:sSub>
        <m:r>
          <m:rPr>
            <m:sty m:val="p"/>
          </m:rPr>
          <m:t>=</m:t>
        </m:r>
        <m:r>
          <m:t>305.49</m:t>
        </m:r>
        <m:r>
          <m:t> </m:t>
        </m:r>
        <m:r>
          <m:rPr>
            <m:sty m:val="p"/>
          </m:rPr>
          <m:t>k</m:t>
        </m:r>
        <m:r>
          <m:rPr>
            <m:sty m:val="p"/>
          </m:rPr>
          <m:t>W</m:t>
        </m:r>
      </m:oMath>
      <w:r>
        <w:t xml:space="preserve">, compared with 353.62 kW for PID and 356.20 kW for RBC. This further indicates that ET-PRL maintains a consistent energy efficiency advantage on the test set.</w:t>
      </w:r>
    </w:p>
    <w:p>
      <w:pPr>
        <w:pStyle w:val="BodyText"/>
      </w:pPr>
      <w:r>
        <w:rPr>
          <w:rFonts w:hint="eastAsia"/>
        </w:rPr>
        <w:t xml:space="preserve">在执行品质方面，ET-PRL</w:t>
      </w:r>
      <w:r>
        <w:t xml:space="preserve"> </w:t>
      </w:r>
      <w:r>
        <w:rPr>
          <w:rFonts w:hint="eastAsia"/>
        </w:rPr>
        <w:t xml:space="preserve">的动作平滑度</w:t>
      </w:r>
      <w:r>
        <w:t xml:space="preserve"> </w:t>
      </w:r>
      <m:oMath>
        <m:acc>
          <m:accPr>
            <m:chr m:val="‾"/>
          </m:accPr>
          <m:e>
            <m:r>
              <m:rPr>
                <m:sty m:val="p"/>
              </m:rPr>
              <m:t>Δ</m:t>
            </m:r>
            <m:r>
              <m:t>a</m:t>
            </m:r>
          </m:e>
        </m:acc>
        <m:r>
          <m:rPr>
            <m:sty m:val="p"/>
          </m:rPr>
          <m:t>=</m:t>
        </m:r>
        <m:r>
          <m:t>0.6014</m:t>
        </m:r>
      </m:oMath>
      <w:r>
        <w:rPr>
          <w:rFonts w:hint="eastAsia"/>
        </w:rPr>
        <w:t xml:space="preserve">，较</w:t>
      </w:r>
      <w:r>
        <w:t xml:space="preserve"> TTC-RL-1 </w:t>
      </w:r>
      <w:r>
        <w:rPr>
          <w:rFonts w:hint="eastAsia"/>
        </w:rPr>
        <w:t xml:space="preserve">的</w:t>
      </w:r>
      <w:r>
        <w:t xml:space="preserve"> 0.8101 </w:t>
      </w:r>
      <w:r>
        <w:rPr>
          <w:rFonts w:hint="eastAsia"/>
        </w:rPr>
        <w:t xml:space="preserve">下降</w:t>
      </w:r>
      <w:r>
        <w:t xml:space="preserve"> </w:t>
      </w:r>
      <w:r>
        <w:rPr>
          <w:rFonts w:hint="eastAsia"/>
        </w:rPr>
        <w:t xml:space="preserve">25.76%，较</w:t>
      </w:r>
      <w:r>
        <w:t xml:space="preserve"> ST-ETC </w:t>
      </w:r>
      <w:r>
        <w:rPr>
          <w:rFonts w:hint="eastAsia"/>
        </w:rPr>
        <w:t xml:space="preserve">的</w:t>
      </w:r>
      <w:r>
        <w:t xml:space="preserve"> 0.7711 </w:t>
      </w:r>
      <w:r>
        <w:rPr>
          <w:rFonts w:hint="eastAsia"/>
        </w:rPr>
        <w:t xml:space="preserve">下降</w:t>
      </w:r>
      <w:r>
        <w:t xml:space="preserve"> </w:t>
      </w:r>
      <w:r>
        <w:rPr>
          <w:rFonts w:hint="eastAsia"/>
        </w:rPr>
        <w:t xml:space="preserve">22.01%，说明其在抑制高频控制波动方面具有优势。该值略高于</w:t>
      </w:r>
      <w:r>
        <w:t xml:space="preserve"> TTC-RL-2 </w:t>
      </w:r>
      <w:r>
        <w:rPr>
          <w:rFonts w:hint="eastAsia"/>
        </w:rPr>
        <w:t xml:space="preserve">的</w:t>
      </w:r>
      <w:r>
        <w:t xml:space="preserve"> </w:t>
      </w:r>
      <w:r>
        <w:rPr>
          <w:rFonts w:hint="eastAsia"/>
        </w:rPr>
        <w:t xml:space="preserve">0.5617，表明</w:t>
      </w:r>
      <w:r>
        <w:t xml:space="preserve"> ET-PRL </w:t>
      </w:r>
      <w:r>
        <w:rPr>
          <w:rFonts w:hint="eastAsia"/>
        </w:rPr>
        <w:t xml:space="preserve">并非单纯最小化动作变化，而是在降低高频控制波动的同时保留了适度的动作调整。</w:t>
      </w:r>
    </w:p>
    <w:p>
      <w:pPr>
        <w:pStyle w:val="BodyText"/>
      </w:pPr>
      <w:r>
        <w:t xml:space="preserve">For execution quality, ET-PRL obtains an action smoothness value of</w:t>
      </w:r>
      <w:r>
        <w:t xml:space="preserve"> </w:t>
      </w:r>
      <m:oMath>
        <m:acc>
          <m:accPr>
            <m:chr m:val="‾"/>
          </m:accPr>
          <m:e>
            <m:r>
              <m:rPr>
                <m:sty m:val="p"/>
              </m:rPr>
              <m:t>Δ</m:t>
            </m:r>
            <m:r>
              <m:t>a</m:t>
            </m:r>
          </m:e>
        </m:acc>
        <m:r>
          <m:rPr>
            <m:sty m:val="p"/>
          </m:rPr>
          <m:t>=</m:t>
        </m:r>
        <m:r>
          <m:t>0.6014</m:t>
        </m:r>
      </m:oMath>
      <w:r>
        <w:t xml:space="preserve">, which is 25.76% lower than the 0.8101 of TTC-RL-1 and 22.01% lower than the 0.7711 of ST-ETC. This indicates that ET-PRL is more effective in suppressing high frequency control fluctuations. This value is slightly higher than the 0.5617 of TTC-RL-2, suggesting that ET-PRL does not simply minimize action variation but reduces high frequency control fluctuations while retaining a moderate level of action adjustment.</w:t>
      </w:r>
    </w:p>
    <w:p>
      <w:pPr>
        <w:pStyle w:val="BodyText"/>
      </w:pPr>
      <w:r>
        <w:rPr>
          <w:rFonts w:hint="eastAsia"/>
        </w:rPr>
        <w:t xml:space="preserve">在奖励指标方面，应区分累计收益与单位更新收益两个角度。ET-PRL</w:t>
      </w:r>
      <w:r>
        <w:t xml:space="preserve"> </w:t>
      </w:r>
      <w:r>
        <w:rPr>
          <w:rFonts w:hint="eastAsia"/>
        </w:rPr>
        <w:t xml:space="preserve">的总奖励</w:t>
      </w:r>
      <w:r>
        <w:t xml:space="preserve"> </w:t>
      </w:r>
      <m:oMath>
        <m:sSub>
          <m:e>
            <m:r>
              <m:t>R</m:t>
            </m:r>
          </m:e>
          <m:sub>
            <m:r>
              <m:rPr>
                <m:nor/>
                <m:sty m:val="p"/>
              </m:rPr>
              <m:t>test</m:t>
            </m:r>
          </m:sub>
        </m:sSub>
      </m:oMath>
      <w:r>
        <w:t xml:space="preserve"> </w:t>
      </w:r>
      <w:r>
        <w:rPr>
          <w:rFonts w:hint="eastAsia"/>
        </w:rPr>
        <w:t xml:space="preserve">为</w:t>
      </w:r>
      <w:r>
        <w:t xml:space="preserve"> </w:t>
      </w:r>
      <w:r>
        <w:rPr>
          <w:rFonts w:hint="eastAsia"/>
        </w:rPr>
        <w:t xml:space="preserve">1939.74，低于</w:t>
      </w:r>
      <w:r>
        <w:t xml:space="preserve"> TTC-RL-1 </w:t>
      </w:r>
      <w:r>
        <w:rPr>
          <w:rFonts w:hint="eastAsia"/>
        </w:rPr>
        <w:t xml:space="preserve">的</w:t>
      </w:r>
      <w:r>
        <w:t xml:space="preserve"> </w:t>
      </w:r>
      <w:r>
        <w:rPr>
          <w:rFonts w:hint="eastAsia"/>
        </w:rPr>
        <w:t xml:space="preserve">2054.63，对应</w:t>
      </w:r>
      <w:r>
        <w:t xml:space="preserve"> PPR </w:t>
      </w:r>
      <w:r>
        <w:rPr>
          <w:rFonts w:hint="eastAsia"/>
        </w:rPr>
        <w:t xml:space="preserve">为</w:t>
      </w:r>
      <w:r>
        <w:t xml:space="preserve"> </w:t>
      </w:r>
      <w:r>
        <w:rPr>
          <w:rFonts w:hint="eastAsia"/>
        </w:rPr>
        <w:t xml:space="preserve">94.41%；但其平均更新奖励</w:t>
      </w:r>
      <w:r>
        <w:t xml:space="preserve"> </w:t>
      </w:r>
      <m:oMath>
        <m:sSub>
          <m:e>
            <m:acc>
              <m:accPr>
                <m:chr m:val="‾"/>
              </m:accPr>
              <m:e>
                <m:r>
                  <m:t>R</m:t>
                </m:r>
              </m:e>
            </m:acc>
          </m:e>
          <m:sub>
            <m:r>
              <m:rPr>
                <m:nor/>
                <m:sty m:val="p"/>
              </m:rPr>
              <m:t>update</m:t>
            </m:r>
          </m:sub>
        </m:sSub>
      </m:oMath>
      <w:r>
        <w:t xml:space="preserve"> </w:t>
      </w:r>
      <w:r>
        <w:rPr>
          <w:rFonts w:hint="eastAsia"/>
        </w:rPr>
        <w:t xml:space="preserve">为</w:t>
      </w:r>
      <w:r>
        <w:t xml:space="preserve"> </w:t>
      </w:r>
      <w:r>
        <w:rPr>
          <w:rFonts w:hint="eastAsia"/>
        </w:rPr>
        <w:t xml:space="preserve">0.9481，为强化学习策略中最高，较</w:t>
      </w:r>
      <w:r>
        <w:t xml:space="preserve"> TTC-RL-1 </w:t>
      </w:r>
      <w:r>
        <w:rPr>
          <w:rFonts w:hint="eastAsia"/>
        </w:rPr>
        <w:t xml:space="preserve">的</w:t>
      </w:r>
      <w:r>
        <w:t xml:space="preserve"> 0.4665 </w:t>
      </w:r>
      <w:r>
        <w:rPr>
          <w:rFonts w:hint="eastAsia"/>
        </w:rPr>
        <w:t xml:space="preserve">提升约</w:t>
      </w:r>
      <w:r>
        <w:t xml:space="preserve"> </w:t>
      </w:r>
      <w:r>
        <w:rPr>
          <w:rFonts w:hint="eastAsia"/>
        </w:rPr>
        <w:t xml:space="preserve">103.24%，较</w:t>
      </w:r>
      <w:r>
        <w:t xml:space="preserve"> ST-ETC </w:t>
      </w:r>
      <w:r>
        <w:rPr>
          <w:rFonts w:hint="eastAsia"/>
        </w:rPr>
        <w:t xml:space="preserve">的</w:t>
      </w:r>
      <w:r>
        <w:t xml:space="preserve"> 0.5822 </w:t>
      </w:r>
      <w:r>
        <w:rPr>
          <w:rFonts w:hint="eastAsia"/>
        </w:rPr>
        <w:t xml:space="preserve">提升约</w:t>
      </w:r>
      <w:r>
        <w:t xml:space="preserve"> </w:t>
      </w:r>
      <w:r>
        <w:rPr>
          <w:rFonts w:hint="eastAsia"/>
        </w:rPr>
        <w:t xml:space="preserve">62.85%，也高于</w:t>
      </w:r>
      <w:r>
        <w:t xml:space="preserve"> TTC-RL-2 </w:t>
      </w:r>
      <w:r>
        <w:rPr>
          <w:rFonts w:hint="eastAsia"/>
        </w:rPr>
        <w:t xml:space="preserve">的</w:t>
      </w:r>
      <w:r>
        <w:t xml:space="preserve"> </w:t>
      </w:r>
      <w:r>
        <w:rPr>
          <w:rFonts w:hint="eastAsia"/>
        </w:rPr>
        <w:t xml:space="preserve">0.9186。该结果表明，ET-PRL</w:t>
      </w:r>
      <w:r>
        <w:t xml:space="preserve"> </w:t>
      </w:r>
      <w:r>
        <w:rPr>
          <w:rFonts w:hint="eastAsia"/>
        </w:rPr>
        <w:t xml:space="preserve">更有选择性地将有限的动作更新次数用于更值得更新的时刻，从而在保留大部分累计收益的同时提升单位更新效率，这与事件驱动控制追求按需高效干预的设计目标一致。</w:t>
      </w:r>
    </w:p>
    <w:p>
      <w:pPr>
        <w:pStyle w:val="BodyText"/>
      </w:pPr>
      <w:r>
        <w:t xml:space="preserve">For the reward metrics, cumulative return and return per update should be interpreted separately. ET-PRL obtains a cumulative test reward</w:t>
      </w:r>
      <w:r>
        <w:t xml:space="preserve"> </w:t>
      </w:r>
      <m:oMath>
        <m:sSub>
          <m:e>
            <m:r>
              <m:t>R</m:t>
            </m:r>
          </m:e>
          <m:sub>
            <m:r>
              <m:rPr>
                <m:nor/>
                <m:sty m:val="p"/>
              </m:rPr>
              <m:t>test</m:t>
            </m:r>
          </m:sub>
        </m:sSub>
      </m:oMath>
      <w:r>
        <w:t xml:space="preserve"> </w:t>
      </w:r>
      <w:r>
        <w:t xml:space="preserve">of 1939.74, which is lower than the 2054.63 of TTC-RL-1 and corresponds to a PPR of 94.41%. However, its average reward per update</w:t>
      </w:r>
      <w:r>
        <w:t xml:space="preserve"> </w:t>
      </w:r>
      <m:oMath>
        <m:sSub>
          <m:e>
            <m:acc>
              <m:accPr>
                <m:chr m:val="‾"/>
              </m:accPr>
              <m:e>
                <m:r>
                  <m:t>R</m:t>
                </m:r>
              </m:e>
            </m:acc>
          </m:e>
          <m:sub>
            <m:r>
              <m:rPr>
                <m:nor/>
                <m:sty m:val="p"/>
              </m:rPr>
              <m:t>update</m:t>
            </m:r>
          </m:sub>
        </m:sSub>
      </m:oMath>
      <w:r>
        <w:t xml:space="preserve"> </w:t>
      </w:r>
      <w:r>
        <w:t xml:space="preserve">reaches 0.9481, the highest value among the RL strategies. This represents an improvement of approximately 103.24% over the 0.4665 of TTC-RL-1 and approximately 62.85% over the 0.5822 of ST-ETC, and it also exceeds the 0.9186 of TTC-RL-2. These results suggest that ET-PRL uses its limited number of action updates more selectively at moments where updates are more useful, thereby improving update efficiency while retaining most of the cumulative reward, which is consistent with the design objective of event driven control for efficient intervention on demand.</w:t>
      </w:r>
    </w:p>
    <w:p>
      <w:pPr>
        <w:pStyle w:val="BodyText"/>
      </w:pPr>
      <w:r>
        <w:rPr>
          <w:rFonts w:hint="eastAsia"/>
        </w:rPr>
        <w:t xml:space="preserve">（2）冷冻水供水温度设定值策略行为分析</w:t>
      </w:r>
    </w:p>
    <w:p>
      <w:pPr>
        <w:pStyle w:val="BodyText"/>
      </w:pPr>
      <w:r>
        <w:t xml:space="preserve">Chilled Water Supply Temperature Setpoint Strategy Behavior Analysis</w:t>
      </w:r>
    </w:p>
    <w:p>
      <w:pPr>
        <w:pStyle w:val="BodyText"/>
      </w:pPr>
      <w:r>
        <w:rPr>
          <w:rFonts w:hint="eastAsia"/>
        </w:rPr>
        <w:t xml:space="preserve">为进一步分析不同触发机制是否改变了冷冻水供水温度设定值的选择偏好，图5比较了各策略在</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离散动作空间上的整体分布特征。需要说明的是，静态阈值策略</w:t>
      </w:r>
      <w:r>
        <w:t xml:space="preserve"> ST-ETC </w:t>
      </w:r>
      <w:r>
        <w:rPr>
          <w:rFonts w:hint="eastAsia"/>
        </w:rPr>
        <w:t xml:space="preserve">与</w:t>
      </w:r>
      <w:r>
        <w:t xml:space="preserve"> TTC-RL-1 </w:t>
      </w:r>
      <w:r>
        <w:rPr>
          <w:rFonts w:hint="eastAsia"/>
        </w:rPr>
        <w:t xml:space="preserve">的动作等效比率达到</w:t>
      </w:r>
      <w:r>
        <w:t xml:space="preserve"> </w:t>
      </w:r>
      <w:r>
        <w:rPr>
          <w:rFonts w:hint="eastAsia"/>
        </w:rPr>
        <w:t xml:space="preserve">99.2%，二者在大多数时刻选择的设定值几乎一致。这表明</w:t>
      </w:r>
      <w:r>
        <w:t xml:space="preserve"> ST-ETC </w:t>
      </w:r>
      <w:r>
        <w:rPr>
          <w:rFonts w:hint="eastAsia"/>
        </w:rPr>
        <w:t xml:space="preserve">的主要作用是降低</w:t>
      </w:r>
      <w:r>
        <w:t xml:space="preserve"> TTC-RL-1 </w:t>
      </w:r>
      <w:r>
        <w:rPr>
          <w:rFonts w:hint="eastAsia"/>
        </w:rPr>
        <w:t xml:space="preserve">的动作更新频率，而不是显著改变原始</w:t>
      </w:r>
      <w:r>
        <w:t xml:space="preserve"> Q </w:t>
      </w:r>
      <w:r>
        <w:rPr>
          <w:rFonts w:hint="eastAsia"/>
        </w:rPr>
        <w:t xml:space="preserve">网络的设定值选择偏好。因此，图5将</w:t>
      </w:r>
      <w:r>
        <w:t xml:space="preserve"> TTC-RL-1 </w:t>
      </w:r>
      <w:r>
        <w:rPr>
          <w:rFonts w:hint="eastAsia"/>
        </w:rPr>
        <w:t xml:space="preserve">与</w:t>
      </w:r>
      <w:r>
        <w:t xml:space="preserve"> ST-ETC </w:t>
      </w:r>
      <w:r>
        <w:rPr>
          <w:rFonts w:hint="eastAsia"/>
        </w:rPr>
        <w:t xml:space="preserve">的动作分布合并展示，并以此作为基准，用于突出</w:t>
      </w:r>
      <w:r>
        <w:t xml:space="preserve"> ET-PRL </w:t>
      </w:r>
      <w:r>
        <w:rPr>
          <w:rFonts w:hint="eastAsia"/>
        </w:rPr>
        <w:t xml:space="preserve">对动作选择分布的调整。</w:t>
      </w:r>
    </w:p>
    <w:p>
      <w:pPr>
        <w:pStyle w:val="BodyText"/>
      </w:pPr>
      <w:r>
        <w:t xml:space="preserve">To further examine whether different trigger mechanisms alter the preference for selecting the chilled water supply temperature setpoint, Figure 5 compares the overall action distributions of each strategy over the discrete action space of</w:t>
      </w:r>
      <w:r>
        <w:t xml:space="preserve"> </w:t>
      </w:r>
      <m:oMath>
        <m:sSub>
          <m:e>
            <m:r>
              <m:t>T</m:t>
            </m:r>
          </m:e>
          <m:sub>
            <m:r>
              <m:rPr>
                <m:sty m:val="p"/>
              </m:rPr>
              <m:t>c</m:t>
            </m:r>
            <m:r>
              <m:rPr>
                <m:sty m:val="p"/>
              </m:rPr>
              <m:t>h</m:t>
            </m:r>
            <m:r>
              <m:rPr>
                <m:sty m:val="p"/>
              </m:rPr>
              <m:t>w</m:t>
            </m:r>
            <m:r>
              <m:rPr>
                <m:sty m:val="p"/>
              </m:rPr>
              <m:t>s</m:t>
            </m:r>
          </m:sub>
        </m:sSub>
      </m:oMath>
      <w:r>
        <w:t xml:space="preserve">.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highlights how ET-PRL adjusts the action selection distribution.</w:t>
      </w:r>
    </w:p>
    <w:p>
      <w:pPr>
        <w:pStyle w:val="CaptionedFigure"/>
      </w:pPr>
      <w:r>
        <w:drawing>
          <wp:inline>
            <wp:extent cx="5334000" cy="2714831"/>
            <wp:effectExtent b="0" l="0" r="0" t="0"/>
            <wp:docPr descr="图5 ET-PRL、TTC-RL-1 与 ST-ETC 的 T_{\mathrm{chws}} 窗口分布对比（每个柱表示 10 小时窗口内动作比例） / Figure 5 Comparison of the T_{\mathrm{chws}} window distributions for ET-PRL, TTC-RL-1, and ST-ETC. Each bar represents the action proportion within a 10 h window" title="" id="32" name="Picture"/>
            <a:graphic>
              <a:graphicData uri="http://schemas.openxmlformats.org/drawingml/2006/picture">
                <pic:pic>
                  <pic:nvPicPr>
                    <pic:cNvPr descr="../pics/fig6_t_chws_macro_distribution.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2714831"/>
                    </a:xfrm>
                    <a:prstGeom prst="rect">
                      <a:avLst/>
                    </a:prstGeom>
                    <a:noFill/>
                    <a:ln w="9525">
                      <a:noFill/>
                      <a:headEnd/>
                      <a:tailEnd/>
                    </a:ln>
                  </pic:spPr>
                </pic:pic>
              </a:graphicData>
            </a:graphic>
          </wp:inline>
        </w:drawing>
      </w:r>
    </w:p>
    <w:p>
      <w:pPr>
        <w:pStyle w:val="ImageCaption"/>
      </w:pPr>
      <w:r>
        <w:rPr>
          <w:rFonts w:hint="eastAsia"/>
        </w:rPr>
        <w:t xml:space="preserve">图5</w:t>
      </w:r>
      <w:r>
        <w:t xml:space="preserve">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r>
        <w:t xml:space="preserve"> / Figure 5 Comparison of the</w:t>
      </w:r>
      <w:r>
        <w:t xml:space="preserve"> </w:t>
      </w:r>
      <m:oMath>
        <m:sSub>
          <m:e>
            <m:r>
              <m:t>T</m:t>
            </m:r>
          </m:e>
          <m:sub>
            <m:r>
              <m:rPr>
                <m:sty m:val="p"/>
              </m:rPr>
              <m:t>c</m:t>
            </m:r>
            <m:r>
              <m:rPr>
                <m:sty m:val="p"/>
              </m:rPr>
              <m:t>h</m:t>
            </m:r>
            <m:r>
              <m:rPr>
                <m:sty m:val="p"/>
              </m:rPr>
              <m:t>w</m:t>
            </m:r>
            <m:r>
              <m:rPr>
                <m:sty m:val="p"/>
              </m:rPr>
              <m:t>s</m:t>
            </m:r>
          </m:sub>
        </m:sSub>
      </m:oMath>
      <w:r>
        <w:t xml:space="preserve"> </w:t>
      </w:r>
      <w:r>
        <w:t xml:space="preserve">window distributions for ET-PRL, TTC-RL-1, and ST-ETC. Each bar represents the action proportion within a 10 h window</w:t>
      </w:r>
    </w:p>
    <w:p>
      <w:pPr>
        <w:pStyle w:val="BodyText"/>
      </w:pPr>
      <w:r>
        <w:rPr>
          <w:rFonts w:hint="eastAsia"/>
        </w:rPr>
        <w:t xml:space="preserve">图5显示，在</w:t>
      </w:r>
      <w:r>
        <w:t xml:space="preserve"> 0-50h </w:t>
      </w:r>
      <w:r>
        <w:rPr>
          <w:rFonts w:hint="eastAsia"/>
        </w:rPr>
        <w:t xml:space="preserve">与</w:t>
      </w:r>
      <w:r>
        <w:t xml:space="preserve"> 200-250h </w:t>
      </w:r>
      <w:r>
        <w:rPr>
          <w:rFonts w:hint="eastAsia"/>
        </w:rPr>
        <w:t xml:space="preserve">等典型低负荷时段，ET-PRL</w:t>
      </w:r>
      <w:r>
        <w:t xml:space="preserve"> </w:t>
      </w:r>
      <w:r>
        <w:rPr>
          <w:rFonts w:hint="eastAsia"/>
        </w:rPr>
        <w:t xml:space="preserve">选择</w:t>
      </w:r>
      <w:r>
        <w:t xml:space="preserve"> 15°C </w:t>
      </w:r>
      <w:r>
        <w:rPr>
          <w:rFonts w:hint="eastAsia"/>
        </w:rPr>
        <w:t xml:space="preserve">等高温设定点的比例明显增加。该行为与冷水机组变工况热力学特性一致：当建筑冷量需求较弱时，上调</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等效于提高蒸发温度，可降低压缩机压比并提升性能系数（COP），从而在不突破室内热舒适边界的前提下降低单位冷量耗电。需要指出的是，ST-ETC</w:t>
      </w:r>
      <w:r>
        <w:t xml:space="preserve"> </w:t>
      </w:r>
      <w:r>
        <w:rPr>
          <w:rFonts w:hint="eastAsia"/>
        </w:rPr>
        <w:t xml:space="preserve">与</w:t>
      </w:r>
      <w:r>
        <w:t xml:space="preserve"> ET-PRL </w:t>
      </w:r>
      <w:r>
        <w:rPr>
          <w:rFonts w:hint="eastAsia"/>
        </w:rPr>
        <w:t xml:space="preserve">复用同一</w:t>
      </w:r>
      <w:r>
        <w:t xml:space="preserve"> TTC-RL-1 </w:t>
      </w:r>
      <w:r>
        <w:rPr>
          <w:rFonts w:hint="eastAsia"/>
        </w:rPr>
        <w:t xml:space="preserve">训练后的</w:t>
      </w:r>
      <w:r>
        <w:t xml:space="preserve"> Q </w:t>
      </w:r>
      <w:r>
        <w:rPr>
          <w:rFonts w:hint="eastAsia"/>
        </w:rPr>
        <w:t xml:space="preserve">网络与同一状态输入，因此二者均具备基于预测特征的价值评估能力。两者差异主要来自门控层：ST-ETC</w:t>
      </w:r>
      <w:r>
        <w:t xml:space="preserve"> </w:t>
      </w:r>
      <w:r>
        <w:rPr>
          <w:rFonts w:hint="eastAsia"/>
        </w:rPr>
        <w:t xml:space="preserve">的静态阈值在跨时段分布漂移下更容易与当前工况不匹配，在非关键时刻产生误触发并缩短高效设定值的连续保持时长；ET-PRL</w:t>
      </w:r>
      <w:r>
        <w:t xml:space="preserve"> </w:t>
      </w:r>
      <w:r>
        <w:rPr>
          <w:rFonts w:hint="eastAsia"/>
        </w:rPr>
        <w:t xml:space="preserve">的流式双层动态阈值可在线校正触发边界，过滤高频噪声触发，使高温设定值能够连续保持更长时间，从而使动作选择分布发生更明显的调整。</w:t>
      </w:r>
    </w:p>
    <w:p>
      <w:pPr>
        <w:pStyle w:val="BodyText"/>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w:t>
      </w:r>
      <w:r>
        <w:t xml:space="preserve"> </w:t>
      </w:r>
      <m:oMath>
        <m:sSub>
          <m:e>
            <m:r>
              <m:t>T</m:t>
            </m:r>
          </m:e>
          <m:sub>
            <m:r>
              <m:rPr>
                <m:sty m:val="p"/>
              </m:rPr>
              <m:t>c</m:t>
            </m:r>
            <m:r>
              <m:rPr>
                <m:sty m:val="p"/>
              </m:rPr>
              <m:t>h</m:t>
            </m:r>
            <m:r>
              <m:rPr>
                <m:sty m:val="p"/>
              </m:rPr>
              <m:t>w</m:t>
            </m:r>
            <m:r>
              <m:rPr>
                <m:sty m:val="p"/>
              </m:rPr>
              <m:t>s</m:t>
            </m:r>
          </m:sub>
        </m:sSub>
      </m:oMath>
      <w:r>
        <w:t xml:space="preserve"> </w:t>
      </w:r>
      <w:r>
        <w:t xml:space="preserve">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pPr>
        <w:pStyle w:val="BodyText"/>
      </w:pPr>
      <w:r>
        <w:rPr>
          <w:rFonts w:hint="eastAsia"/>
        </w:rPr>
        <w:t xml:space="preserve">为进一步解释上述动作选择分布为什么会发生变化，仅观察整体窗口分布仍然不足。一方面，需要在典型时序片段中考察不同策略在负荷变化过程中的设定值保持与更新行为；另一方面，也需要从全样本尺度统计事件触发策略相对</w:t>
      </w:r>
      <w:r>
        <w:t xml:space="preserve"> TTC-RL-1 </w:t>
      </w:r>
      <w:r>
        <w:rPr>
          <w:rFonts w:hint="eastAsia"/>
        </w:rPr>
        <w:t xml:space="preserve">的动作偏离程度，以判断其是否真正形成了区别于基线策略的设定值调整。基于此，图6从局部轨迹响应与全局差值频次两个角度进一步分析</w:t>
      </w:r>
      <w:r>
        <w:t xml:space="preserve"> ET-PRL </w:t>
      </w:r>
      <w:r>
        <w:rPr>
          <w:rFonts w:hint="eastAsia"/>
        </w:rPr>
        <w:t xml:space="preserve">的触发行为特征。</w:t>
      </w:r>
    </w:p>
    <w:p>
      <w:pPr>
        <w:pStyle w:val="BodyText"/>
      </w:pPr>
      <w:r>
        <w:t xml:space="preserve">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pPr>
        <w:pStyle w:val="CaptionedFigure"/>
      </w:pPr>
      <w:r>
        <w:drawing>
          <wp:inline>
            <wp:extent cx="5334000" cy="2026919"/>
            <wp:effectExtent b="0" l="0" r="0" t="0"/>
            <wp:docPr descr="图6 事件触发局部响应与全局差值频次统计：面板(a)为 65h-85h 窗口内冷负荷与绝对设定值轨迹，面板(b)为 ST-ETC 与 ET-PRL 相对 TTC-RL-1 的 \Delta T_{\mathrm{chws}} 对数频次分布 / 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title="" id="35" name="Picture"/>
            <a:graphic>
              <a:graphicData uri="http://schemas.openxmlformats.org/drawingml/2006/picture">
                <pic:pic>
                  <pic:nvPicPr>
                    <pic:cNvPr descr="../pics/fig7_t_chws_delta_analysis.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334000" cy="2026919"/>
                    </a:xfrm>
                    <a:prstGeom prst="rect">
                      <a:avLst/>
                    </a:prstGeom>
                    <a:noFill/>
                    <a:ln w="9525">
                      <a:noFill/>
                      <a:headEnd/>
                      <a:tailEnd/>
                    </a:ln>
                  </pic:spPr>
                </pic:pic>
              </a:graphicData>
            </a:graphic>
          </wp:inline>
        </w:drawing>
      </w:r>
    </w:p>
    <w:p>
      <w:pPr>
        <w:pStyle w:val="ImageCaption"/>
      </w:pPr>
      <w:r>
        <w:rPr>
          <w:rFonts w:hint="eastAsia"/>
        </w:rPr>
        <w:t xml:space="preserve">图6</w:t>
      </w:r>
      <w:r>
        <w:t xml:space="preserve"> </w:t>
      </w:r>
      <w:r>
        <w:rPr>
          <w:rFonts w:hint="eastAsia"/>
        </w:rPr>
        <w:t xml:space="preserve">事件触发局部响应与全局差值频次统计：面板(a)为</w:t>
      </w:r>
      <w:r>
        <w:t xml:space="preserve"> 65h-85h </w:t>
      </w:r>
      <w:r>
        <w:rPr>
          <w:rFonts w:hint="eastAsia"/>
        </w:rPr>
        <w:t xml:space="preserve">窗口内冷负荷与绝对设定值轨迹，面板(b)为</w:t>
      </w:r>
      <w:r>
        <w:t xml:space="preserve"> ST-ETC </w:t>
      </w:r>
      <w:r>
        <w:rPr>
          <w:rFonts w:hint="eastAsia"/>
        </w:rPr>
        <w:t xml:space="preserve">与</w:t>
      </w:r>
      <w:r>
        <w:t xml:space="preserve"> ET-PRL </w:t>
      </w:r>
      <w:r>
        <w:rPr>
          <w:rFonts w:hint="eastAsia"/>
        </w:rPr>
        <w:t xml:space="preserve">相对</w:t>
      </w:r>
      <w:r>
        <w:t xml:space="preserve"> TTC-RL-1 </w:t>
      </w:r>
      <w:r>
        <w:rPr>
          <w:rFonts w:hint="eastAsia"/>
        </w:rPr>
        <w:t xml:space="preserve">的</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rPr>
          <w:rFonts w:hint="eastAsia"/>
        </w:rPr>
        <w:t xml:space="preserve">对数频次分布</w:t>
      </w:r>
      <w:r>
        <w:t xml:space="preserve"> / Figure 6 Local event triggered response and global difference frequency statistics. Panel a shows the cooling load and absolute setpoint trajectories from 65 h to 85 h, and panel b shows the logarithmic frequency distributions of</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t xml:space="preserve">for ST-ETC and ET-PRL relative to TTC-RL-1</w:t>
      </w:r>
    </w:p>
    <w:p>
      <w:pPr>
        <w:pStyle w:val="BodyText"/>
      </w:pPr>
      <w:r>
        <w:rPr>
          <w:rFonts w:hint="eastAsia"/>
        </w:rPr>
        <w:t xml:space="preserve">在局部轨迹层面，图6(a)</w:t>
      </w:r>
      <w:r>
        <w:t xml:space="preserve"> </w:t>
      </w:r>
      <w:r>
        <w:rPr>
          <w:rFonts w:hint="eastAsia"/>
        </w:rPr>
        <w:t xml:space="preserve">选取</w:t>
      </w:r>
      <w:r>
        <w:t xml:space="preserve"> 65h-85h </w:t>
      </w:r>
      <w:r>
        <w:rPr>
          <w:rFonts w:hint="eastAsia"/>
        </w:rPr>
        <w:t xml:space="preserve">典型窗口，显示</w:t>
      </w:r>
      <w:r>
        <w:t xml:space="preserve"> ET-PRL </w:t>
      </w:r>
      <w:r>
        <w:rPr>
          <w:rFonts w:hint="eastAsia"/>
        </w:rPr>
        <w:t xml:space="preserve">呈现更长周期的阶梯保持，仅在关键扰动出现时更新设定值；TTC-RL-1</w:t>
      </w:r>
      <w:r>
        <w:t xml:space="preserve"> </w:t>
      </w:r>
      <w:r>
        <w:rPr>
          <w:rFonts w:hint="eastAsia"/>
        </w:rPr>
        <w:t xml:space="preserve">则维持高频时间触发更新。在使用同一训练后的</w:t>
      </w:r>
      <w:r>
        <w:t xml:space="preserve"> Q </w:t>
      </w:r>
      <w:r>
        <w:rPr>
          <w:rFonts w:hint="eastAsia"/>
        </w:rPr>
        <w:t xml:space="preserve">网络的前提下，该差异主要来自触发时机质量：ST-ETC</w:t>
      </w:r>
      <w:r>
        <w:t xml:space="preserve"> </w:t>
      </w:r>
      <w:r>
        <w:rPr>
          <w:rFonts w:hint="eastAsia"/>
        </w:rPr>
        <w:t xml:space="preserve">受静态边界约束，更易在边界附近误触发，使控制序列频繁切换并更接近基线策略的保守输出；ET-PRL</w:t>
      </w:r>
      <w:r>
        <w:t xml:space="preserve"> </w:t>
      </w:r>
      <w:r>
        <w:rPr>
          <w:rFonts w:hint="eastAsia"/>
        </w:rPr>
        <w:t xml:space="preserve">通过双层动态阈值与最小触发间隔抑制噪声驱动更新，使预测型</w:t>
      </w:r>
      <w:r>
        <w:t xml:space="preserve"> Q </w:t>
      </w:r>
      <w:r>
        <w:rPr>
          <w:rFonts w:hint="eastAsia"/>
        </w:rPr>
        <w:t xml:space="preserve">网络能够在低负荷窗口较长时间保持高效设定值。</w:t>
      </w:r>
    </w:p>
    <w:p>
      <w:pPr>
        <w:pStyle w:val="BodyText"/>
      </w:pPr>
      <w:r>
        <w:t xml:space="preserve">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trigger timing quality. ST-ETC is constrained by a static boundary and is therefore more likely to trigger falsely near the boundary, which causes frequent switching and drives the output closer to conservative actions of the baseline. ET-PRL suppresses noise driven updates through the two layer dynamic threshold and the minimum trigger interval, which allows the predictive Q network to keep efficient setpoints for longer periods during low load windows.</w:t>
      </w:r>
    </w:p>
    <w:p>
      <w:pPr>
        <w:pStyle w:val="BodyText"/>
      </w:pPr>
      <w:r>
        <w:rPr>
          <w:rFonts w:hint="eastAsia"/>
        </w:rPr>
        <w:t xml:space="preserve">在全局差值统计层面，图6(b)</w:t>
      </w:r>
      <w:r>
        <w:t xml:space="preserve"> </w:t>
      </w:r>
      <w:r>
        <w:rPr>
          <w:rFonts w:hint="eastAsia"/>
        </w:rPr>
        <w:t xml:space="preserve">显示</w:t>
      </w:r>
      <w:r>
        <w:t xml:space="preserve"> ST-ETC </w:t>
      </w:r>
      <w:r>
        <w:rPr>
          <w:rFonts w:hint="eastAsia"/>
        </w:rPr>
        <w:t xml:space="preserve">相对</w:t>
      </w:r>
      <w:r>
        <w:t xml:space="preserve"> TTC-RL-1 </w:t>
      </w:r>
      <w:r>
        <w:rPr>
          <w:rFonts w:hint="eastAsia"/>
        </w:rPr>
        <w:t xml:space="preserve">的非零差值占比仅为</w:t>
      </w:r>
      <w:r>
        <w:t xml:space="preserve"> </w:t>
      </w:r>
      <w:r>
        <w:rPr>
          <w:rFonts w:hint="eastAsia"/>
        </w:rPr>
        <w:t xml:space="preserve">0.82%，而</w:t>
      </w:r>
      <w:r>
        <w:t xml:space="preserve"> ET-PRL </w:t>
      </w:r>
      <w:r>
        <w:rPr>
          <w:rFonts w:hint="eastAsia"/>
        </w:rPr>
        <w:t xml:space="preserve">的非零差值占比为</w:t>
      </w:r>
      <w:r>
        <w:t xml:space="preserve"> </w:t>
      </w:r>
      <w:r>
        <w:rPr>
          <w:rFonts w:hint="eastAsia"/>
        </w:rPr>
        <w:t xml:space="preserve">14.12%；对应全样本差值方差分别为</w:t>
      </w:r>
      <w:r>
        <w:t xml:space="preserve"> </w:t>
      </w:r>
      <m:oMath>
        <m:r>
          <m:t>0.446</m:t>
        </m:r>
      </m:oMath>
      <w:r>
        <w:t xml:space="preserve"> </w:t>
      </w:r>
      <w:r>
        <w:rPr>
          <w:rFonts w:hint="eastAsia"/>
        </w:rPr>
        <w:t xml:space="preserve">与</w:t>
      </w:r>
      <w:r>
        <w:t xml:space="preserve"> </w:t>
      </w:r>
      <m:oMath>
        <m:r>
          <m:t>5.879</m:t>
        </m:r>
      </m:oMath>
      <w:r>
        <w:rPr>
          <w:rFonts w:hint="eastAsia"/>
        </w:rPr>
        <w:t xml:space="preserve">。这表明</w:t>
      </w:r>
      <w:r>
        <w:t xml:space="preserve"> ST-ETC </w:t>
      </w:r>
      <w:r>
        <w:rPr>
          <w:rFonts w:hint="eastAsia"/>
        </w:rPr>
        <w:t xml:space="preserve">的动作输出仍高度接近基线策略，难以形成实质性的温度设定优化；ET-PRL</w:t>
      </w:r>
      <w:r>
        <w:t xml:space="preserve"> </w:t>
      </w:r>
      <w:r>
        <w:rPr>
          <w:rFonts w:hint="eastAsia"/>
        </w:rPr>
        <w:t xml:space="preserve">则在保持稀疏执行的同时实现了更明显的动作选择调整。</w:t>
      </w:r>
    </w:p>
    <w:p>
      <w:pPr>
        <w:pStyle w:val="BodyText"/>
      </w:pPr>
      <w:r>
        <w:t xml:space="preserve">At the global difference level, panel b of Figure 6 shows that the proportion of nonzero differences between ST-ETC and TTC-RL-1 is only 0.82%, whereas the corresponding proportion for ET-PRL is 14.12%. The full sample variances of the differences are</w:t>
      </w:r>
      <w:r>
        <w:t xml:space="preserve"> </w:t>
      </w:r>
      <m:oMath>
        <m:r>
          <m:t>0.446</m:t>
        </m:r>
      </m:oMath>
      <w:r>
        <w:t xml:space="preserve"> </w:t>
      </w:r>
      <w:r>
        <w:t xml:space="preserve">and</w:t>
      </w:r>
      <w:r>
        <w:t xml:space="preserve"> </w:t>
      </w:r>
      <m:oMath>
        <m:r>
          <m:t>5.879</m:t>
        </m:r>
      </m:oMath>
      <w:r>
        <w:t xml:space="preserve">, respectively. This indicates that the action outputs of ST-ETC remain very close to the baseline strategy and are insufficient to produce substantive temperature setpoint optimization. In contrast, ET-PRL achieves clearer action selection adjustment while preserving sparse execution.</w:t>
      </w:r>
    </w:p>
    <w:p>
      <w:pPr>
        <w:pStyle w:val="BodyText"/>
      </w:pPr>
      <w:r>
        <w:rPr>
          <w:rFonts w:hint="eastAsia"/>
        </w:rPr>
        <w:t xml:space="preserve">（3）事件触发的控制稀疏性与时序动态分析</w:t>
      </w:r>
      <w:r>
        <w:t xml:space="preserve"> / Event Triggered Control Sparsity and Temporal Dynamics Analysis</w:t>
      </w:r>
    </w:p>
    <w:p>
      <w:pPr>
        <w:pStyle w:val="BodyText"/>
      </w:pPr>
      <w:r>
        <w:rPr>
          <w:rFonts w:hint="eastAsia"/>
        </w:rPr>
        <w:t xml:space="preserve">上述结果表明，ET-PRL</w:t>
      </w:r>
      <w:r>
        <w:t xml:space="preserve"> </w:t>
      </w:r>
      <w:r>
        <w:rPr>
          <w:rFonts w:hint="eastAsia"/>
        </w:rPr>
        <w:t xml:space="preserve">不仅降低了动作更新频率，还改变了冷冻水供水温度设定值在动作空间中的分布。为进一步刻画控制稀疏性的时间结构与系统动态响应，本节基于前文定义的触发间隔与动作保持长度，对</w:t>
      </w:r>
      <w:r>
        <w:t xml:space="preserve"> ET-PRL、ST-ETC </w:t>
      </w:r>
      <w:r>
        <w:rPr>
          <w:rFonts w:hint="eastAsia"/>
        </w:rPr>
        <w:t xml:space="preserve">与</w:t>
      </w:r>
      <w:r>
        <w:t xml:space="preserve"> TTC-RL-1 </w:t>
      </w:r>
      <w:r>
        <w:rPr>
          <w:rFonts w:hint="eastAsia"/>
        </w:rPr>
        <w:t xml:space="preserve">进行横向比较。其中，触发间隔反映门控层的实际触发稀疏性，动作保持长度反映执行层的设定值稳定性。由于事件触发机制被激活后，策略网络仍可能输出与上一时刻一致的最优设定值，因此在实际运行轨迹中，动作保持长度通常大于或等于触发间隔。</w:t>
      </w:r>
    </w:p>
    <w:p>
      <w:pPr>
        <w:pStyle w:val="BodyText"/>
      </w:pPr>
      <w:r>
        <w:t xml:space="preserve">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p>
      <w:pPr>
        <w:pStyle w:val="BodyText"/>
      </w:pPr>
      <w:r>
        <w:rPr>
          <w:rFonts w:hint="eastAsia"/>
        </w:rPr>
        <w:t xml:space="preserve">基于上述指标统计可得，ET-PRL</w:t>
      </w:r>
      <w:r>
        <w:t xml:space="preserve"> </w:t>
      </w:r>
      <w:r>
        <w:rPr>
          <w:rFonts w:hint="eastAsia"/>
        </w:rPr>
        <w:t xml:space="preserve">的触发间隔均值为</w:t>
      </w:r>
      <w:r>
        <w:t xml:space="preserve"> 2.117 </w:t>
      </w:r>
      <w:r>
        <w:rPr>
          <w:rFonts w:hint="eastAsia"/>
        </w:rPr>
        <w:t xml:space="preserve">步，显著高于</w:t>
      </w:r>
      <w:r>
        <w:t xml:space="preserve"> ST-ETC </w:t>
      </w:r>
      <w:r>
        <w:rPr>
          <w:rFonts w:hint="eastAsia"/>
        </w:rPr>
        <w:t xml:space="preserve">的</w:t>
      </w:r>
      <w:r>
        <w:t xml:space="preserve"> 1.249 </w:t>
      </w:r>
      <w:r>
        <w:rPr>
          <w:rFonts w:hint="eastAsia"/>
        </w:rPr>
        <w:t xml:space="preserve">步与</w:t>
      </w:r>
      <w:r>
        <w:t xml:space="preserve"> TTC-RL-1 </w:t>
      </w:r>
      <w:r>
        <w:rPr>
          <w:rFonts w:hint="eastAsia"/>
        </w:rPr>
        <w:t xml:space="preserve">的</w:t>
      </w:r>
      <w:r>
        <w:t xml:space="preserve"> 1.000 </w:t>
      </w:r>
      <w:r>
        <w:rPr>
          <w:rFonts w:hint="eastAsia"/>
        </w:rPr>
        <w:t xml:space="preserve">步；按自然日聚合统计的日均触发次数分别为</w:t>
      </w:r>
      <w:r>
        <w:t xml:space="preserve"> 127.88 </w:t>
      </w:r>
      <w:r>
        <w:rPr>
          <w:rFonts w:hint="eastAsia"/>
        </w:rPr>
        <w:t xml:space="preserve">次、220.31</w:t>
      </w:r>
      <w:r>
        <w:t xml:space="preserve"> </w:t>
      </w:r>
      <w:r>
        <w:rPr>
          <w:rFonts w:hint="eastAsia"/>
        </w:rPr>
        <w:t xml:space="preserve">次与</w:t>
      </w:r>
      <w:r>
        <w:t xml:space="preserve"> 275.25 </w:t>
      </w:r>
      <w:r>
        <w:rPr>
          <w:rFonts w:hint="eastAsia"/>
        </w:rPr>
        <w:t xml:space="preserve">次。在动作保持长度方面，ET-PRL</w:t>
      </w:r>
      <w:r>
        <w:t xml:space="preserve"> </w:t>
      </w:r>
      <w:r>
        <w:rPr>
          <w:rFonts w:hint="eastAsia"/>
        </w:rPr>
        <w:t xml:space="preserve">的均值为</w:t>
      </w:r>
      <w:r>
        <w:t xml:space="preserve"> 11.56 </w:t>
      </w:r>
      <w:r>
        <w:rPr>
          <w:rFonts w:hint="eastAsia"/>
        </w:rPr>
        <w:t xml:space="preserve">步，同样高于</w:t>
      </w:r>
      <w:r>
        <w:t xml:space="preserve"> ST-ETC </w:t>
      </w:r>
      <w:r>
        <w:rPr>
          <w:rFonts w:hint="eastAsia"/>
        </w:rPr>
        <w:t xml:space="preserve">的</w:t>
      </w:r>
      <w:r>
        <w:t xml:space="preserve"> 7.89 </w:t>
      </w:r>
      <w:r>
        <w:rPr>
          <w:rFonts w:hint="eastAsia"/>
        </w:rPr>
        <w:t xml:space="preserve">步与</w:t>
      </w:r>
      <w:r>
        <w:t xml:space="preserve"> TTC-RL-1 </w:t>
      </w:r>
      <w:r>
        <w:rPr>
          <w:rFonts w:hint="eastAsia"/>
        </w:rPr>
        <w:t xml:space="preserve">的</w:t>
      </w:r>
      <w:r>
        <w:t xml:space="preserve"> 7.57 </w:t>
      </w:r>
      <w:r>
        <w:rPr>
          <w:rFonts w:hint="eastAsia"/>
        </w:rPr>
        <w:t xml:space="preserve">步；其统计分布呈现显著长尾特征，第</w:t>
      </w:r>
      <w:r>
        <w:t xml:space="preserve"> 95 </w:t>
      </w:r>
      <w:r>
        <w:rPr>
          <w:rFonts w:hint="eastAsia"/>
        </w:rPr>
        <w:t xml:space="preserve">百分位数</w:t>
      </w:r>
      <w:r>
        <w:t xml:space="preserve"> </w:t>
      </w:r>
      <m:oMath>
        <m:sSub>
          <m:e>
            <m:r>
              <m:t>P</m:t>
            </m:r>
          </m:e>
          <m:sub>
            <m:r>
              <m:t>95</m:t>
            </m:r>
          </m:sub>
        </m:sSub>
      </m:oMath>
      <w:r>
        <w:t xml:space="preserve"> </w:t>
      </w:r>
      <w:r>
        <w:rPr>
          <w:rFonts w:hint="eastAsia"/>
        </w:rPr>
        <w:t xml:space="preserve">达到</w:t>
      </w:r>
      <w:r>
        <w:t xml:space="preserve"> 57.0 </w:t>
      </w:r>
      <w:r>
        <w:rPr>
          <w:rFonts w:hint="eastAsia"/>
        </w:rPr>
        <w:t xml:space="preserve">步，即约</w:t>
      </w:r>
      <w:r>
        <w:t xml:space="preserve"> 4.75 </w:t>
      </w:r>
      <w:r>
        <w:rPr>
          <w:rFonts w:hint="eastAsia"/>
        </w:rPr>
        <w:t xml:space="preserve">小时，而</w:t>
      </w:r>
      <w:r>
        <w:t xml:space="preserve"> ST-ETC </w:t>
      </w:r>
      <w:r>
        <w:rPr>
          <w:rFonts w:hint="eastAsia"/>
        </w:rPr>
        <w:t xml:space="preserve">与</w:t>
      </w:r>
      <w:r>
        <w:t xml:space="preserve"> TTC-RL-1 </w:t>
      </w:r>
      <w:r>
        <w:rPr>
          <w:rFonts w:hint="eastAsia"/>
        </w:rPr>
        <w:t xml:space="preserve">的对应值仅为</w:t>
      </w:r>
      <w:r>
        <w:t xml:space="preserve"> 43.3 </w:t>
      </w:r>
      <w:r>
        <w:rPr>
          <w:rFonts w:hint="eastAsia"/>
        </w:rPr>
        <w:t xml:space="preserve">步与</w:t>
      </w:r>
      <w:r>
        <w:t xml:space="preserve"> 42.9 </w:t>
      </w:r>
      <w:r>
        <w:rPr>
          <w:rFonts w:hint="eastAsia"/>
        </w:rPr>
        <w:t xml:space="preserve">步。上述结果表明，动态阈值门控机制更善于在平稳时段持续减少不必要的控制更新。</w:t>
      </w:r>
    </w:p>
    <w:p>
      <w:pPr>
        <w:pStyle w:val="BodyText"/>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w:t>
      </w:r>
      <w:r>
        <w:t xml:space="preserve"> </w:t>
      </w:r>
      <m:oMath>
        <m:sSub>
          <m:e>
            <m:r>
              <m:t>P</m:t>
            </m:r>
          </m:e>
          <m:sub>
            <m:r>
              <m:t>95</m:t>
            </m:r>
          </m:sub>
        </m:sSub>
      </m:oMath>
      <w:r>
        <w:t xml:space="preserve"> </w:t>
      </w:r>
      <w:r>
        <w:t xml:space="preserve">reaching 57.0 steps, or about 4.75 h, whereas the corresponding values for ST-ETC and TTC-RL-1 are only 43.3 and 42.9 steps. These results indicate that the dynamic threshold gating mechanism is better able to reduce unnecessary control updates during stable periods.</w:t>
      </w:r>
    </w:p>
    <w:p>
      <w:pPr>
        <w:pStyle w:val="BodyText"/>
      </w:pPr>
      <w:r>
        <w:rPr>
          <w:rFonts w:hint="eastAsia"/>
        </w:rPr>
        <w:t xml:space="preserve">为进一步展示上述触发间隔差异的分布形态，图7给出了不同控制策略下的动作更新间隔分布。主图展示了</w:t>
      </w:r>
      <w:r>
        <w:t xml:space="preserve"> TTC-RL-1、ST-ETC </w:t>
      </w:r>
      <w:r>
        <w:rPr>
          <w:rFonts w:hint="eastAsia"/>
        </w:rPr>
        <w:t xml:space="preserve">与</w:t>
      </w:r>
      <w:r>
        <w:t xml:space="preserve"> ET-PRL </w:t>
      </w:r>
      <w:r>
        <w:rPr>
          <w:rFonts w:hint="eastAsia"/>
        </w:rPr>
        <w:t xml:space="preserve">在不同更新间隔分箱中的占比，插图进一步放大了间隔</w:t>
      </w:r>
      <w:r>
        <w:t xml:space="preserve"> </w:t>
      </w:r>
      <m:oMath>
        <m:r>
          <m:rPr>
            <m:sty m:val="p"/>
          </m:rPr>
          <m:t>≥</m:t>
        </m:r>
        <m:r>
          <m:t>4</m:t>
        </m:r>
      </m:oMath>
      <w:r>
        <w:t xml:space="preserve"> </w:t>
      </w:r>
      <w:r>
        <w:rPr>
          <w:rFonts w:hint="eastAsia"/>
        </w:rPr>
        <w:t xml:space="preserve">步的长尾区间。可以看出，TTC-RL-1</w:t>
      </w:r>
      <w:r>
        <w:t xml:space="preserve"> </w:t>
      </w:r>
      <w:r>
        <w:rPr>
          <w:rFonts w:hint="eastAsia"/>
        </w:rPr>
        <w:t xml:space="preserve">由于按固定时间步更新，其间隔集中在</w:t>
      </w:r>
      <w:r>
        <w:t xml:space="preserve"> 1 </w:t>
      </w:r>
      <w:r>
        <w:rPr>
          <w:rFonts w:hint="eastAsia"/>
        </w:rPr>
        <w:t xml:space="preserve">步；ST-ETC</w:t>
      </w:r>
      <w:r>
        <w:t xml:space="preserve"> </w:t>
      </w:r>
      <w:r>
        <w:rPr>
          <w:rFonts w:hint="eastAsia"/>
        </w:rPr>
        <w:t xml:space="preserve">的更新间隔主要分布在短间隔区间；相比之下，ET-PRL</w:t>
      </w:r>
      <w:r>
        <w:t xml:space="preserve"> </w:t>
      </w:r>
      <w:r>
        <w:rPr>
          <w:rFonts w:hint="eastAsia"/>
        </w:rPr>
        <w:t xml:space="preserve">呈现更明显的长尾分布，最大触发间隔达到</w:t>
      </w:r>
      <w:r>
        <w:t xml:space="preserve"> 74 </w:t>
      </w:r>
      <w:r>
        <w:rPr>
          <w:rFonts w:hint="eastAsia"/>
        </w:rPr>
        <w:t xml:space="preserve">步，表明动态事件门控机制能够在低扰动时段更长时间地保持设定值不变。</w:t>
      </w:r>
    </w:p>
    <w:p>
      <w:pPr>
        <w:pStyle w:val="BodyText"/>
      </w:pPr>
      <w:r>
        <w:t xml:space="preserve">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the dynamic event gating mechanism can keep the setpoint unchanged for longer periods under low disturbance conditions.</w:t>
      </w:r>
    </w:p>
    <w:p>
      <w:pPr>
        <w:pStyle w:val="CaptionedFigure"/>
      </w:pPr>
      <w:r>
        <w:drawing>
          <wp:inline>
            <wp:extent cx="5334000" cy="3579627"/>
            <wp:effectExtent b="0" l="0" r="0" t="0"/>
            <wp:docPr descr="图7 不同控制策略下动作更新间隔分布（主图为离散类别分箱占比，插图为长尾区间放大） / Figure 7 Distribution of action update intervals under different control strategies. The main panel shows the share of each discrete bin, and the inset enlarges the long tail region" title="" id="38" name="Picture"/>
            <a:graphic>
              <a:graphicData uri="http://schemas.openxmlformats.org/drawingml/2006/picture">
                <pic:pic>
                  <pic:nvPicPr>
                    <pic:cNvPr descr="../pics/fig8_action_update_interval_distribution.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334000" cy="3579627"/>
                    </a:xfrm>
                    <a:prstGeom prst="rect">
                      <a:avLst/>
                    </a:prstGeom>
                    <a:noFill/>
                    <a:ln w="9525">
                      <a:noFill/>
                      <a:headEnd/>
                      <a:tailEnd/>
                    </a:ln>
                  </pic:spPr>
                </pic:pic>
              </a:graphicData>
            </a:graphic>
          </wp:inline>
        </w:drawing>
      </w:r>
    </w:p>
    <w:p>
      <w:pPr>
        <w:pStyle w:val="ImageCaption"/>
      </w:pPr>
      <w:r>
        <w:rPr>
          <w:rFonts w:hint="eastAsia"/>
        </w:rPr>
        <w:t xml:space="preserve">图7</w:t>
      </w:r>
      <w:r>
        <w:t xml:space="preserve"> </w:t>
      </w:r>
      <w:r>
        <w:rPr>
          <w:rFonts w:hint="eastAsia"/>
        </w:rPr>
        <w:t xml:space="preserve">不同控制策略下动作更新间隔分布（主图为离散类别分箱占比，插图为长尾区间放大）</w:t>
      </w:r>
      <w:r>
        <w:t xml:space="preserve"> / Figure 7 Distribution of action update intervals under different control strategies. The main panel shows the share of each discrete bin, and the inset enlarges the long tail region</w:t>
      </w:r>
    </w:p>
    <w:p>
      <w:pPr>
        <w:pStyle w:val="BodyText"/>
      </w:pPr>
      <w:r>
        <w:rPr>
          <w:rFonts w:hint="eastAsia"/>
        </w:rPr>
        <w:t xml:space="preserve">进一步从动作保持长度看，若将其视为执行机构连续保持同一设定值的时间，其最大值可达</w:t>
      </w:r>
      <w:r>
        <w:t xml:space="preserve"> 193 </w:t>
      </w:r>
      <w:r>
        <w:rPr>
          <w:rFonts w:hint="eastAsia"/>
        </w:rPr>
        <w:t xml:space="preserve">步，即约</w:t>
      </w:r>
      <w:r>
        <w:t xml:space="preserve"> 16.08 </w:t>
      </w:r>
      <w:r>
        <w:rPr>
          <w:rFonts w:hint="eastAsia"/>
        </w:rPr>
        <w:t xml:space="preserve">小时。需要强调的是，此类超长保持现象并非源于控制器响应失效，而是智能体在冷负荷和室外热环境变化较弱时主动保持控制动作不变。深入分析最长保持时间段内的系统状态可见，仅有</w:t>
      </w:r>
      <w:r>
        <w:t xml:space="preserve"> 8.81% </w:t>
      </w:r>
      <w:r>
        <w:rPr>
          <w:rFonts w:hint="eastAsia"/>
        </w:rPr>
        <w:t xml:space="preserve">的样本落入冷负荷变化量绝对值的高变化区，即变化量大于整体样本的第</w:t>
      </w:r>
      <w:r>
        <w:t xml:space="preserve"> 85 </w:t>
      </w:r>
      <w:r>
        <w:rPr>
          <w:rFonts w:hint="eastAsia"/>
        </w:rPr>
        <w:t xml:space="preserve">百分位数</w:t>
      </w:r>
      <w:r>
        <w:t xml:space="preserve"> </w:t>
      </w:r>
      <m:oMath>
        <m:sSub>
          <m:e>
            <m:r>
              <m:t>q</m:t>
            </m:r>
          </m:e>
          <m:sub>
            <m:r>
              <m:t>85</m:t>
            </m:r>
          </m:sub>
        </m:sSub>
      </m:oMath>
      <w:r>
        <w:rPr>
          <w:rFonts w:hint="eastAsia"/>
        </w:rPr>
        <w:t xml:space="preserve">。追溯系统运行日志可知，该最长保持段横跨测试集第</w:t>
      </w:r>
      <w:r>
        <w:t xml:space="preserve"> 3 </w:t>
      </w:r>
      <w:r>
        <w:rPr>
          <w:rFonts w:hint="eastAsia"/>
        </w:rPr>
        <w:t xml:space="preserve">天</w:t>
      </w:r>
      <w:r>
        <w:t xml:space="preserve"> 13:45 </w:t>
      </w:r>
      <w:r>
        <w:rPr>
          <w:rFonts w:hint="eastAsia"/>
        </w:rPr>
        <w:t xml:space="preserve">至第</w:t>
      </w:r>
      <w:r>
        <w:t xml:space="preserve"> 4 </w:t>
      </w:r>
      <w:r>
        <w:rPr>
          <w:rFonts w:hint="eastAsia"/>
        </w:rPr>
        <w:t xml:space="preserve">天</w:t>
      </w:r>
      <w:r>
        <w:t xml:space="preserve"> </w:t>
      </w:r>
      <w:r>
        <w:rPr>
          <w:rFonts w:hint="eastAsia"/>
        </w:rPr>
        <w:t xml:space="preserve">05:45，其中约</w:t>
      </w:r>
      <w:r>
        <w:t xml:space="preserve"> 61.1% </w:t>
      </w:r>
      <w:r>
        <w:rPr>
          <w:rFonts w:hint="eastAsia"/>
        </w:rPr>
        <w:t xml:space="preserve">的时长处于夜间至凌晨非营业低谷时段。此时室外湿球温度变化幅度和室内冷负荷需求均较低，建筑热力系统接近稳态基载工况。结合在线流式事件门控判定逻辑，该行为实质上属于满足热力约束条件下的主动保持，而非被动系统停滞。</w:t>
      </w:r>
    </w:p>
    <w:p>
      <w:pPr>
        <w:pStyle w:val="BodyText"/>
      </w:pPr>
      <w:r>
        <w:t xml:space="preserve">When the action holding length is interpreted as the duration for which the actuator keeps the same setpoint, its maximum reaches 193 steps, or about 16.08 h. It should be emphasized that such an ultra long holding period does not indicate controller failure but rather reflects the agent actively holding the control action unchanged when cooling load and outdoor thermal conditions change only slightly. A closer examination of the system state during the longest holding period shows that only 8.81% of the samples fall into the high variation region of the absolute cooling load change, namely values above the 85th percentile</w:t>
      </w:r>
      <w:r>
        <w:t xml:space="preserve"> </w:t>
      </w:r>
      <m:oMath>
        <m:sSub>
          <m:e>
            <m:r>
              <m:t>q</m:t>
            </m:r>
          </m:e>
          <m:sub>
            <m:r>
              <m:t>85</m:t>
            </m:r>
          </m:sub>
        </m:sSub>
      </m:oMath>
      <w:r>
        <w:t xml:space="preserve"> </w:t>
      </w:r>
      <w:r>
        <w:t xml:space="preserve">of the full sample. The operating logs show that this longest holding period spans from 13:45 on day 3 of the test set to 05:45 on day 4, with about 61.1% of the duration occurring during the non operating hours from night to early morning. At that time, both outdoor wet bulb temperature variation and indoor cooling demand are low, and the building thermal system is close to a steady baseline operating condition. Combined with the online streaming event gating decision logic, this behavior is essentially active holding under thermal constraints rather than passive system stagnation.</w:t>
      </w:r>
    </w:p>
    <w:p>
      <w:pPr>
        <w:pStyle w:val="BodyText"/>
      </w:pPr>
      <w:r>
        <w:rPr>
          <w:rFonts w:hint="eastAsia"/>
        </w:rPr>
        <w:t xml:space="preserve">为揭示系统负荷动态变化与触发动作之间的时序映射关系，图8</w:t>
      </w:r>
      <w:r>
        <w:t xml:space="preserve"> </w:t>
      </w:r>
      <w:r>
        <w:rPr>
          <w:rFonts w:hint="eastAsia"/>
        </w:rPr>
        <w:t xml:space="preserve">进一步展示了典型单日工况（第</w:t>
      </w:r>
      <w:r>
        <w:t xml:space="preserve"> 5 </w:t>
      </w:r>
      <w:r>
        <w:rPr>
          <w:rFonts w:hint="eastAsia"/>
        </w:rPr>
        <w:t xml:space="preserve">天）下的时序对齐结果。</w:t>
      </w:r>
    </w:p>
    <w:p>
      <w:pPr>
        <w:pStyle w:val="BodyText"/>
      </w:pPr>
      <w:r>
        <w:t xml:space="preserve">To reveal the temporal alignment between dynamic load variation and triggering actions, Figure 8 further presents the alignment results for a representative day 5 operating profile.</w:t>
      </w:r>
    </w:p>
    <w:p>
      <w:pPr>
        <w:pStyle w:val="CaptionedFigure"/>
      </w:pPr>
      <w:r>
        <w:drawing>
          <wp:inline>
            <wp:extent cx="5334000" cy="3230339"/>
            <wp:effectExtent b="0" l="0" r="0" t="0"/>
            <wp:docPr descr="图8 典型日负荷变化与触发时刻对齐关系（第5天，5 min采样）：面板(a)为冷负荷曲线，面板(b)为 ET-PRL、ST-ETC 与 TTC-RL-1 触发脉冲栅格，跨面板阴影带表示典型高负荷变化时段 / Figure 8 Alignment of daily load variation and trigger times on day 5 with 5 min sampling. Panel a shows the cooling load curve, panel b shows the trigger pulse raster of ET-PRL, ST-ETC, and TTC-RL-1, and the shaded band across panels indicates a typical high variation period" title="" id="41" name="Picture"/>
            <a:graphic>
              <a:graphicData uri="http://schemas.openxmlformats.org/drawingml/2006/picture">
                <pic:pic>
                  <pic:nvPicPr>
                    <pic:cNvPr descr="../pics/fig9_trigger_load_alignment.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rPr>
          <w:rFonts w:hint="eastAsia"/>
        </w:rPr>
        <w:t xml:space="preserve">图8</w:t>
      </w:r>
      <w:r>
        <w:t xml:space="preserve"> </w:t>
      </w:r>
      <w:r>
        <w:rPr>
          <w:rFonts w:hint="eastAsia"/>
        </w:rPr>
        <w:t xml:space="preserve">典型日负荷变化与触发时刻对齐关系（第5天，5</w:t>
      </w:r>
      <w:r>
        <w:t xml:space="preserve"> </w:t>
      </w:r>
      <w:r>
        <w:rPr>
          <w:rFonts w:hint="eastAsia"/>
        </w:rPr>
        <w:t xml:space="preserve">min采样）：面板(a)为冷负荷曲线，面板(b)为</w:t>
      </w:r>
      <w:r>
        <w:t xml:space="preserve"> ET-PRL、ST-ETC </w:t>
      </w:r>
      <w:r>
        <w:rPr>
          <w:rFonts w:hint="eastAsia"/>
        </w:rPr>
        <w:t xml:space="preserve">与</w:t>
      </w:r>
      <w:r>
        <w:t xml:space="preserve"> TTC-RL-1 </w:t>
      </w:r>
      <w:r>
        <w:rPr>
          <w:rFonts w:hint="eastAsia"/>
        </w:rPr>
        <w:t xml:space="preserve">触发脉冲栅格，跨面板阴影带表示典型高负荷变化时段</w:t>
      </w:r>
      <w:r>
        <w:t xml:space="preserve"> / 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pPr>
        <w:pStyle w:val="BodyText"/>
      </w:pPr>
      <w:r>
        <w:rPr>
          <w:rFonts w:hint="eastAsia"/>
        </w:rPr>
        <w:t xml:space="preserve">对比可见，ET-PRL</w:t>
      </w:r>
      <w:r>
        <w:t xml:space="preserve"> </w:t>
      </w:r>
      <w:r>
        <w:rPr>
          <w:rFonts w:hint="eastAsia"/>
        </w:rPr>
        <w:t xml:space="preserve">的触发控制脉冲在负荷爬坡与突变阶段分布密集，而在夜间等平稳时段显著稀疏；相比之下，ST-ETC</w:t>
      </w:r>
      <w:r>
        <w:t xml:space="preserve"> </w:t>
      </w:r>
      <w:r>
        <w:rPr>
          <w:rFonts w:hint="eastAsia"/>
        </w:rPr>
        <w:t xml:space="preserve">由于采用固定判定边界，触发动作更趋密集，而</w:t>
      </w:r>
      <w:r>
        <w:t xml:space="preserve"> TTC-RL-1 </w:t>
      </w:r>
      <w:r>
        <w:rPr>
          <w:rFonts w:hint="eastAsia"/>
        </w:rPr>
        <w:t xml:space="preserve">几乎在每个时间步都触发。</w:t>
      </w:r>
    </w:p>
    <w:p>
      <w:pPr>
        <w:pStyle w:val="BodyText"/>
      </w:pPr>
      <w:r>
        <w:t xml:space="preserve">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almost every time step.</w:t>
      </w:r>
    </w:p>
    <w:p>
      <w:pPr>
        <w:pStyle w:val="BodyText"/>
      </w:pPr>
      <w:r>
        <w:rPr>
          <w:rFonts w:hint="eastAsia"/>
        </w:rPr>
        <w:t xml:space="preserve">在全测试集上，将冷负荷变化量绝对值大于整体样本第</w:t>
      </w:r>
      <w:r>
        <w:t xml:space="preserve"> 85 </w:t>
      </w:r>
      <w:r>
        <w:rPr>
          <w:rFonts w:hint="eastAsia"/>
        </w:rPr>
        <w:t xml:space="preserve">百分位数</w:t>
      </w:r>
      <w:r>
        <w:t xml:space="preserve"> </w:t>
      </w:r>
      <m:oMath>
        <m:sSub>
          <m:e>
            <m:r>
              <m:t>q</m:t>
            </m:r>
          </m:e>
          <m:sub>
            <m:r>
              <m:t>85</m:t>
            </m:r>
          </m:sub>
        </m:sSub>
      </m:oMath>
      <w:r>
        <w:t xml:space="preserve"> </w:t>
      </w:r>
      <w:r>
        <w:rPr>
          <w:rFonts w:hint="eastAsia"/>
        </w:rPr>
        <w:t xml:space="preserve">的区间定义为高变化区，小于第</w:t>
      </w:r>
      <w:r>
        <w:t xml:space="preserve"> 30 </w:t>
      </w:r>
      <w:r>
        <w:rPr>
          <w:rFonts w:hint="eastAsia"/>
        </w:rPr>
        <w:t xml:space="preserve">百分位数</w:t>
      </w:r>
      <w:r>
        <w:t xml:space="preserve"> </w:t>
      </w:r>
      <m:oMath>
        <m:sSub>
          <m:e>
            <m:r>
              <m:t>q</m:t>
            </m:r>
          </m:e>
          <m:sub>
            <m:r>
              <m:t>30</m:t>
            </m:r>
          </m:sub>
        </m:sSub>
      </m:oMath>
      <w:r>
        <w:t xml:space="preserve"> </w:t>
      </w:r>
      <w:r>
        <w:rPr>
          <w:rFonts w:hint="eastAsia"/>
        </w:rPr>
        <w:t xml:space="preserve">的区间定义为低变化区，即相对平稳的基载时段。统计表明，ET-PRL</w:t>
      </w:r>
      <w:r>
        <w:t xml:space="preserve"> </w:t>
      </w:r>
      <w:r>
        <w:rPr>
          <w:rFonts w:hint="eastAsia"/>
        </w:rPr>
        <w:t xml:space="preserve">在高变化区的触发率达</w:t>
      </w:r>
      <w:r>
        <w:t xml:space="preserve"> </w:t>
      </w:r>
      <w:r>
        <w:rPr>
          <w:rFonts w:hint="eastAsia"/>
        </w:rPr>
        <w:t xml:space="preserve">0.707，在低变化区降至</w:t>
      </w:r>
      <w:r>
        <w:t xml:space="preserve"> </w:t>
      </w:r>
      <w:r>
        <w:rPr>
          <w:rFonts w:hint="eastAsia"/>
        </w:rPr>
        <w:t xml:space="preserve">0.350，两者比值为</w:t>
      </w:r>
      <w:r>
        <w:t xml:space="preserve"> </w:t>
      </w:r>
      <w:r>
        <w:rPr>
          <w:rFonts w:hint="eastAsia"/>
        </w:rPr>
        <w:t xml:space="preserve">2.02；同期</w:t>
      </w:r>
      <w:r>
        <w:t xml:space="preserve"> ST-ETC </w:t>
      </w:r>
      <w:r>
        <w:rPr>
          <w:rFonts w:hint="eastAsia"/>
        </w:rPr>
        <w:t xml:space="preserve">的对应比值为</w:t>
      </w:r>
      <w:r>
        <w:t xml:space="preserve"> </w:t>
      </w:r>
      <w:r>
        <w:rPr>
          <w:rFonts w:hint="eastAsia"/>
        </w:rPr>
        <w:t xml:space="preserve">1.73，TTC-RL-1</w:t>
      </w:r>
      <w:r>
        <w:t xml:space="preserve"> </w:t>
      </w:r>
      <w:r>
        <w:rPr>
          <w:rFonts w:hint="eastAsia"/>
        </w:rPr>
        <w:t xml:space="preserve">则恒定为</w:t>
      </w:r>
      <w:r>
        <w:t xml:space="preserve"> </w:t>
      </w:r>
      <w:r>
        <w:rPr>
          <w:rFonts w:hint="eastAsia"/>
        </w:rPr>
        <w:t xml:space="preserve">1.00。为验证上述结论的鲁棒性，本文进一步放宽分位点阈值约束。当评价区间分别替换为第</w:t>
      </w:r>
      <w:r>
        <w:t xml:space="preserve"> 80 </w:t>
      </w:r>
      <w:r>
        <w:rPr>
          <w:rFonts w:hint="eastAsia"/>
        </w:rPr>
        <w:t xml:space="preserve">与</w:t>
      </w:r>
      <w:r>
        <w:t xml:space="preserve"> 20 </w:t>
      </w:r>
      <w:r>
        <w:rPr>
          <w:rFonts w:hint="eastAsia"/>
        </w:rPr>
        <w:t xml:space="preserve">百分位数组合、第</w:t>
      </w:r>
      <w:r>
        <w:t xml:space="preserve"> 90 </w:t>
      </w:r>
      <w:r>
        <w:rPr>
          <w:rFonts w:hint="eastAsia"/>
        </w:rPr>
        <w:t xml:space="preserve">与</w:t>
      </w:r>
      <w:r>
        <w:t xml:space="preserve"> 40 </w:t>
      </w:r>
      <w:r>
        <w:rPr>
          <w:rFonts w:hint="eastAsia"/>
        </w:rPr>
        <w:t xml:space="preserve">百分位数组合时，ET-PRL</w:t>
      </w:r>
      <w:r>
        <w:t xml:space="preserve"> </w:t>
      </w:r>
      <w:r>
        <w:rPr>
          <w:rFonts w:hint="eastAsia"/>
        </w:rPr>
        <w:t xml:space="preserve">在高变化区与低变化区的触发率比值依然稳定在</w:t>
      </w:r>
      <w:r>
        <w:t xml:space="preserve"> 1.91 </w:t>
      </w:r>
      <w:r>
        <w:rPr>
          <w:rFonts w:hint="eastAsia"/>
        </w:rPr>
        <w:t xml:space="preserve">与</w:t>
      </w:r>
      <w:r>
        <w:t xml:space="preserve"> 2.02。</w:t>
      </w:r>
    </w:p>
    <w:p>
      <w:pPr>
        <w:pStyle w:val="BodyText"/>
      </w:pPr>
      <w:r>
        <w:t xml:space="preserve">Across the full test set, we define the interval where the absolute cooling load variation exceeds the 85th percentile</w:t>
      </w:r>
      <w:r>
        <w:t xml:space="preserve"> </w:t>
      </w:r>
      <m:oMath>
        <m:sSub>
          <m:e>
            <m:r>
              <m:t>q</m:t>
            </m:r>
          </m:e>
          <m:sub>
            <m:r>
              <m:t>85</m:t>
            </m:r>
          </m:sub>
        </m:sSub>
      </m:oMath>
      <w:r>
        <w:t xml:space="preserve"> </w:t>
      </w:r>
      <w:r>
        <w:t xml:space="preserve">of all samples as the high variation region, and the interval below the 30th percentile</w:t>
      </w:r>
      <w:r>
        <w:t xml:space="preserve"> </w:t>
      </w:r>
      <m:oMath>
        <m:sSub>
          <m:e>
            <m:r>
              <m:t>q</m:t>
            </m:r>
          </m:e>
          <m:sub>
            <m:r>
              <m:t>30</m:t>
            </m:r>
          </m:sub>
        </m:sSub>
      </m:oMath>
      <w:r>
        <w:t xml:space="preserve"> </w:t>
      </w:r>
      <w:r>
        <w:t xml:space="preserve">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pPr>
        <w:pStyle w:val="BodyText"/>
      </w:pPr>
      <w:r>
        <w:rPr>
          <w:rFonts w:hint="eastAsia"/>
        </w:rPr>
        <w:t xml:space="preserve">从系统能效优化机制看，控制动作稀疏化的收益不仅体现在减少执行机构机械磨损，也体现在抑制冷水机组频繁调节带来的瞬态能效损失。传统固定步长高频反馈控制会促使离心式冷水机组反复进入非稳态过渡阶段，偏离最优性能系数对应的稳态运行边界；而</w:t>
      </w:r>
      <w:r>
        <w:t xml:space="preserve"> ET-PRL </w:t>
      </w:r>
      <w:r>
        <w:rPr>
          <w:rFonts w:hint="eastAsia"/>
        </w:rPr>
        <w:t xml:space="preserve">展现出的长时保持特性，为机组提供了更宽裕的连续稳态运行时间窗口。该工作模式能够减少工况高频切换导致的额外能耗损失，实现设备损耗抑制与运行能效提升的协同优化。</w:t>
      </w:r>
    </w:p>
    <w:p>
      <w:pPr>
        <w:pStyle w:val="BodyText"/>
      </w:pPr>
      <w:r>
        <w:t xml:space="preserve">From the mechanism of energy efficiency optimization,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the steady operating boundary associated with the optimal COP. In contrast, the long holding characteristic shown by ET-PRL provides the chiller with a much wider window for continuous steady operation. This working mode reduces the extra energy loss caused by frequent operating condition switching and achieves coordinated optimization of equipment wear suppression and operational energy efficiency improvement.</w:t>
      </w:r>
    </w:p>
    <w:p>
      <w:pPr>
        <w:pStyle w:val="BodyText"/>
      </w:pPr>
      <w:r>
        <w:rPr>
          <w:rFonts w:hint="eastAsia"/>
        </w:rPr>
        <w:t xml:space="preserve">综上所述，所提</w:t>
      </w:r>
      <w:r>
        <w:t xml:space="preserve"> ET-PRL </w:t>
      </w:r>
      <w:r>
        <w:rPr>
          <w:rFonts w:hint="eastAsia"/>
        </w:rPr>
        <w:t xml:space="preserve">方法在时序动态行为上呈现扰动期响应快、平稳期少更新的自适应特点。该特点说明，流式门控机制中的多尺度异常分数融合能够有效捕捉不同时间尺度的扰动，双层动态阈值也有助于抑制阈值边界附近的控制震荡，从而为稀疏控制提供了较清晰的物理解释。</w:t>
      </w:r>
    </w:p>
    <w:p>
      <w:pPr>
        <w:pStyle w:val="BodyText"/>
      </w:pPr>
      <w:r>
        <w:t xml:space="preserve">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pPr>
        <w:pStyle w:val="BodyText"/>
      </w:pPr>
      <w:r>
        <w:rPr>
          <w:rFonts w:hint="eastAsia"/>
        </w:rPr>
        <w:t xml:space="preserve">（4）消融实验分析</w:t>
      </w:r>
      <w:r>
        <w:t xml:space="preserve"> / Ablation Study Analysis</w:t>
      </w:r>
    </w:p>
    <w:p>
      <w:pPr>
        <w:pStyle w:val="BodyText"/>
      </w:pPr>
      <w:r>
        <w:rPr>
          <w:rFonts w:hint="eastAsia"/>
        </w:rPr>
        <w:t xml:space="preserve">为验证所提方法各组成模块的实际贡献，本节采用控制变量法开展消融实验。除特别说明外，各组实验保持一致的训练配置、测试数据集和评价协议。除固定步长参考基线</w:t>
      </w:r>
      <w:r>
        <w:t xml:space="preserve"> TTC-RL-1 </w:t>
      </w:r>
      <w:r>
        <w:rPr>
          <w:rFonts w:hint="eastAsia"/>
        </w:rPr>
        <w:t xml:space="preserve">外，消融实验共设置</w:t>
      </w:r>
      <w:r>
        <w:t xml:space="preserve"> 6 </w:t>
      </w:r>
      <w:r>
        <w:rPr>
          <w:rFonts w:hint="eastAsia"/>
        </w:rPr>
        <w:t xml:space="preserve">种比较方法，包括</w:t>
      </w:r>
      <w:r>
        <w:t xml:space="preserve"> 5 </w:t>
      </w:r>
      <w:r>
        <w:rPr>
          <w:rFonts w:hint="eastAsia"/>
        </w:rPr>
        <w:t xml:space="preserve">种简化版本和</w:t>
      </w:r>
      <w:r>
        <w:t xml:space="preserve"> 1 </w:t>
      </w:r>
      <w:r>
        <w:rPr>
          <w:rFonts w:hint="eastAsia"/>
        </w:rPr>
        <w:t xml:space="preserve">种完整模型，用于分析双阈值模块和多尺度模块的贡献。表</w:t>
      </w:r>
      <w:r>
        <w:t xml:space="preserve"> 2 </w:t>
      </w:r>
      <w:r>
        <w:rPr>
          <w:rFonts w:hint="eastAsia"/>
        </w:rPr>
        <w:t xml:space="preserve">汇总了各策略在测试集上的结果，其中</w:t>
      </w:r>
      <w:r>
        <w:t xml:space="preserve"> ACR </w:t>
      </w:r>
      <w:r>
        <w:rPr>
          <w:rFonts w:hint="eastAsia"/>
        </w:rPr>
        <w:t xml:space="preserve">和</w:t>
      </w:r>
      <w:r>
        <w:t xml:space="preserve"> PPR </w:t>
      </w:r>
      <w:r>
        <w:rPr>
          <w:rFonts w:hint="eastAsia"/>
        </w:rPr>
        <w:t xml:space="preserve">等相对指标以</w:t>
      </w:r>
      <w:r>
        <w:t xml:space="preserve"> TTC-RL-1 </w:t>
      </w:r>
      <w:r>
        <w:rPr>
          <w:rFonts w:hint="eastAsia"/>
        </w:rPr>
        <w:t xml:space="preserve">作为计算基线，其他指标为测试集统计值。</w:t>
      </w:r>
    </w:p>
    <w:p>
      <w:pPr>
        <w:pStyle w:val="BodyText"/>
      </w:pPr>
      <w:r>
        <w:t xml:space="preserve">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2 summarizes the test set results of all strategies, where relative metrics such as ACR and PPR use TTC-RL-1 as the computational baseline, whereas the remaining metrics are test set statistics.</w:t>
      </w:r>
    </w:p>
    <w:p>
      <w:pPr>
        <w:pStyle w:val="BodyText"/>
      </w:pPr>
      <w:r>
        <w:rPr>
          <w:rFonts w:hint="eastAsia"/>
        </w:rPr>
        <w:t xml:space="preserve">表</w:t>
      </w:r>
      <w:r>
        <w:t xml:space="preserve"> 2 </w:t>
      </w:r>
      <w:r>
        <w:rPr>
          <w:rFonts w:hint="eastAsia"/>
        </w:rPr>
        <w:t xml:space="preserve">关键模块消融实验结果</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方法</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94.41%</w:t>
            </w:r>
          </w:p>
        </w:tc>
      </w:tr>
    </w:tbl>
    <w:p>
      <w:pPr>
        <w:pStyle w:val="BodyText"/>
      </w:pPr>
      <w:r>
        <w:t xml:space="preserve">Table 2 Key module ablation results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Method</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t xml:space="preserve">, 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94.41%</w:t>
            </w:r>
          </w:p>
        </w:tc>
      </w:tr>
    </w:tbl>
    <w:p>
      <w:pPr>
        <w:pStyle w:val="CaptionedFigure"/>
      </w:pPr>
      <w:r>
        <w:drawing>
          <wp:inline>
            <wp:extent cx="5334000" cy="3823771"/>
            <wp:effectExtent b="0" l="0" r="0" t="0"/>
            <wp:docPr descr="图9 消融策略在能耗、性能与稀疏性上的三目标权衡散点图，横轴表示日均能耗，纵轴表示 PPR，颜色表示 ACR，文本标签标注各消融策略 / Figure 9 Scatter plot of ablation strategies under the tradeoff among energy consumption, performance, and sparsity. The x axis indicates average daily energy consumption, the y axis indicates PPR, color encodes ACR, and text labels identify each ablation strategy" title="" id="44" name="Picture"/>
            <a:graphic>
              <a:graphicData uri="http://schemas.openxmlformats.org/drawingml/2006/picture">
                <pic:pic>
                  <pic:nvPicPr>
                    <pic:cNvPr descr="../pics/fig10_ablation_pareto_scatter.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3823771"/>
                    </a:xfrm>
                    <a:prstGeom prst="rect">
                      <a:avLst/>
                    </a:prstGeom>
                    <a:noFill/>
                    <a:ln w="9525">
                      <a:noFill/>
                      <a:headEnd/>
                      <a:tailEnd/>
                    </a:ln>
                  </pic:spPr>
                </pic:pic>
              </a:graphicData>
            </a:graphic>
          </wp:inline>
        </w:drawing>
      </w:r>
    </w:p>
    <w:p>
      <w:pPr>
        <w:pStyle w:val="ImageCaption"/>
      </w:pPr>
      <w:r>
        <w:rPr>
          <w:rFonts w:hint="eastAsia"/>
        </w:rPr>
        <w:t xml:space="preserve">图9</w:t>
      </w:r>
      <w:r>
        <w:t xml:space="preserve"> </w:t>
      </w:r>
      <w:r>
        <w:rPr>
          <w:rFonts w:hint="eastAsia"/>
        </w:rPr>
        <w:t xml:space="preserve">消融策略在能耗、性能与稀疏性上的三目标权衡散点图，横轴表示日均能耗，纵轴表示</w:t>
      </w:r>
      <w:r>
        <w:t xml:space="preserve"> </w:t>
      </w:r>
      <w:r>
        <w:rPr>
          <w:rFonts w:hint="eastAsia"/>
        </w:rPr>
        <w:t xml:space="preserve">PPR，颜色表示</w:t>
      </w:r>
      <w:r>
        <w:t xml:space="preserve"> </w:t>
      </w:r>
      <w:r>
        <w:rPr>
          <w:rFonts w:hint="eastAsia"/>
        </w:rPr>
        <w:t xml:space="preserve">ACR，文本标签标注各消融策略</w:t>
      </w:r>
      <w:r>
        <w:t xml:space="preserve"> / Figure 9 Scatter plot of ablation strategies under the tradeoff among energy consumption, performance, and sparsity. The x axis indicates average daily energy consumption, the y axis indicates PPR, color encodes ACR, and text labels identify each ablation strategy</w:t>
      </w:r>
    </w:p>
    <w:p>
      <w:pPr>
        <w:pStyle w:val="BodyText"/>
      </w:pPr>
      <w:r>
        <w:rPr>
          <w:rFonts w:hint="eastAsia"/>
        </w:rPr>
        <w:t xml:space="preserve">由图9</w:t>
      </w:r>
      <w:r>
        <w:t xml:space="preserve"> </w:t>
      </w:r>
      <w:r>
        <w:rPr>
          <w:rFonts w:hint="eastAsia"/>
        </w:rPr>
        <w:t xml:space="preserve">可见，在以</w:t>
      </w:r>
      <w:r>
        <w:t xml:space="preserve"> </w:t>
      </w:r>
      <m:oMath>
        <m:sSub>
          <m:e>
            <m:r>
              <m:t>E</m:t>
            </m:r>
          </m:e>
          <m:sub>
            <m:r>
              <m:rPr>
                <m:nor/>
                <m:sty m:val="p"/>
              </m:rPr>
              <m:t>daily</m:t>
            </m:r>
          </m:sub>
        </m:sSub>
      </m:oMath>
      <w:r>
        <w:t xml:space="preserve"> </w:t>
      </w:r>
      <w:r>
        <w:rPr>
          <w:rFonts w:hint="eastAsia"/>
        </w:rPr>
        <w:t xml:space="preserve">最小化、PPR</w:t>
      </w:r>
      <w:r>
        <w:t xml:space="preserve"> </w:t>
      </w:r>
      <w:r>
        <w:rPr>
          <w:rFonts w:hint="eastAsia"/>
        </w:rPr>
        <w:t xml:space="preserve">和</w:t>
      </w:r>
      <w:r>
        <w:t xml:space="preserve"> ACR </w:t>
      </w:r>
      <w:r>
        <w:rPr>
          <w:rFonts w:hint="eastAsia"/>
        </w:rPr>
        <w:t xml:space="preserve">最大化为目标的三目标权衡中，Full</w:t>
      </w:r>
      <w:r>
        <w:t xml:space="preserve"> ET-PRL </w:t>
      </w:r>
      <w:r>
        <w:rPr>
          <w:rFonts w:hint="eastAsia"/>
        </w:rPr>
        <w:t xml:space="preserve">位于低能耗、高稀疏性区域，并在</w:t>
      </w:r>
      <w:r>
        <w:t xml:space="preserve"> PPR </w:t>
      </w:r>
      <w:r>
        <w:rPr>
          <w:rFonts w:hint="eastAsia"/>
        </w:rPr>
        <w:t xml:space="preserve">保持</w:t>
      </w:r>
      <w:r>
        <w:t xml:space="preserve"> 94.41% </w:t>
      </w:r>
      <w:r>
        <w:rPr>
          <w:rFonts w:hint="eastAsia"/>
        </w:rPr>
        <w:t xml:space="preserve">的前提下取得消融组最低</w:t>
      </w:r>
      <w:r>
        <w:t xml:space="preserve"> </w:t>
      </w:r>
      <m:oMath>
        <m:sSub>
          <m:e>
            <m:r>
              <m:t>E</m:t>
            </m:r>
          </m:e>
          <m:sub>
            <m:r>
              <m:rPr>
                <m:nor/>
                <m:sty m:val="p"/>
              </m:rPr>
              <m:t>daily</m:t>
            </m:r>
          </m:sub>
        </m:sSub>
      </m:oMath>
      <w:r>
        <w:t xml:space="preserve"> </w:t>
      </w:r>
      <w:r>
        <w:rPr>
          <w:rFonts w:hint="eastAsia"/>
        </w:rPr>
        <w:t xml:space="preserve">和最高</w:t>
      </w:r>
      <w:r>
        <w:t xml:space="preserve"> </w:t>
      </w:r>
      <w:r>
        <w:rPr>
          <w:rFonts w:hint="eastAsia"/>
        </w:rPr>
        <w:t xml:space="preserve">ACR，因此在当前样本集上更接近理想折衷解。</w:t>
      </w:r>
    </w:p>
    <w:p>
      <w:pPr>
        <w:pStyle w:val="BodyText"/>
      </w:pPr>
      <w:r>
        <w:t xml:space="preserve">As shown in Figure 9, under the three objective tradeoff that minimizes</w:t>
      </w:r>
      <w:r>
        <w:t xml:space="preserve"> </w:t>
      </w:r>
      <m:oMath>
        <m:sSub>
          <m:e>
            <m:r>
              <m:t>E</m:t>
            </m:r>
          </m:e>
          <m:sub>
            <m:r>
              <m:rPr>
                <m:nor/>
                <m:sty m:val="p"/>
              </m:rPr>
              <m:t>daily</m:t>
            </m:r>
          </m:sub>
        </m:sSub>
      </m:oMath>
      <w:r>
        <w:t xml:space="preserve"> </w:t>
      </w:r>
      <w:r>
        <w:t xml:space="preserve">while maximizing PPR and ACR, Full ET-PRL lies in the low energy consumption and high sparsity region. It achieves the lowest</w:t>
      </w:r>
      <w:r>
        <w:t xml:space="preserve"> </w:t>
      </w:r>
      <m:oMath>
        <m:sSub>
          <m:e>
            <m:r>
              <m:t>E</m:t>
            </m:r>
          </m:e>
          <m:sub>
            <m:r>
              <m:rPr>
                <m:nor/>
                <m:sty m:val="p"/>
              </m:rPr>
              <m:t>daily</m:t>
            </m:r>
          </m:sub>
        </m:sSub>
      </m:oMath>
      <w:r>
        <w:t xml:space="preserve"> </w:t>
      </w:r>
      <w:r>
        <w:t xml:space="preserve">and the highest ACR among the ablation groups while maintaining a PPR of 94.41%, making it closer to the ideal compromise solution on the current test set.</w:t>
      </w:r>
    </w:p>
    <w:p>
      <w:pPr>
        <w:pStyle w:val="BodyText"/>
      </w:pPr>
      <w:r>
        <w:rPr>
          <w:rFonts w:hint="eastAsia"/>
        </w:rPr>
        <w:t xml:space="preserve">在时序尺度消融方面，Short-scale</w:t>
      </w:r>
      <w:r>
        <w:t xml:space="preserve"> Only </w:t>
      </w:r>
      <w:r>
        <w:rPr>
          <w:rFonts w:hint="eastAsia"/>
        </w:rPr>
        <w:t xml:space="preserve">的</w:t>
      </w:r>
      <w:r>
        <w:t xml:space="preserve"> PPR </w:t>
      </w:r>
      <w:r>
        <w:rPr>
          <w:rFonts w:hint="eastAsia"/>
        </w:rPr>
        <w:t xml:space="preserve">略高于</w:t>
      </w:r>
      <w:r>
        <w:t xml:space="preserve"> Full </w:t>
      </w:r>
      <w:r>
        <w:rPr>
          <w:rFonts w:hint="eastAsia"/>
        </w:rPr>
        <w:t xml:space="preserve">ET-PRL，分别为</w:t>
      </w:r>
      <w:r>
        <w:t xml:space="preserve"> 94.99% </w:t>
      </w:r>
      <w:r>
        <w:rPr>
          <w:rFonts w:hint="eastAsia"/>
        </w:rPr>
        <w:t xml:space="preserve">和</w:t>
      </w:r>
      <w:r>
        <w:t xml:space="preserve"> </w:t>
      </w:r>
      <w:r>
        <w:rPr>
          <w:rFonts w:hint="eastAsia"/>
        </w:rPr>
        <w:t xml:space="preserve">94.41%，但其</w:t>
      </w:r>
      <w:r>
        <w:t xml:space="preserve"> ACR </w:t>
      </w:r>
      <w:r>
        <w:rPr>
          <w:rFonts w:hint="eastAsia"/>
        </w:rPr>
        <w:t xml:space="preserve">下降</w:t>
      </w:r>
      <w:r>
        <w:t xml:space="preserve"> </w:t>
      </w:r>
      <w:r>
        <w:rPr>
          <w:rFonts w:hint="eastAsia"/>
        </w:rPr>
        <w:t xml:space="preserve">3.58%，日均能耗增加</w:t>
      </w:r>
      <w:r>
        <w:t xml:space="preserve"> 75.18 </w:t>
      </w:r>
      <w:r>
        <w:rPr>
          <w:rFonts w:hint="eastAsia"/>
        </w:rPr>
        <w:t xml:space="preserve">kWh/day。考虑到本研究设定的舒适约束，两者</w:t>
      </w:r>
      <w:r>
        <w:t xml:space="preserve"> PPR </w:t>
      </w:r>
      <w:r>
        <w:rPr>
          <w:rFonts w:hint="eastAsia"/>
        </w:rPr>
        <w:t xml:space="preserve">均保持在</w:t>
      </w:r>
      <w:r>
        <w:t xml:space="preserve"> 94% </w:t>
      </w:r>
      <w:r>
        <w:rPr>
          <w:rFonts w:hint="eastAsia"/>
        </w:rPr>
        <w:t xml:space="preserve">以上，0.58</w:t>
      </w:r>
      <w:r>
        <w:t xml:space="preserve"> </w:t>
      </w:r>
      <w:r>
        <w:rPr>
          <w:rFonts w:hint="eastAsia"/>
        </w:rPr>
        <w:t xml:space="preserve">个百分点的差异较小；相应地，动作压缩能力下降和能耗增加会直接推高执行层负担和运行成本。进一步地，Medium-scale</w:t>
      </w:r>
      <w:r>
        <w:t xml:space="preserve"> Only </w:t>
      </w:r>
      <w:r>
        <w:rPr>
          <w:rFonts w:hint="eastAsia"/>
        </w:rPr>
        <w:t xml:space="preserve">和</w:t>
      </w:r>
      <w:r>
        <w:t xml:space="preserve"> Long-scale Only </w:t>
      </w:r>
      <w:r>
        <w:rPr>
          <w:rFonts w:hint="eastAsia"/>
        </w:rPr>
        <w:t xml:space="preserve">虽然保持较高</w:t>
      </w:r>
      <w:r>
        <w:t xml:space="preserve"> </w:t>
      </w:r>
      <w:r>
        <w:rPr>
          <w:rFonts w:hint="eastAsia"/>
        </w:rPr>
        <w:t xml:space="preserve">PPR，分别为</w:t>
      </w:r>
      <w:r>
        <w:t xml:space="preserve"> 99.38% </w:t>
      </w:r>
      <w:r>
        <w:rPr>
          <w:rFonts w:hint="eastAsia"/>
        </w:rPr>
        <w:t xml:space="preserve">和</w:t>
      </w:r>
      <w:r>
        <w:t xml:space="preserve"> </w:t>
      </w:r>
      <w:r>
        <w:rPr>
          <w:rFonts w:hint="eastAsia"/>
        </w:rPr>
        <w:t xml:space="preserve">98.90%，但触发稀疏性明显退化，</w:t>
      </w:r>
      <m:oMath>
        <m:sSub>
          <m:e>
            <m:r>
              <m:t>N</m:t>
            </m:r>
          </m:e>
          <m:sub>
            <m:r>
              <m:rPr>
                <m:nor/>
                <m:sty m:val="p"/>
              </m:rPr>
              <m:t>daily</m:t>
            </m:r>
          </m:sub>
        </m:sSub>
      </m:oMath>
      <w:r>
        <w:t xml:space="preserve"> </w:t>
      </w:r>
      <w:r>
        <w:rPr>
          <w:rFonts w:hint="eastAsia"/>
        </w:rPr>
        <w:t xml:space="preserve">分别为</w:t>
      </w:r>
      <w:r>
        <w:t xml:space="preserve"> 254.45 </w:t>
      </w:r>
      <w:r>
        <w:rPr>
          <w:rFonts w:hint="eastAsia"/>
        </w:rPr>
        <w:t xml:space="preserve">和</w:t>
      </w:r>
      <w:r>
        <w:t xml:space="preserve"> </w:t>
      </w:r>
      <w:r>
        <w:rPr>
          <w:rFonts w:hint="eastAsia"/>
        </w:rPr>
        <w:t xml:space="preserve">283.42，且能耗优化幅度有限，分别为</w:t>
      </w:r>
      <w:r>
        <w:t xml:space="preserve"> 7484.70 </w:t>
      </w:r>
      <w:r>
        <w:rPr>
          <w:rFonts w:hint="eastAsia"/>
        </w:rPr>
        <w:t xml:space="preserve">和</w:t>
      </w:r>
      <w:r>
        <w:t xml:space="preserve"> 7431.26 </w:t>
      </w:r>
      <w:r>
        <w:rPr>
          <w:rFonts w:hint="eastAsia"/>
        </w:rPr>
        <w:t xml:space="preserve">kWh/day。该组结果表明，单一尺度统计难以同时兼顾短时扰动响应和长期漂移纠偏。</w:t>
      </w:r>
    </w:p>
    <w:p>
      <w:pPr>
        <w:pStyle w:val="BodyText"/>
      </w:pPr>
      <w:r>
        <w:t xml:space="preserve">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Medium-scale Only and Long-scale Only maintain high PPR values of 99.38% and 98.90%, respectively, their trigger sparsity deteriorates markedly, with</w:t>
      </w:r>
      <w:r>
        <w:t xml:space="preserve"> </w:t>
      </w:r>
      <m:oMath>
        <m:sSub>
          <m:e>
            <m:r>
              <m:t>N</m:t>
            </m:r>
          </m:e>
          <m:sub>
            <m:r>
              <m:rPr>
                <m:nor/>
                <m:sty m:val="p"/>
              </m:rPr>
              <m:t>daily</m:t>
            </m:r>
          </m:sub>
        </m:sSub>
      </m:oMath>
      <w:r>
        <w:t xml:space="preserve"> </w:t>
      </w:r>
      <w:r>
        <w:t xml:space="preserve">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pPr>
        <w:pStyle w:val="BodyText"/>
      </w:pPr>
      <w:r>
        <w:rPr>
          <w:rFonts w:hint="eastAsia"/>
        </w:rPr>
        <w:t xml:space="preserve">本研究采用紧凑的</w:t>
      </w:r>
      <w:r>
        <w:t xml:space="preserve"> 3 </w:t>
      </w:r>
      <w:r>
        <w:rPr>
          <w:rFonts w:hint="eastAsia"/>
        </w:rPr>
        <w:t xml:space="preserve">维状态向量</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rPr>
          <w:rFonts w:hint="eastAsia"/>
        </w:rPr>
        <w:t xml:space="preserve">，未引入高维历史序列堆叠。该设计降低了在线推理开销，但也意味着长期历史信息需要由门控机制补偿。若仅依赖短尺度统计，门控分数容易把慢漂移当成新的局部稳定状态，削弱对长期能效退化的识别能力。其物理含义在于，换季过程中建筑围护结构的等效热阻与蓄热状态会缓慢变化，冷机长期运行还可能导致换热器污垢热阻累积，这些缓慢变化因素会逐步增加系统达到同等供冷效果所需的有效冷量。短尺度门控可能将该缓慢偏移吸收为局部稳态基线，导致在应触发策略修正时仍保持控制动作不变，进而使控制设定长期停留在局部稳定但整体并不理想的区间，例如维持在较高的</w:t>
      </w:r>
      <w:r>
        <w:t xml:space="preserve"> 15°C </w:t>
      </w:r>
      <w:r>
        <w:rPr>
          <w:rFonts w:hint="eastAsia"/>
        </w:rPr>
        <w:t xml:space="preserve">附近，并使机组持续运行于偏离最优</w:t>
      </w:r>
      <w:r>
        <w:t xml:space="preserve"> COP </w:t>
      </w:r>
      <w:r>
        <w:rPr>
          <w:rFonts w:hint="eastAsia"/>
        </w:rPr>
        <w:t xml:space="preserve">的工况，最终表现为日均能耗上升。Full</w:t>
      </w:r>
      <w:r>
        <w:t xml:space="preserve"> ET-PRL </w:t>
      </w:r>
      <w:r>
        <w:rPr>
          <w:rFonts w:hint="eastAsia"/>
        </w:rPr>
        <w:t xml:space="preserve">通过引入中长尺度分数，为紧凑状态表示补充隐式历史信息，能够将设备性能缓慢退化与季节漂移重新识别为需要干预的事件，从而在季节尺度上维持较好的整体能效。</w:t>
      </w:r>
    </w:p>
    <w:p>
      <w:pPr>
        <w:pStyle w:val="BodyText"/>
      </w:pPr>
      <w:r>
        <w:t xml:space="preserve">We use a compact three dimensional state vector</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t xml:space="preserve"> </w:t>
      </w:r>
      <w:r>
        <w:t xml:space="preserve">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thereby preserving overall energy efficiency at the seasonal scale.</w:t>
      </w:r>
    </w:p>
    <w:p>
      <w:pPr>
        <w:pStyle w:val="BodyText"/>
      </w:pPr>
      <w:r>
        <w:rPr>
          <w:rFonts w:hint="eastAsia"/>
        </w:rPr>
        <w:t xml:space="preserve">在双阈值机制消融方面，Local</w:t>
      </w:r>
      <w:r>
        <w:t xml:space="preserve"> Threshold Only </w:t>
      </w:r>
      <w:r>
        <w:rPr>
          <w:rFonts w:hint="eastAsia"/>
        </w:rPr>
        <w:t xml:space="preserve">和</w:t>
      </w:r>
      <w:r>
        <w:t xml:space="preserve"> Global Threshold Only </w:t>
      </w:r>
      <w:r>
        <w:rPr>
          <w:rFonts w:hint="eastAsia"/>
        </w:rPr>
        <w:t xml:space="preserve">的</w:t>
      </w:r>
      <w:r>
        <w:t xml:space="preserve"> ACR </w:t>
      </w:r>
      <w:r>
        <w:rPr>
          <w:rFonts w:hint="eastAsia"/>
        </w:rPr>
        <w:t xml:space="preserve">分别为</w:t>
      </w:r>
      <w:r>
        <w:t xml:space="preserve"> 1.9513 </w:t>
      </w:r>
      <w:r>
        <w:rPr>
          <w:rFonts w:hint="eastAsia"/>
        </w:rPr>
        <w:t xml:space="preserve">和</w:t>
      </w:r>
      <w:r>
        <w:t xml:space="preserve"> </w:t>
      </w:r>
      <w:r>
        <w:rPr>
          <w:rFonts w:hint="eastAsia"/>
        </w:rPr>
        <w:t xml:space="preserve">1.9565，均低于</w:t>
      </w:r>
      <w:r>
        <w:t xml:space="preserve"> Full ET-PRL </w:t>
      </w:r>
      <w:r>
        <w:rPr>
          <w:rFonts w:hint="eastAsia"/>
        </w:rPr>
        <w:t xml:space="preserve">的</w:t>
      </w:r>
      <w:r>
        <w:t xml:space="preserve"> </w:t>
      </w:r>
      <w:r>
        <w:rPr>
          <w:rFonts w:hint="eastAsia"/>
        </w:rPr>
        <w:t xml:space="preserve">2.1525；其日均能耗分别为</w:t>
      </w:r>
      <w:r>
        <w:t xml:space="preserve"> 7367.57 </w:t>
      </w:r>
      <w:r>
        <w:rPr>
          <w:rFonts w:hint="eastAsia"/>
        </w:rPr>
        <w:t xml:space="preserve">和</w:t>
      </w:r>
      <w:r>
        <w:t xml:space="preserve"> 7409.42 </w:t>
      </w:r>
      <w:r>
        <w:rPr>
          <w:rFonts w:hint="eastAsia"/>
        </w:rPr>
        <w:t xml:space="preserve">kWh/day，也均高于</w:t>
      </w:r>
      <w:r>
        <w:t xml:space="preserve"> Full </w:t>
      </w:r>
      <w:r>
        <w:rPr>
          <w:rFonts w:hint="eastAsia"/>
        </w:rPr>
        <w:t xml:space="preserve">ET-PRL。机理上，Local</w:t>
      </w:r>
      <w:r>
        <w:t xml:space="preserve"> Threshold Only </w:t>
      </w:r>
      <w:r>
        <w:rPr>
          <w:rFonts w:hint="eastAsia"/>
        </w:rPr>
        <w:t xml:space="preserve">容易过度跟随近期变化，即对短时扰动过于敏感而缺乏长期基线约束；Global</w:t>
      </w:r>
      <w:r>
        <w:t xml:space="preserve"> Threshold Only </w:t>
      </w:r>
      <w:r>
        <w:rPr>
          <w:rFonts w:hint="eastAsia"/>
        </w:rPr>
        <w:t xml:space="preserve">则容易出现响应滞后，即对分钟级扰动响应不够及时，并在后续需要更大幅度的补偿控制。两类简化版本分别对应快速响应能力和长期稳态约束的缺失。只有双阈值协同后，ET-PRL</w:t>
      </w:r>
      <w:r>
        <w:t xml:space="preserve"> </w:t>
      </w:r>
      <w:r>
        <w:rPr>
          <w:rFonts w:hint="eastAsia"/>
        </w:rPr>
        <w:t xml:space="preserve">才能在能耗、性能保持率和动作稀疏性之间形成稳定且可复现的综合优势。</w:t>
      </w:r>
    </w:p>
    <w:p>
      <w:pPr>
        <w:pStyle w:val="BodyText"/>
      </w:pPr>
      <w:r>
        <w:t xml:space="preserve">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Only through dual threshold coordination can ET-PRL form a stable and reproducible overall advantage among energy consumption, performance preservation, and action sparsity.</w:t>
      </w:r>
    </w:p>
    <w:p>
      <w:pPr>
        <w:pStyle w:val="BodyText"/>
      </w:pPr>
      <w:r>
        <w:rPr>
          <w:rFonts w:hint="eastAsia"/>
        </w:rPr>
        <w:t xml:space="preserve">（5）参数敏感性分析</w:t>
      </w:r>
      <w:r>
        <w:t xml:space="preserve"> / Parameter Sensitivity Analysis</w:t>
      </w:r>
    </w:p>
    <w:p>
      <w:pPr>
        <w:pStyle w:val="BodyText"/>
      </w:pPr>
      <w:r>
        <w:rPr>
          <w:rFonts w:hint="eastAsia"/>
        </w:rPr>
        <w:t xml:space="preserve">为检验门控参数扰动是否改变前述稀疏控制收益，并识别触发决策中具有主导作用的参数及其交互关系，本文开展混合敏感性分析。根据参数作用机理，将门控超参数划分为相互耦合的参数对和独立调节参数两类。二维组合扫描包括两组参数：第一组针对触发边界位置与抖振抑制机制，联合扫描偏置校正项</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与滞回裕度</w:t>
      </w:r>
      <w:r>
        <w:t xml:space="preserve"> </w:t>
      </w:r>
      <m:oMath>
        <m:sSub>
          <m:e>
            <m:r>
              <m:t>m</m:t>
            </m:r>
          </m:e>
          <m:sub>
            <m:r>
              <m:rPr>
                <m:sty m:val="p"/>
              </m:rPr>
              <m:t>h</m:t>
            </m:r>
            <m:r>
              <m:rPr>
                <m:sty m:val="p"/>
              </m:rPr>
              <m:t>y</m:t>
            </m:r>
            <m:r>
              <m:rPr>
                <m:sty m:val="p"/>
              </m:rPr>
              <m:t>s</m:t>
            </m:r>
          </m:sub>
        </m:sSub>
      </m:oMath>
      <w:r>
        <w:rPr>
          <w:rFonts w:hint="eastAsia"/>
        </w:rPr>
        <w:t xml:space="preserve">，候选范围分别为</w:t>
      </w:r>
      <w:r>
        <w:t xml:space="preserve"> </w:t>
      </w:r>
      <m:oMath>
        <m:r>
          <m:rPr>
            <m:sty m:val="p"/>
          </m:rPr>
          <m:t>[</m:t>
        </m:r>
        <m:r>
          <m:rPr>
            <m:sty m:val="p"/>
          </m:rPr>
          <m:t>−</m:t>
        </m:r>
        <m:r>
          <m:t>0.12</m:t>
        </m:r>
        <m:r>
          <m:rPr>
            <m:sty m:val="p"/>
          </m:rPr>
          <m:t>,</m:t>
        </m:r>
        <m:r>
          <m:t>0.04</m:t>
        </m:r>
        <m:r>
          <m:rPr>
            <m:sty m:val="p"/>
          </m:rPr>
          <m:t>]</m:t>
        </m:r>
      </m:oMath>
      <w:r>
        <w:t xml:space="preserve"> </w:t>
      </w:r>
      <w:r>
        <w:rPr>
          <w:rFonts w:hint="eastAsia"/>
        </w:rPr>
        <w:t xml:space="preserve">和</w:t>
      </w:r>
      <w:r>
        <w:t xml:space="preserve"> </w:t>
      </w:r>
      <m:oMath>
        <m:r>
          <m:rPr>
            <m:sty m:val="p"/>
          </m:rPr>
          <m:t>[</m:t>
        </m:r>
        <m:r>
          <m:t>0.0</m:t>
        </m:r>
        <m:r>
          <m:rPr>
            <m:sty m:val="p"/>
          </m:rPr>
          <m:t>,</m:t>
        </m:r>
        <m:r>
          <m:t>0.08</m:t>
        </m:r>
        <m:r>
          <m:rPr>
            <m:sty m:val="p"/>
          </m:rPr>
          <m:t>]</m:t>
        </m:r>
      </m:oMath>
      <w:r>
        <w:rPr>
          <w:rFonts w:hint="eastAsia"/>
        </w:rPr>
        <w:t xml:space="preserve">；第二组针对异常评分的时间尺度建模，联合扫描局部窗口长度</w:t>
      </w:r>
      <w:r>
        <w:t xml:space="preserve"> </w:t>
      </w:r>
      <m:oMath>
        <m:r>
          <m:t>W</m:t>
        </m:r>
      </m:oMath>
      <w:r>
        <w:t xml:space="preserve"> </w:t>
      </w:r>
      <w:r>
        <w:rPr>
          <w:rFonts w:hint="eastAsia"/>
        </w:rPr>
        <w:t xml:space="preserve">与短尺度融合权重</w:t>
      </w:r>
      <w:r>
        <w:t xml:space="preserve"> </w:t>
      </w:r>
      <m:oMath>
        <m:sSub>
          <m:e>
            <m:r>
              <m:t>w</m:t>
            </m:r>
          </m:e>
          <m:sub>
            <m:r>
              <m:rPr>
                <m:sty m:val="p"/>
              </m:rPr>
              <m:t>s</m:t>
            </m:r>
          </m:sub>
        </m:sSub>
      </m:oMath>
      <w:r>
        <w:rPr>
          <w:rFonts w:hint="eastAsia"/>
        </w:rPr>
        <w:t xml:space="preserve">，候选范围分别为</w:t>
      </w:r>
      <w:r>
        <w:t xml:space="preserve"> </w:t>
      </w:r>
      <m:oMath>
        <m:r>
          <m:rPr>
            <m:sty m:val="p"/>
          </m:rPr>
          <m:t>[</m:t>
        </m:r>
        <m:r>
          <m:t>30</m:t>
        </m:r>
        <m:r>
          <m:rPr>
            <m:sty m:val="p"/>
          </m:rPr>
          <m:t>,</m:t>
        </m:r>
        <m:r>
          <m:t>240</m:t>
        </m:r>
        <m:r>
          <m:rPr>
            <m:sty m:val="p"/>
          </m:rPr>
          <m:t>]</m:t>
        </m:r>
      </m:oMath>
      <w:r>
        <w:t xml:space="preserve"> </w:t>
      </w:r>
      <w:r>
        <w:rPr>
          <w:rFonts w:hint="eastAsia"/>
        </w:rPr>
        <w:t xml:space="preserve">和</w:t>
      </w:r>
      <w:r>
        <w:t xml:space="preserve"> </w:t>
      </w:r>
      <m:oMath>
        <m:r>
          <m:rPr>
            <m:sty m:val="p"/>
          </m:rPr>
          <m:t>[</m:t>
        </m:r>
        <m:r>
          <m:t>0.35</m:t>
        </m:r>
        <m:r>
          <m:rPr>
            <m:sty m:val="p"/>
          </m:rPr>
          <m:t>,</m:t>
        </m:r>
        <m:r>
          <m:t>0.75</m:t>
        </m:r>
        <m:r>
          <m:rPr>
            <m:sty m:val="p"/>
          </m:rPr>
          <m:t>]</m:t>
        </m:r>
      </m:oMath>
      <w:r>
        <w:rPr>
          <w:rFonts w:hint="eastAsia"/>
        </w:rPr>
        <w:t xml:space="preserve">。单因素扫描选取分位水平</w:t>
      </w:r>
      <w:r>
        <w:t xml:space="preserve"> </w:t>
      </w:r>
      <m:oMath>
        <m:r>
          <m:t>q</m:t>
        </m:r>
        <m:r>
          <m:rPr>
            <m:sty m:val="p"/>
          </m:rPr>
          <m:t>∈</m:t>
        </m:r>
        <m:r>
          <m:rPr>
            <m:sty m:val="p"/>
          </m:rPr>
          <m:t>[</m:t>
        </m:r>
        <m:r>
          <m:t>0.55</m:t>
        </m:r>
        <m:r>
          <m:rPr>
            <m:sty m:val="p"/>
          </m:rPr>
          <m:t>,</m:t>
        </m:r>
        <m:r>
          <m:t>0.90</m:t>
        </m:r>
        <m:r>
          <m:rPr>
            <m:sty m:val="p"/>
          </m:rPr>
          <m:t>]</m:t>
        </m:r>
      </m:oMath>
      <w:r>
        <w:rPr>
          <w:rFonts w:hint="eastAsia"/>
        </w:rPr>
        <w:t xml:space="preserve">，用于分析其对触发强度的独立调节作用。为保证附录</w:t>
      </w:r>
      <w:r>
        <w:t xml:space="preserve"> A </w:t>
      </w:r>
      <w:r>
        <w:rPr>
          <w:rFonts w:hint="eastAsia"/>
        </w:rPr>
        <w:t xml:space="preserve">的表</w:t>
      </w:r>
      <w:r>
        <w:t xml:space="preserve"> A2 </w:t>
      </w:r>
      <w:r>
        <w:rPr>
          <w:rFonts w:hint="eastAsia"/>
        </w:rPr>
        <w:t xml:space="preserve">中精确默认值被纳入分析，扫描网格在给定候选点基础上额外保留默认参数值，最终形成</w:t>
      </w:r>
      <w:r>
        <w:t xml:space="preserve"> 75 </w:t>
      </w:r>
      <w:r>
        <w:rPr>
          <w:rFonts w:hint="eastAsia"/>
        </w:rPr>
        <w:t xml:space="preserve">组配置。所有配置均复用同一训练好的</w:t>
      </w:r>
      <w:r>
        <w:t xml:space="preserve"> DQN </w:t>
      </w:r>
      <w:r>
        <w:rPr>
          <w:rFonts w:hint="eastAsia"/>
        </w:rPr>
        <w:t xml:space="preserve">控制器、同一测试序列和同一奖励函数。</w:t>
      </w:r>
    </w:p>
    <w:p>
      <w:pPr>
        <w:pStyle w:val="BodyText"/>
      </w:pPr>
      <w:r>
        <w:t xml:space="preserve">We conduct a mixed sensitivity analysis to test whether perturbations in gate parameters alter the sparsity gains reported above and to identify the parameters and interactions that dominate trigger decisions. According to their roles in the gating mechanism, the hyperparameters are divided into two categories: coupled parameter pairs and independently regulated parameters. The two-dimensional paired scans include two parameter groups. The first group targets the trigger boundary and chatter suppression mechanism by jointly sweeping the bias correction term</w:t>
      </w:r>
      <w:r>
        <w:t xml:space="preserve"> </w:t>
      </w:r>
      <m:oMath>
        <m:sSub>
          <m:e>
            <m:r>
              <m:t>b</m:t>
            </m:r>
          </m:e>
          <m:sub>
            <m:r>
              <m:rPr>
                <m:sty m:val="p"/>
              </m:rPr>
              <m:t>b</m:t>
            </m:r>
            <m:r>
              <m:rPr>
                <m:sty m:val="p"/>
              </m:rPr>
              <m:t>i</m:t>
            </m:r>
            <m:r>
              <m:rPr>
                <m:sty m:val="p"/>
              </m:rPr>
              <m:t>a</m:t>
            </m:r>
            <m:r>
              <m:rPr>
                <m:sty m:val="p"/>
              </m:rPr>
              <m:t>s</m:t>
            </m:r>
          </m:sub>
        </m:sSub>
      </m:oMath>
      <w:r>
        <w:t xml:space="preserve"> </w:t>
      </w:r>
      <w:r>
        <w:t xml:space="preserve">and the hysteresis margin</w:t>
      </w:r>
      <w:r>
        <w:t xml:space="preserve"> </w:t>
      </w:r>
      <m:oMath>
        <m:sSub>
          <m:e>
            <m:r>
              <m:t>m</m:t>
            </m:r>
          </m:e>
          <m:sub>
            <m:r>
              <m:rPr>
                <m:sty m:val="p"/>
              </m:rPr>
              <m:t>h</m:t>
            </m:r>
            <m:r>
              <m:rPr>
                <m:sty m:val="p"/>
              </m:rPr>
              <m:t>y</m:t>
            </m:r>
            <m:r>
              <m:rPr>
                <m:sty m:val="p"/>
              </m:rPr>
              <m:t>s</m:t>
            </m:r>
          </m:sub>
        </m:sSub>
      </m:oMath>
      <w:r>
        <w:t xml:space="preserve">, with candidate ranges of</w:t>
      </w:r>
      <w:r>
        <w:t xml:space="preserve"> </w:t>
      </w:r>
      <m:oMath>
        <m:r>
          <m:rPr>
            <m:sty m:val="p"/>
          </m:rPr>
          <m:t>[</m:t>
        </m:r>
        <m:r>
          <m:rPr>
            <m:sty m:val="p"/>
          </m:rPr>
          <m:t>−</m:t>
        </m:r>
        <m:r>
          <m:t>0.12</m:t>
        </m:r>
        <m:r>
          <m:rPr>
            <m:sty m:val="p"/>
          </m:rPr>
          <m:t>,</m:t>
        </m:r>
        <m:r>
          <m:t>0.04</m:t>
        </m:r>
        <m:r>
          <m:rPr>
            <m:sty m:val="p"/>
          </m:rPr>
          <m:t>]</m:t>
        </m:r>
      </m:oMath>
      <w:r>
        <w:t xml:space="preserve"> </w:t>
      </w:r>
      <w:r>
        <w:t xml:space="preserve">and</w:t>
      </w:r>
      <w:r>
        <w:t xml:space="preserve"> </w:t>
      </w:r>
      <m:oMath>
        <m:r>
          <m:rPr>
            <m:sty m:val="p"/>
          </m:rPr>
          <m:t>[</m:t>
        </m:r>
        <m:r>
          <m:t>0.0</m:t>
        </m:r>
        <m:r>
          <m:rPr>
            <m:sty m:val="p"/>
          </m:rPr>
          <m:t>,</m:t>
        </m:r>
        <m:r>
          <m:t>0.08</m:t>
        </m:r>
        <m:r>
          <m:rPr>
            <m:sty m:val="p"/>
          </m:rPr>
          <m:t>]</m:t>
        </m:r>
      </m:oMath>
      <w:r>
        <w:t xml:space="preserve">, respectively. The second group targets the temporal scale modeling of anomaly scores by jointly sweeping the local window size</w:t>
      </w:r>
      <w:r>
        <w:t xml:space="preserve"> </w:t>
      </w:r>
      <m:oMath>
        <m:r>
          <m:t>W</m:t>
        </m:r>
      </m:oMath>
      <w:r>
        <w:t xml:space="preserve"> </w:t>
      </w:r>
      <w:r>
        <w:t xml:space="preserve">and the short-scale fusion weight</w:t>
      </w:r>
      <w:r>
        <w:t xml:space="preserve"> </w:t>
      </w:r>
      <m:oMath>
        <m:sSub>
          <m:e>
            <m:r>
              <m:t>w</m:t>
            </m:r>
          </m:e>
          <m:sub>
            <m:r>
              <m:rPr>
                <m:sty m:val="p"/>
              </m:rPr>
              <m:t>s</m:t>
            </m:r>
          </m:sub>
        </m:sSub>
      </m:oMath>
      <w:r>
        <w:t xml:space="preserve">, with candidate ranges of</w:t>
      </w:r>
      <w:r>
        <w:t xml:space="preserve"> </w:t>
      </w:r>
      <m:oMath>
        <m:r>
          <m:rPr>
            <m:sty m:val="p"/>
          </m:rPr>
          <m:t>[</m:t>
        </m:r>
        <m:r>
          <m:t>30</m:t>
        </m:r>
        <m:r>
          <m:rPr>
            <m:sty m:val="p"/>
          </m:rPr>
          <m:t>,</m:t>
        </m:r>
        <m:r>
          <m:t>240</m:t>
        </m:r>
        <m:r>
          <m:rPr>
            <m:sty m:val="p"/>
          </m:rPr>
          <m:t>]</m:t>
        </m:r>
      </m:oMath>
      <w:r>
        <w:t xml:space="preserve"> </w:t>
      </w:r>
      <w:r>
        <w:t xml:space="preserve">and</w:t>
      </w:r>
      <w:r>
        <w:t xml:space="preserve"> </w:t>
      </w:r>
      <m:oMath>
        <m:r>
          <m:rPr>
            <m:sty m:val="p"/>
          </m:rPr>
          <m:t>[</m:t>
        </m:r>
        <m:r>
          <m:t>0.35</m:t>
        </m:r>
        <m:r>
          <m:rPr>
            <m:sty m:val="p"/>
          </m:rPr>
          <m:t>,</m:t>
        </m:r>
        <m:r>
          <m:t>0.75</m:t>
        </m:r>
        <m:r>
          <m:rPr>
            <m:sty m:val="p"/>
          </m:rPr>
          <m:t>]</m:t>
        </m:r>
      </m:oMath>
      <w:r>
        <w:t xml:space="preserve">, respectively. The independent sweep varies the quantile level</w:t>
      </w:r>
      <w:r>
        <w:t xml:space="preserve"> </w:t>
      </w:r>
      <m:oMath>
        <m:r>
          <m:t>q</m:t>
        </m:r>
        <m:r>
          <m:rPr>
            <m:sty m:val="p"/>
          </m:rPr>
          <m:t>∈</m:t>
        </m:r>
        <m:r>
          <m:rPr>
            <m:sty m:val="p"/>
          </m:rPr>
          <m:t>[</m:t>
        </m:r>
        <m:r>
          <m:t>0.55</m:t>
        </m:r>
        <m:r>
          <m:rPr>
            <m:sty m:val="p"/>
          </m:rPr>
          <m:t>,</m:t>
        </m:r>
        <m:r>
          <m:t>0.90</m:t>
        </m:r>
        <m:r>
          <m:rPr>
            <m:sty m:val="p"/>
          </m:rPr>
          <m:t>]</m:t>
        </m:r>
      </m:oMath>
      <w:r>
        <w:t xml:space="preserve"> </w:t>
      </w:r>
      <w:r>
        <w:t xml:space="preserve">to characterize its separate effect on trigger intensity. To ensure that the exact default values in Table A2 of Appendix A are included, the scan grids retain these default values in addition to the specified candidate points, yielding 75 configurations in total. All configurations reuse the same trained DQN controller, test sequence, and reward function.</w:t>
      </w:r>
    </w:p>
    <w:p>
      <w:pPr>
        <w:pStyle w:val="BodyText"/>
      </w:pPr>
      <w:r>
        <w:rPr>
          <w:rFonts w:hint="eastAsia"/>
        </w:rPr>
        <w:t xml:space="preserve">每组配置均在完整测试时段上连续运行一次，并以前文定义的</w:t>
      </w:r>
      <w:r>
        <w:t xml:space="preserve"> </w:t>
      </w:r>
      <m:oMath>
        <m:sSub>
          <m:e>
            <m:r>
              <m:t>R</m:t>
            </m:r>
          </m:e>
          <m:sub>
            <m:r>
              <m:rPr>
                <m:nor/>
                <m:sty m:val="p"/>
              </m:rPr>
              <m:t>test</m:t>
            </m:r>
          </m:sub>
        </m:sSub>
      </m:oMath>
      <w:r>
        <w:t xml:space="preserve">、</w:t>
      </w:r>
      <m:oMath>
        <m:sSub>
          <m:e>
            <m:r>
              <m:t>N</m:t>
            </m:r>
          </m:e>
          <m:sub>
            <m:r>
              <m:rPr>
                <m:nor/>
                <m:sty m:val="p"/>
              </m:rPr>
              <m:t>daily</m:t>
            </m:r>
          </m:sub>
        </m:sSub>
      </m:oMath>
      <w:r>
        <w:t xml:space="preserve"> </w:t>
      </w:r>
      <w:r>
        <w:rPr>
          <w:rFonts w:hint="eastAsia"/>
        </w:rPr>
        <w:t xml:space="preserve">和</w:t>
      </w:r>
      <w:r>
        <w:t xml:space="preserve"> </w:t>
      </w:r>
      <m:oMath>
        <m:sSub>
          <m:e>
            <m:r>
              <m:t>E</m:t>
            </m:r>
          </m:e>
          <m:sub>
            <m:r>
              <m:rPr>
                <m:nor/>
                <m:sty m:val="p"/>
              </m:rPr>
              <m:t>daily</m:t>
            </m:r>
          </m:sub>
        </m:sSub>
      </m:oMath>
      <w:r>
        <w:t xml:space="preserve"> </w:t>
      </w:r>
      <w:r>
        <w:rPr>
          <w:rFonts w:hint="eastAsia"/>
        </w:rPr>
        <w:t xml:space="preserve">作为主要评价指标。为保证各候选配置的初始统计状态一致，门控模块在完整测试时段开始前均使用训练集与验证集历史样本完成预热。显著性检验采用配对块</w:t>
      </w:r>
      <w:r>
        <w:t xml:space="preserve"> </w:t>
      </w:r>
      <w:r>
        <w:rPr>
          <w:rFonts w:hint="eastAsia"/>
        </w:rPr>
        <w:t xml:space="preserve">bootstrap，重采样</w:t>
      </w:r>
      <w:r>
        <w:t xml:space="preserve"> 500 </w:t>
      </w:r>
      <w:r>
        <w:rPr>
          <w:rFonts w:hint="eastAsia"/>
        </w:rPr>
        <w:t xml:space="preserve">次，块长为</w:t>
      </w:r>
      <w:r>
        <w:t xml:space="preserve"> 48 </w:t>
      </w:r>
      <w:r>
        <w:rPr>
          <w:rFonts w:hint="eastAsia"/>
        </w:rPr>
        <w:t xml:space="preserve">个时间步，对应</w:t>
      </w:r>
      <w:r>
        <w:t xml:space="preserve"> 4 h </w:t>
      </w:r>
      <w:r>
        <w:rPr>
          <w:rFonts w:hint="eastAsia"/>
        </w:rPr>
        <w:t xml:space="preserve">连续运行片段，显著性水平为</w:t>
      </w:r>
      <w:r>
        <w:t xml:space="preserve"> </w:t>
      </w:r>
      <w:r>
        <w:rPr>
          <w:rFonts w:hint="eastAsia"/>
        </w:rPr>
        <w:t xml:space="preserve">0.05。为辅助考察日级运行差异，本文进一步将测试集划分为</w:t>
      </w:r>
      <w:r>
        <w:t xml:space="preserve"> 15 </w:t>
      </w:r>
      <w:r>
        <w:rPr>
          <w:rFonts w:hint="eastAsia"/>
        </w:rPr>
        <w:t xml:space="preserve">个完整自然日轮次，每个轮次包含</w:t>
      </w:r>
      <w:r>
        <w:t xml:space="preserve"> 288 </w:t>
      </w:r>
      <w:r>
        <w:rPr>
          <w:rFonts w:hint="eastAsia"/>
        </w:rPr>
        <w:t xml:space="preserve">个时间步；门控模块在每个轮次开始前重新初始化，并使用相同历史样本完成预热。该轮次结果用于补充分析不同运行日上的波动特征，表</w:t>
      </w:r>
      <w:r>
        <w:t xml:space="preserve"> 3 </w:t>
      </w:r>
      <w:r>
        <w:rPr>
          <w:rFonts w:hint="eastAsia"/>
        </w:rPr>
        <w:t xml:space="preserve">则报告完整测试时段统计值，以避免将日级均值与完整测试时段结果混用。</w:t>
      </w:r>
    </w:p>
    <w:p>
      <w:pPr>
        <w:pStyle w:val="BodyText"/>
      </w:pPr>
      <w:r>
        <w:t xml:space="preserve">Each configuration is executed once over the complete test period, and the previously defined</w:t>
      </w:r>
      <w:r>
        <w:t xml:space="preserve"> </w:t>
      </w:r>
      <m:oMath>
        <m:sSub>
          <m:e>
            <m:r>
              <m:t>R</m:t>
            </m:r>
          </m:e>
          <m:sub>
            <m:r>
              <m:rPr>
                <m:nor/>
                <m:sty m:val="p"/>
              </m:rPr>
              <m:t>test</m:t>
            </m:r>
          </m:sub>
        </m:sSub>
      </m:oMath>
      <w:r>
        <w:t xml:space="preserve">,</w:t>
      </w:r>
      <w:r>
        <w:t xml:space="preserve"> </w:t>
      </w:r>
      <m:oMath>
        <m:sSub>
          <m:e>
            <m:r>
              <m:t>N</m:t>
            </m:r>
          </m:e>
          <m:sub>
            <m:r>
              <m:rPr>
                <m:nor/>
                <m:sty m:val="p"/>
              </m:rPr>
              <m:t>daily</m:t>
            </m:r>
          </m:sub>
        </m:sSub>
      </m:oMath>
      <w:r>
        <w:t xml:space="preserve">, and</w:t>
      </w:r>
      <w:r>
        <w:t xml:space="preserve"> </w:t>
      </w:r>
      <m:oMath>
        <m:sSub>
          <m:e>
            <m:r>
              <m:t>E</m:t>
            </m:r>
          </m:e>
          <m:sub>
            <m:r>
              <m:rPr>
                <m:nor/>
                <m:sty m:val="p"/>
              </m:rPr>
              <m:t>daily</m:t>
            </m:r>
          </m:sub>
        </m:sSub>
      </m:oMath>
      <w:r>
        <w:t xml:space="preserve"> </w:t>
      </w:r>
      <w:r>
        <w:t xml:space="preserve">are used as the main evaluation metrics. To keep the initial statistical state of the gate consistent across candidate configurations, the gate is prewarmed with historical samples from the training and validation sets before the complete-period test. Statistical significance is assessed using paired block bootstrap with 500 resamples, a block length of 48 time steps corresponding to a 4 h continuous operating segment, and a significance level of 0.05. To further examine day-level operating variability, we divide the test set into 15 complete-day rounds, each containing 288 time steps. The gate is reinitialized at the beginning of each round and prewarmed using the same historical samples. These round-level records are used for supplementary variability analysis, whereas Table 3 reports complete-period statistics to avoid mixing day-level averages with complete-period results.</w:t>
      </w:r>
    </w:p>
    <w:p>
      <w:pPr>
        <w:pStyle w:val="BodyText"/>
      </w:pPr>
      <w:r>
        <w:rPr>
          <w:rFonts w:hint="eastAsia"/>
        </w:rPr>
        <w:t xml:space="preserve">为提升结果呈现的可读性，表</w:t>
      </w:r>
      <w:r>
        <w:t xml:space="preserve"> 3 </w:t>
      </w:r>
      <w:r>
        <w:rPr>
          <w:rFonts w:hint="eastAsia"/>
        </w:rPr>
        <w:t xml:space="preserve">不再汇总全部</w:t>
      </w:r>
      <w:r>
        <w:t xml:space="preserve"> 75 </w:t>
      </w:r>
      <w:r>
        <w:rPr>
          <w:rFonts w:hint="eastAsia"/>
        </w:rPr>
        <w:t xml:space="preserve">组扫描结果，而是选取覆盖极少触发、默认门控、适度触发、高响应、长窗口、短窗口以及分位水平变化的典型参数配置，并直接报告完整测试时段上的</w:t>
      </w:r>
      <w:r>
        <w:t xml:space="preserve"> </w:t>
      </w:r>
      <m:oMath>
        <m:sSub>
          <m:e>
            <m:r>
              <m:t>R</m:t>
            </m:r>
          </m:e>
          <m:sub>
            <m:r>
              <m:rPr>
                <m:nor/>
                <m:sty m:val="p"/>
              </m:rPr>
              <m:t>test</m:t>
            </m:r>
          </m:sub>
        </m:sSub>
      </m:oMath>
      <w:r>
        <w:t xml:space="preserve">、</w:t>
      </w:r>
      <m:oMath>
        <m:sSub>
          <m:e>
            <m:r>
              <m:t>N</m:t>
            </m:r>
          </m:e>
          <m:sub>
            <m:r>
              <m:rPr>
                <m:nor/>
                <m:sty m:val="p"/>
              </m:rPr>
              <m:t>daily</m:t>
            </m:r>
          </m:sub>
        </m:sSub>
      </m:oMath>
      <w:r>
        <w:t xml:space="preserve"> </w:t>
      </w:r>
      <w:r>
        <w:rPr>
          <w:rFonts w:hint="eastAsia"/>
        </w:rPr>
        <w:t xml:space="preserve">与</w:t>
      </w:r>
      <w:r>
        <w:t xml:space="preserve"> </w:t>
      </w:r>
      <m:oMath>
        <m:sSub>
          <m:e>
            <m:r>
              <m:t>E</m:t>
            </m:r>
          </m:e>
          <m:sub>
            <m:r>
              <m:rPr>
                <m:nor/>
                <m:sty m:val="p"/>
              </m:rPr>
              <m:t>daily</m:t>
            </m:r>
          </m:sub>
        </m:sSub>
      </m:oMath>
      <w:r>
        <w:rPr>
          <w:rFonts w:hint="eastAsia"/>
        </w:rPr>
        <w:t xml:space="preserve">。需要说明的是，本节采用独立的敏感性分析协议，表中第二行对应附录</w:t>
      </w:r>
      <w:r>
        <w:t xml:space="preserve"> A </w:t>
      </w:r>
      <w:r>
        <w:rPr>
          <w:rFonts w:hint="eastAsia"/>
        </w:rPr>
        <w:t xml:space="preserve">的表</w:t>
      </w:r>
      <w:r>
        <w:t xml:space="preserve"> A2 </w:t>
      </w:r>
      <w:r>
        <w:rPr>
          <w:rFonts w:hint="eastAsia"/>
        </w:rPr>
        <w:t xml:space="preserve">所列默认门控参数在该协议下的结果，用作参数扰动比较的参照点，不替代表</w:t>
      </w:r>
      <w:r>
        <w:t xml:space="preserve"> 1 </w:t>
      </w:r>
      <w:r>
        <w:rPr>
          <w:rFonts w:hint="eastAsia"/>
        </w:rPr>
        <w:t xml:space="preserve">和表</w:t>
      </w:r>
      <w:r>
        <w:t xml:space="preserve"> 2 </w:t>
      </w:r>
      <w:r>
        <w:rPr>
          <w:rFonts w:hint="eastAsia"/>
        </w:rPr>
        <w:t xml:space="preserve">中主实验协议下的</w:t>
      </w:r>
      <w:r>
        <w:t xml:space="preserve"> ET-PRL </w:t>
      </w:r>
      <w:r>
        <w:rPr>
          <w:rFonts w:hint="eastAsia"/>
        </w:rPr>
        <w:t xml:space="preserve">结果；未列出的门控参数均保持默认配置。</w:t>
      </w:r>
    </w:p>
    <w:p>
      <w:pPr>
        <w:pStyle w:val="BodyText"/>
      </w:pPr>
      <w:r>
        <w:t xml:space="preserve">For readability, Table 3 does not list all 75 scanned configurations. Instead, it selects representative configurations that cover near-idle triggering, the default gate, moderate triggering, high response, long-window behavior, short-window behavior, and quantile-level variation, and directly reports</w:t>
      </w:r>
      <w:r>
        <w:t xml:space="preserve"> </w:t>
      </w:r>
      <m:oMath>
        <m:sSub>
          <m:e>
            <m:r>
              <m:t>R</m:t>
            </m:r>
          </m:e>
          <m:sub>
            <m:r>
              <m:rPr>
                <m:nor/>
                <m:sty m:val="p"/>
              </m:rPr>
              <m:t>test</m:t>
            </m:r>
          </m:sub>
        </m:sSub>
      </m:oMath>
      <w:r>
        <w:t xml:space="preserve">,</w:t>
      </w:r>
      <w:r>
        <w:t xml:space="preserve"> </w:t>
      </w:r>
      <m:oMath>
        <m:sSub>
          <m:e>
            <m:r>
              <m:t>N</m:t>
            </m:r>
          </m:e>
          <m:sub>
            <m:r>
              <m:rPr>
                <m:nor/>
                <m:sty m:val="p"/>
              </m:rPr>
              <m:t>daily</m:t>
            </m:r>
          </m:sub>
        </m:sSub>
      </m:oMath>
      <w:r>
        <w:t xml:space="preserve">, and</w:t>
      </w:r>
      <w:r>
        <w:t xml:space="preserve"> </w:t>
      </w:r>
      <m:oMath>
        <m:sSub>
          <m:e>
            <m:r>
              <m:t>E</m:t>
            </m:r>
          </m:e>
          <m:sub>
            <m:r>
              <m:rPr>
                <m:nor/>
                <m:sty m:val="p"/>
              </m:rPr>
              <m:t>daily</m:t>
            </m:r>
          </m:sub>
        </m:sSub>
      </m:oMath>
      <w:r>
        <w:t xml:space="preserve"> </w:t>
      </w:r>
      <w:r>
        <w:t xml:space="preserve">over the complete test period. It should be noted that this section uses an independent sensitivity analysis protocol. The second row reports the result obtained under this protocol using the default gate parameters listed in Table A2 of Appendix A and serves as the reference point for comparing parameter perturbations; it does not replace the ET-PRL results under the main experimental protocol reported in Tables 1 and 2. Gate parameters not listed in the table remain fixed at their default values.</w:t>
      </w:r>
    </w:p>
    <w:p>
      <w:pPr>
        <w:pStyle w:val="BodyText"/>
      </w:pPr>
      <w:r>
        <w:rPr>
          <w:rFonts w:hint="eastAsia"/>
        </w:rPr>
        <w:t xml:space="preserve">表</w:t>
      </w:r>
      <w:r>
        <w:t xml:space="preserve"> 3 </w:t>
      </w:r>
      <w:r>
        <w:rPr>
          <w:rFonts w:hint="eastAsia"/>
        </w:rPr>
        <w:t xml:space="preserve">敏感性分析协议下完整测试时段的门控参数组合及对应指标</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w</m:t>
                  </m:r>
                </m:e>
                <m:sub>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r>
              <w:rPr>
                <w:rFonts w:hint="eastAsia"/>
              </w:rPr>
              <w:t xml:space="preserve">，次/day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rPr>
                <w:rFonts w:hint="eastAsia"/>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0.08</m:t>
              </m:r>
            </m:oMath>
          </w:p>
        </w:tc>
        <w:tc>
          <w:tcPr>
            <w:tcBorders>
              <w:top w:val="single" w:sz="4" w:space="0" w:color="000000"/>
              <w:left w:val="single" w:sz="4" w:space="0" w:color="000000"/>
              <w:bottom w:val="single" w:sz="4" w:space="0" w:color="000000"/>
              <w:right w:val="single" w:sz="4" w:space="0" w:color="000000"/>
            </w:tcBorders>
          </w:tcPr>
          <w:p>
            <w:pPr>
              <w:pStyle w:val="Compact"/>
            </w:pPr>
            <m:oMath>
              <m:r>
                <m:t>0.05</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1275.80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6269.29</w:t>
            </w:r>
          </w:p>
        </w:tc>
      </w:tr>
      <w:tr>
        <w:tc>
          <w:tcPr>
            <w:tcBorders>
              <w:top w:val="single" w:sz="4" w:space="0" w:color="000000"/>
              <w:left w:val="single" w:sz="4" w:space="0" w:color="000000"/>
              <w:bottom w:val="single" w:sz="4" w:space="0" w:color="000000"/>
              <w:right w:val="single" w:sz="4" w:space="0" w:color="000000"/>
            </w:tcBorders>
          </w:tcPr>
          <w:p>
            <w:pPr>
              <w:pStyle w:val="Compact"/>
            </w:pPr>
            <m:oMath>
              <m:r>
                <m:t>0.00</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1752.84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7424.66</w:t>
            </w:r>
          </w:p>
        </w:tc>
      </w:tr>
      <w:tr>
        <w:tc>
          <w:tcPr>
            <w:tcBorders>
              <w:top w:val="single" w:sz="4" w:space="0" w:color="000000"/>
              <w:left w:val="single" w:sz="4" w:space="0" w:color="000000"/>
              <w:bottom w:val="single" w:sz="4" w:space="0" w:color="000000"/>
              <w:right w:val="single" w:sz="4" w:space="0" w:color="000000"/>
            </w:tcBorders>
          </w:tcPr>
          <w:p>
            <w:pPr>
              <w:pStyle w:val="Compact"/>
            </w:pPr>
            <m:oMath>
              <m:r>
                <m:t>0.00</m:t>
              </m:r>
            </m:oMath>
          </w:p>
        </w:tc>
        <w:tc>
          <w:tcPr>
            <w:tcBorders>
              <w:top w:val="single" w:sz="4" w:space="0" w:color="000000"/>
              <w:left w:val="single" w:sz="4" w:space="0" w:color="000000"/>
              <w:bottom w:val="single" w:sz="4" w:space="0" w:color="000000"/>
              <w:right w:val="single" w:sz="4" w:space="0" w:color="000000"/>
            </w:tcBorders>
          </w:tcPr>
          <w:p>
            <w:pPr>
              <w:pStyle w:val="Compact"/>
            </w:pPr>
            <m:oMath>
              <m:r>
                <m:t>0.00</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1924.77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7521.63</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240</m:t>
              </m:r>
            </m:oMath>
          </w:p>
        </w:tc>
        <w:tc>
          <w:tcPr>
            <w:tcBorders>
              <w:top w:val="single" w:sz="4" w:space="0" w:color="000000"/>
              <w:left w:val="single" w:sz="4" w:space="0" w:color="000000"/>
              <w:bottom w:val="single" w:sz="4" w:space="0" w:color="000000"/>
              <w:right w:val="single" w:sz="4" w:space="0" w:color="000000"/>
            </w:tcBorders>
          </w:tcPr>
          <w:p>
            <w:pPr>
              <w:pStyle w:val="Compact"/>
            </w:pPr>
            <m:oMath>
              <m:r>
                <m:t>0.35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1414.48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6814.08</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30</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1284.49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6921.91</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0.90</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1678.75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7513.54</w:t>
            </w:r>
          </w:p>
        </w:tc>
      </w:tr>
    </w:tbl>
    <w:p>
      <w:pPr>
        <w:pStyle w:val="BodyText"/>
      </w:pPr>
      <w:r>
        <w:t xml:space="preserve">Table 3 Gate parameter combinations and corresponding metrics over the complete test period under the sensitivity analysis protocol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w</m:t>
                  </m:r>
                </m:e>
                <m:sub>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r>
              <w:t xml:space="preserve">, count/day</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r>
              <w:t xml:space="preserve">, kWh/day</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0.08</m:t>
              </m:r>
            </m:oMath>
          </w:p>
        </w:tc>
        <w:tc>
          <w:tcPr>
            <w:tcBorders>
              <w:top w:val="single" w:sz="4" w:space="0" w:color="000000"/>
              <w:left w:val="single" w:sz="4" w:space="0" w:color="000000"/>
              <w:bottom w:val="single" w:sz="4" w:space="0" w:color="000000"/>
              <w:right w:val="single" w:sz="4" w:space="0" w:color="000000"/>
            </w:tcBorders>
          </w:tcPr>
          <w:p>
            <w:pPr>
              <w:pStyle w:val="Compact"/>
            </w:pPr>
            <m:oMath>
              <m:r>
                <m:t>0.05</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1275.80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6269.29</w:t>
            </w:r>
          </w:p>
        </w:tc>
      </w:tr>
      <w:tr>
        <w:tc>
          <w:tcPr>
            <w:tcBorders>
              <w:top w:val="single" w:sz="4" w:space="0" w:color="000000"/>
              <w:left w:val="single" w:sz="4" w:space="0" w:color="000000"/>
              <w:bottom w:val="single" w:sz="4" w:space="0" w:color="000000"/>
              <w:right w:val="single" w:sz="4" w:space="0" w:color="000000"/>
            </w:tcBorders>
          </w:tcPr>
          <w:p>
            <w:pPr>
              <w:pStyle w:val="Compact"/>
            </w:pPr>
            <m:oMath>
              <m:r>
                <m:t>0.00</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1752.84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7.06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7424.66</w:t>
            </w:r>
          </w:p>
        </w:tc>
      </w:tr>
      <w:tr>
        <w:tc>
          <w:tcPr>
            <w:tcBorders>
              <w:top w:val="single" w:sz="4" w:space="0" w:color="000000"/>
              <w:left w:val="single" w:sz="4" w:space="0" w:color="000000"/>
              <w:bottom w:val="single" w:sz="4" w:space="0" w:color="000000"/>
              <w:right w:val="single" w:sz="4" w:space="0" w:color="000000"/>
            </w:tcBorders>
          </w:tcPr>
          <w:p>
            <w:pPr>
              <w:pStyle w:val="Compact"/>
            </w:pPr>
            <m:oMath>
              <m:r>
                <m:t>0.00</m:t>
              </m:r>
            </m:oMath>
          </w:p>
        </w:tc>
        <w:tc>
          <w:tcPr>
            <w:tcBorders>
              <w:top w:val="single" w:sz="4" w:space="0" w:color="000000"/>
              <w:left w:val="single" w:sz="4" w:space="0" w:color="000000"/>
              <w:bottom w:val="single" w:sz="4" w:space="0" w:color="000000"/>
              <w:right w:val="single" w:sz="4" w:space="0" w:color="000000"/>
            </w:tcBorders>
          </w:tcPr>
          <w:p>
            <w:pPr>
              <w:pStyle w:val="Compact"/>
            </w:pPr>
            <m:oMath>
              <m:r>
                <m:t>0.00</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1924.77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7521.63</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240</m:t>
              </m:r>
            </m:oMath>
          </w:p>
        </w:tc>
        <w:tc>
          <w:tcPr>
            <w:tcBorders>
              <w:top w:val="single" w:sz="4" w:space="0" w:color="000000"/>
              <w:left w:val="single" w:sz="4" w:space="0" w:color="000000"/>
              <w:bottom w:val="single" w:sz="4" w:space="0" w:color="000000"/>
              <w:right w:val="single" w:sz="4" w:space="0" w:color="000000"/>
            </w:tcBorders>
          </w:tcPr>
          <w:p>
            <w:pPr>
              <w:pStyle w:val="Compact"/>
            </w:pPr>
            <m:oMath>
              <m:r>
                <m:t>0.35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1414.48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6814.08</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30</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0.668</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1284.49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6921.91</w:t>
            </w:r>
          </w:p>
        </w:tc>
      </w:tr>
      <w:tr>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m:t>
              </m:r>
            </m:oMath>
          </w:p>
        </w:tc>
        <w:tc>
          <w:tcPr>
            <w:tcBorders>
              <w:top w:val="single" w:sz="4" w:space="0" w:color="000000"/>
              <w:left w:val="single" w:sz="4" w:space="0" w:color="000000"/>
              <w:bottom w:val="single" w:sz="4" w:space="0" w:color="000000"/>
              <w:right w:val="single" w:sz="4" w:space="0" w:color="000000"/>
            </w:tcBorders>
          </w:tcPr>
          <w:p>
            <w:pPr>
              <w:pStyle w:val="Compact"/>
            </w:pPr>
            <m:oMath>
              <m:r>
                <m:t>0.022</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oMath>
          </w:p>
        </w:tc>
        <w:tc>
          <w:tcPr>
            <w:tcBorders>
              <w:top w:val="single" w:sz="4" w:space="0" w:color="000000"/>
              <w:left w:val="single" w:sz="4" w:space="0" w:color="000000"/>
              <w:bottom w:val="single" w:sz="4" w:space="0" w:color="000000"/>
              <w:right w:val="single" w:sz="4" w:space="0" w:color="000000"/>
            </w:tcBorders>
          </w:tcPr>
          <w:p>
            <w:pPr>
              <w:pStyle w:val="Compact"/>
            </w:pPr>
            <m:oMath>
              <m:r>
                <m:t>0.90</m:t>
              </m:r>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1678.75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7513.54</w:t>
            </w:r>
          </w:p>
        </w:tc>
      </w:tr>
    </w:tbl>
    <w:p>
      <w:pPr>
        <w:pStyle w:val="BodyText"/>
      </w:pPr>
      <w:r>
        <w:rPr>
          <w:rFonts w:hint="eastAsia"/>
        </w:rPr>
        <w:t xml:space="preserve">由表</w:t>
      </w:r>
      <w:r>
        <w:t xml:space="preserve"> 3 </w:t>
      </w:r>
      <w:r>
        <w:rPr>
          <w:rFonts w:hint="eastAsia"/>
        </w:rPr>
        <w:t xml:space="preserve">可见，不同参数组合在控制收益、触发频率与能耗之间呈现清晰权衡。边界参数的耦合会显著改变触发强度：当</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t>0.08</m:t>
        </m:r>
      </m:oMath>
      <w:r>
        <w:t xml:space="preserve"> </w:t>
      </w:r>
      <w:r>
        <w:rPr>
          <w:rFonts w:hint="eastAsia"/>
        </w:rPr>
        <w:t xml:space="preserve">且</w:t>
      </w:r>
      <w:r>
        <w:t xml:space="preserve"> </w:t>
      </w:r>
      <m:oMath>
        <m:sSub>
          <m:e>
            <m:r>
              <m:t>m</m:t>
            </m:r>
          </m:e>
          <m:sub>
            <m:r>
              <m:rPr>
                <m:sty m:val="p"/>
              </m:rPr>
              <m:t>h</m:t>
            </m:r>
            <m:r>
              <m:rPr>
                <m:sty m:val="p"/>
              </m:rPr>
              <m:t>y</m:t>
            </m:r>
            <m:r>
              <m:rPr>
                <m:sty m:val="p"/>
              </m:rPr>
              <m:t>s</m:t>
            </m:r>
          </m:sub>
        </m:sSub>
        <m:r>
          <m:rPr>
            <m:sty m:val="p"/>
          </m:rPr>
          <m:t>=</m:t>
        </m:r>
        <m:r>
          <m:t>0.05</m:t>
        </m:r>
      </m:oMath>
      <w:r>
        <w:t xml:space="preserve"> </w:t>
      </w:r>
      <w:r>
        <w:rPr>
          <w:rFonts w:hint="eastAsia"/>
        </w:rPr>
        <w:t xml:space="preserve">时，</w:t>
      </w:r>
      <m:oMath>
        <m:sSub>
          <m:e>
            <m:r>
              <m:t>N</m:t>
            </m:r>
          </m:e>
          <m:sub>
            <m:r>
              <m:rPr>
                <m:nor/>
                <m:sty m:val="p"/>
              </m:rPr>
              <m:t>daily</m:t>
            </m:r>
          </m:sub>
        </m:sSub>
      </m:oMath>
      <w:r>
        <w:t xml:space="preserve"> </w:t>
      </w:r>
      <w:r>
        <w:rPr>
          <w:rFonts w:hint="eastAsia"/>
        </w:rPr>
        <w:t xml:space="preserve">降至</w:t>
      </w:r>
      <w:r>
        <w:t xml:space="preserve"> 0.00 </w:t>
      </w:r>
      <w:r>
        <w:rPr>
          <w:rFonts w:hint="eastAsia"/>
        </w:rPr>
        <w:t xml:space="preserve">次/day，</w:t>
      </w:r>
      <m:oMath>
        <m:sSub>
          <m:e>
            <m:r>
              <m:t>E</m:t>
            </m:r>
          </m:e>
          <m:sub>
            <m:r>
              <m:rPr>
                <m:nor/>
                <m:sty m:val="p"/>
              </m:rPr>
              <m:t>daily</m:t>
            </m:r>
          </m:sub>
        </m:sSub>
      </m:oMath>
      <w:r>
        <w:t xml:space="preserve"> </w:t>
      </w:r>
      <w:r>
        <w:rPr>
          <w:rFonts w:hint="eastAsia"/>
        </w:rPr>
        <w:t xml:space="preserve">降至</w:t>
      </w:r>
      <w:r>
        <w:t xml:space="preserve"> 4144.14 </w:t>
      </w:r>
      <w:r>
        <w:rPr>
          <w:rFonts w:hint="eastAsia"/>
        </w:rPr>
        <w:t xml:space="preserve">kWh/day，但</w:t>
      </w:r>
      <w:r>
        <w:t xml:space="preserve"> </w:t>
      </w:r>
      <m:oMath>
        <m:sSub>
          <m:e>
            <m:r>
              <m:t>R</m:t>
            </m:r>
          </m:e>
          <m:sub>
            <m:r>
              <m:rPr>
                <m:nor/>
                <m:sty m:val="p"/>
              </m:rPr>
              <m:t>test</m:t>
            </m:r>
          </m:sub>
        </m:sSub>
      </m:oMath>
      <w:r>
        <w:t xml:space="preserve"> </w:t>
      </w:r>
      <w:r>
        <w:rPr>
          <w:rFonts w:hint="eastAsia"/>
        </w:rPr>
        <w:t xml:space="preserve">仅为</w:t>
      </w:r>
      <w:r>
        <w:t xml:space="preserve"> </w:t>
      </w:r>
      <w:r>
        <w:rPr>
          <w:rFonts w:hint="eastAsia"/>
        </w:rPr>
        <w:t xml:space="preserve">634.80，说明过强的触发抑制虽然降低了执行强度和能耗，却会削弱关键扰动响应能力，因而不能被视为综合最优配置。在敏感性分析协议下，默认参数配置取得</w:t>
      </w:r>
      <w:r>
        <w:t xml:space="preserve"> </w:t>
      </w:r>
      <m:oMath>
        <m:sSub>
          <m:e>
            <m:r>
              <m:t>R</m:t>
            </m:r>
          </m:e>
          <m:sub>
            <m:r>
              <m:rPr>
                <m:nor/>
                <m:sty m:val="p"/>
              </m:rPr>
              <m:t>test</m:t>
            </m:r>
          </m:sub>
        </m:sSub>
        <m:r>
          <m:rPr>
            <m:sty m:val="p"/>
          </m:rPr>
          <m:t>=</m:t>
        </m:r>
        <m:r>
          <m:t>1275.80</m:t>
        </m:r>
      </m:oMath>
      <w:r>
        <w:t xml:space="preserve">、</w:t>
      </w:r>
      <m:oMath>
        <m:sSub>
          <m:e>
            <m:r>
              <m:t>N</m:t>
            </m:r>
          </m:e>
          <m:sub>
            <m:r>
              <m:rPr>
                <m:nor/>
                <m:sty m:val="p"/>
              </m:rPr>
              <m:t>daily</m:t>
            </m:r>
          </m:sub>
        </m:sSub>
        <m:r>
          <m:rPr>
            <m:sty m:val="p"/>
          </m:rPr>
          <m:t>=</m:t>
        </m:r>
        <m:r>
          <m:t>1.18</m:t>
        </m:r>
      </m:oMath>
      <w:r>
        <w:t xml:space="preserve"> </w:t>
      </w:r>
      <w:r>
        <w:rPr>
          <w:rFonts w:hint="eastAsia"/>
        </w:rPr>
        <w:t xml:space="preserve">次/day</w:t>
      </w:r>
      <w:r>
        <w:t xml:space="preserve"> </w:t>
      </w:r>
      <w:r>
        <w:rPr>
          <w:rFonts w:hint="eastAsia"/>
        </w:rPr>
        <w:t xml:space="preserve">和</w:t>
      </w:r>
      <w:r>
        <w:t xml:space="preserve"> </w:t>
      </w:r>
      <m:oMath>
        <m:sSub>
          <m:e>
            <m:r>
              <m:t>E</m:t>
            </m:r>
          </m:e>
          <m:sub>
            <m:r>
              <m:rPr>
                <m:nor/>
                <m:sty m:val="p"/>
              </m:rPr>
              <m:t>daily</m:t>
            </m:r>
          </m:sub>
        </m:sSub>
        <m:r>
          <m:rPr>
            <m:sty m:val="p"/>
          </m:rPr>
          <m:t>=</m:t>
        </m:r>
        <m:r>
          <m:t>6269.29</m:t>
        </m:r>
      </m:oMath>
      <w:r>
        <w:t xml:space="preserve"> </w:t>
      </w:r>
      <w:r>
        <w:rPr>
          <w:rFonts w:hint="eastAsia"/>
        </w:rPr>
        <w:t xml:space="preserve">kWh/day，体现了较保守的稀疏控制基准。当边界参数调整为</w:t>
      </w:r>
      <w:r>
        <w:t xml:space="preserve"> </w:t>
      </w:r>
      <m:oMath>
        <m:sSub>
          <m:e>
            <m:r>
              <m:t>b</m:t>
            </m:r>
          </m:e>
          <m:sub>
            <m:r>
              <m:rPr>
                <m:sty m:val="p"/>
              </m:rPr>
              <m:t>b</m:t>
            </m:r>
            <m:r>
              <m:rPr>
                <m:sty m:val="p"/>
              </m:rPr>
              <m:t>i</m:t>
            </m:r>
            <m:r>
              <m:rPr>
                <m:sty m:val="p"/>
              </m:rPr>
              <m:t>a</m:t>
            </m:r>
            <m:r>
              <m:rPr>
                <m:sty m:val="p"/>
              </m:rPr>
              <m:t>s</m:t>
            </m:r>
          </m:sub>
        </m:sSub>
        <m:r>
          <m:rPr>
            <m:sty m:val="p"/>
          </m:rPr>
          <m:t>=</m:t>
        </m:r>
        <m:r>
          <m:t>0.00</m:t>
        </m:r>
      </m:oMath>
      <w:r>
        <w:t xml:space="preserve">、</w:t>
      </w:r>
      <m:oMath>
        <m:sSub>
          <m:e>
            <m:r>
              <m:t>m</m:t>
            </m:r>
          </m:e>
          <m:sub>
            <m:r>
              <m:rPr>
                <m:sty m:val="p"/>
              </m:rPr>
              <m:t>h</m:t>
            </m:r>
            <m:r>
              <m:rPr>
                <m:sty m:val="p"/>
              </m:rPr>
              <m:t>y</m:t>
            </m:r>
            <m:r>
              <m:rPr>
                <m:sty m:val="p"/>
              </m:rPr>
              <m:t>s</m:t>
            </m:r>
          </m:sub>
        </m:sSub>
        <m:r>
          <m:rPr>
            <m:sty m:val="p"/>
          </m:rPr>
          <m:t>=</m:t>
        </m:r>
        <m:r>
          <m:t>0.022</m:t>
        </m:r>
      </m:oMath>
      <w:r>
        <w:t xml:space="preserve"> </w:t>
      </w:r>
      <w:r>
        <w:rPr>
          <w:rFonts w:hint="eastAsia"/>
        </w:rPr>
        <w:t xml:space="preserve">时，</w:t>
      </w:r>
      <m:oMath>
        <m:sSub>
          <m:e>
            <m:r>
              <m:t>R</m:t>
            </m:r>
          </m:e>
          <m:sub>
            <m:r>
              <m:rPr>
                <m:nor/>
                <m:sty m:val="p"/>
              </m:rPr>
              <m:t>test</m:t>
            </m:r>
          </m:sub>
        </m:sSub>
      </m:oMath>
      <w:r>
        <w:t xml:space="preserve"> </w:t>
      </w:r>
      <w:r>
        <w:rPr>
          <w:rFonts w:hint="eastAsia"/>
        </w:rPr>
        <w:t xml:space="preserve">提升至</w:t>
      </w:r>
      <w:r>
        <w:t xml:space="preserve"> </w:t>
      </w:r>
      <w:r>
        <w:rPr>
          <w:rFonts w:hint="eastAsia"/>
        </w:rPr>
        <w:t xml:space="preserve">1752.84，但日均触发次数和日均能耗同步升至</w:t>
      </w:r>
      <w:r>
        <w:t xml:space="preserve"> 7.06 </w:t>
      </w:r>
      <w:r>
        <w:rPr>
          <w:rFonts w:hint="eastAsia"/>
        </w:rPr>
        <w:t xml:space="preserve">次/day</w:t>
      </w:r>
      <w:r>
        <w:t xml:space="preserve"> </w:t>
      </w:r>
      <w:r>
        <w:rPr>
          <w:rFonts w:hint="eastAsia"/>
        </w:rPr>
        <w:t xml:space="preserve">与</w:t>
      </w:r>
      <w:r>
        <w:t xml:space="preserve"> 7424.66 </w:t>
      </w:r>
      <w:r>
        <w:rPr>
          <w:rFonts w:hint="eastAsia"/>
        </w:rPr>
        <w:t xml:space="preserve">kWh/day；当滞回裕度进一步降为</w:t>
      </w:r>
      <w:r>
        <w:t xml:space="preserve"> 0.00 </w:t>
      </w:r>
      <w:r>
        <w:rPr>
          <w:rFonts w:hint="eastAsia"/>
        </w:rPr>
        <w:t xml:space="preserve">时，</w:t>
      </w:r>
      <m:oMath>
        <m:sSub>
          <m:e>
            <m:r>
              <m:t>R</m:t>
            </m:r>
          </m:e>
          <m:sub>
            <m:r>
              <m:rPr>
                <m:nor/>
                <m:sty m:val="p"/>
              </m:rPr>
              <m:t>test</m:t>
            </m:r>
          </m:sub>
        </m:sSub>
      </m:oMath>
      <w:r>
        <w:t xml:space="preserve"> </w:t>
      </w:r>
      <w:r>
        <w:rPr>
          <w:rFonts w:hint="eastAsia"/>
        </w:rPr>
        <w:t xml:space="preserve">达到</w:t>
      </w:r>
      <w:r>
        <w:t xml:space="preserve"> </w:t>
      </w:r>
      <w:r>
        <w:rPr>
          <w:rFonts w:hint="eastAsia"/>
        </w:rPr>
        <w:t xml:space="preserve">1924.77，但</w:t>
      </w:r>
      <w:r>
        <w:t xml:space="preserve"> </w:t>
      </w:r>
      <m:oMath>
        <m:sSub>
          <m:e>
            <m:r>
              <m:t>N</m:t>
            </m:r>
          </m:e>
          <m:sub>
            <m:r>
              <m:rPr>
                <m:nor/>
                <m:sty m:val="p"/>
              </m:rPr>
              <m:t>daily</m:t>
            </m:r>
          </m:sub>
        </m:sSub>
      </m:oMath>
      <w:r>
        <w:t xml:space="preserve"> </w:t>
      </w:r>
      <w:r>
        <w:rPr>
          <w:rFonts w:hint="eastAsia"/>
        </w:rPr>
        <w:t xml:space="preserve">与</w:t>
      </w:r>
      <w:r>
        <w:t xml:space="preserve"> </w:t>
      </w:r>
      <m:oMath>
        <m:sSub>
          <m:e>
            <m:r>
              <m:t>E</m:t>
            </m:r>
          </m:e>
          <m:sub>
            <m:r>
              <m:rPr>
                <m:nor/>
                <m:sty m:val="p"/>
              </m:rPr>
              <m:t>daily</m:t>
            </m:r>
          </m:sub>
        </m:sSub>
      </m:oMath>
      <w:r>
        <w:t xml:space="preserve"> </w:t>
      </w:r>
      <w:r>
        <w:rPr>
          <w:rFonts w:hint="eastAsia"/>
        </w:rPr>
        <w:t xml:space="preserve">分别增至</w:t>
      </w:r>
      <w:r>
        <w:t xml:space="preserve"> 17.79 </w:t>
      </w:r>
      <w:r>
        <w:rPr>
          <w:rFonts w:hint="eastAsia"/>
        </w:rPr>
        <w:t xml:space="preserve">次/day</w:t>
      </w:r>
      <w:r>
        <w:t xml:space="preserve"> </w:t>
      </w:r>
      <w:r>
        <w:rPr>
          <w:rFonts w:hint="eastAsia"/>
        </w:rPr>
        <w:t xml:space="preserve">和</w:t>
      </w:r>
      <w:r>
        <w:t xml:space="preserve"> 7521.63 </w:t>
      </w:r>
      <w:r>
        <w:rPr>
          <w:rFonts w:hint="eastAsia"/>
        </w:rPr>
        <w:t xml:space="preserve">kWh/day。该结果表明，边界参数能够在极低触发与高响应控制之间调节门控行为，但过度提高响应强度会带来更高执行频率和能耗代价。</w:t>
      </w:r>
    </w:p>
    <w:p>
      <w:pPr>
        <w:pStyle w:val="BodyText"/>
      </w:pPr>
      <w:r>
        <w:t xml:space="preserve">As shown in Table 3, different parameter combinations produce a clear trade-off among control benefit, trigger frequency, and energy consumption. The coupling between boundary parameters substantially changes trigger intensity. When</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t>0.08</m:t>
        </m:r>
      </m:oMath>
      <w:r>
        <w:t xml:space="preserve"> </w:t>
      </w:r>
      <w:r>
        <w:t xml:space="preserve">and</w:t>
      </w:r>
      <w:r>
        <w:t xml:space="preserve"> </w:t>
      </w:r>
      <m:oMath>
        <m:sSub>
          <m:e>
            <m:r>
              <m:t>m</m:t>
            </m:r>
          </m:e>
          <m:sub>
            <m:r>
              <m:rPr>
                <m:sty m:val="p"/>
              </m:rPr>
              <m:t>h</m:t>
            </m:r>
            <m:r>
              <m:rPr>
                <m:sty m:val="p"/>
              </m:rPr>
              <m:t>y</m:t>
            </m:r>
            <m:r>
              <m:rPr>
                <m:sty m:val="p"/>
              </m:rPr>
              <m:t>s</m:t>
            </m:r>
          </m:sub>
        </m:sSub>
        <m:r>
          <m:rPr>
            <m:sty m:val="p"/>
          </m:rPr>
          <m:t>=</m:t>
        </m:r>
        <m:r>
          <m:t>0.05</m:t>
        </m:r>
      </m:oMath>
      <w:r>
        <w:t xml:space="preserve">,</w:t>
      </w:r>
      <w:r>
        <w:t xml:space="preserve"> </w:t>
      </w:r>
      <m:oMath>
        <m:sSub>
          <m:e>
            <m:r>
              <m:t>N</m:t>
            </m:r>
          </m:e>
          <m:sub>
            <m:r>
              <m:rPr>
                <m:nor/>
                <m:sty m:val="p"/>
              </m:rPr>
              <m:t>daily</m:t>
            </m:r>
          </m:sub>
        </m:sSub>
      </m:oMath>
      <w:r>
        <w:t xml:space="preserve"> </w:t>
      </w:r>
      <w:r>
        <w:t xml:space="preserve">decreases to 0.00 count/day and</w:t>
      </w:r>
      <w:r>
        <w:t xml:space="preserve"> </w:t>
      </w:r>
      <m:oMath>
        <m:sSub>
          <m:e>
            <m:r>
              <m:t>E</m:t>
            </m:r>
          </m:e>
          <m:sub>
            <m:r>
              <m:rPr>
                <m:nor/>
                <m:sty m:val="p"/>
              </m:rPr>
              <m:t>daily</m:t>
            </m:r>
          </m:sub>
        </m:sSub>
      </m:oMath>
      <w:r>
        <w:t xml:space="preserve"> </w:t>
      </w:r>
      <w:r>
        <w:t xml:space="preserve">decreases to 4144.14 kWh/day, but</w:t>
      </w:r>
      <w:r>
        <w:t xml:space="preserve"> </w:t>
      </w:r>
      <m:oMath>
        <m:sSub>
          <m:e>
            <m:r>
              <m:t>R</m:t>
            </m:r>
          </m:e>
          <m:sub>
            <m:r>
              <m:rPr>
                <m:nor/>
                <m:sty m:val="p"/>
              </m:rPr>
              <m:t>test</m:t>
            </m:r>
          </m:sub>
        </m:sSub>
      </m:oMath>
      <w:r>
        <w:t xml:space="preserve"> </w:t>
      </w:r>
      <w:r>
        <w:t xml:space="preserve">is only 634.80. This result indicates that excessive trigger suppression reduces execution intensity and energy use, but weakens the response to critical disturbances; therefore, it should not be interpreted as the best overall configuration. Under the sensitivity analysis protocol, the default parameter configuration obtains</w:t>
      </w:r>
      <w:r>
        <w:t xml:space="preserve"> </w:t>
      </w:r>
      <m:oMath>
        <m:sSub>
          <m:e>
            <m:r>
              <m:t>R</m:t>
            </m:r>
          </m:e>
          <m:sub>
            <m:r>
              <m:rPr>
                <m:nor/>
                <m:sty m:val="p"/>
              </m:rPr>
              <m:t>test</m:t>
            </m:r>
          </m:sub>
        </m:sSub>
        <m:r>
          <m:rPr>
            <m:sty m:val="p"/>
          </m:rPr>
          <m:t>=</m:t>
        </m:r>
        <m:r>
          <m:t>1275.80</m:t>
        </m:r>
      </m:oMath>
      <w:r>
        <w:t xml:space="preserve">,</w:t>
      </w:r>
      <w:r>
        <w:t xml:space="preserve"> </w:t>
      </w:r>
      <m:oMath>
        <m:sSub>
          <m:e>
            <m:r>
              <m:t>N</m:t>
            </m:r>
          </m:e>
          <m:sub>
            <m:r>
              <m:rPr>
                <m:nor/>
                <m:sty m:val="p"/>
              </m:rPr>
              <m:t>daily</m:t>
            </m:r>
          </m:sub>
        </m:sSub>
        <m:r>
          <m:rPr>
            <m:sty m:val="p"/>
          </m:rPr>
          <m:t>=</m:t>
        </m:r>
        <m:r>
          <m:t>1.18</m:t>
        </m:r>
      </m:oMath>
      <w:r>
        <w:t xml:space="preserve"> </w:t>
      </w:r>
      <w:r>
        <w:t xml:space="preserve">count/day, and</w:t>
      </w:r>
      <w:r>
        <w:t xml:space="preserve"> </w:t>
      </w:r>
      <m:oMath>
        <m:sSub>
          <m:e>
            <m:r>
              <m:t>E</m:t>
            </m:r>
          </m:e>
          <m:sub>
            <m:r>
              <m:rPr>
                <m:nor/>
                <m:sty m:val="p"/>
              </m:rPr>
              <m:t>daily</m:t>
            </m:r>
          </m:sub>
        </m:sSub>
        <m:r>
          <m:rPr>
            <m:sty m:val="p"/>
          </m:rPr>
          <m:t>=</m:t>
        </m:r>
        <m:r>
          <m:t>6269.29</m:t>
        </m:r>
      </m:oMath>
      <w:r>
        <w:t xml:space="preserve"> </w:t>
      </w:r>
      <w:r>
        <w:t xml:space="preserve">kWh/day, representing a conservative sparse-control baseline. When the boundary parameters are adjusted to</w:t>
      </w:r>
      <w:r>
        <w:t xml:space="preserve"> </w:t>
      </w:r>
      <m:oMath>
        <m:sSub>
          <m:e>
            <m:r>
              <m:t>b</m:t>
            </m:r>
          </m:e>
          <m:sub>
            <m:r>
              <m:rPr>
                <m:sty m:val="p"/>
              </m:rPr>
              <m:t>b</m:t>
            </m:r>
            <m:r>
              <m:rPr>
                <m:sty m:val="p"/>
              </m:rPr>
              <m:t>i</m:t>
            </m:r>
            <m:r>
              <m:rPr>
                <m:sty m:val="p"/>
              </m:rPr>
              <m:t>a</m:t>
            </m:r>
            <m:r>
              <m:rPr>
                <m:sty m:val="p"/>
              </m:rPr>
              <m:t>s</m:t>
            </m:r>
          </m:sub>
        </m:sSub>
        <m:r>
          <m:rPr>
            <m:sty m:val="p"/>
          </m:rPr>
          <m:t>=</m:t>
        </m:r>
        <m:r>
          <m:t>0.00</m:t>
        </m:r>
      </m:oMath>
      <w:r>
        <w:t xml:space="preserve"> </w:t>
      </w:r>
      <w:r>
        <w:t xml:space="preserve">and</w:t>
      </w:r>
      <w:r>
        <w:t xml:space="preserve"> </w:t>
      </w:r>
      <m:oMath>
        <m:sSub>
          <m:e>
            <m:r>
              <m:t>m</m:t>
            </m:r>
          </m:e>
          <m:sub>
            <m:r>
              <m:rPr>
                <m:sty m:val="p"/>
              </m:rPr>
              <m:t>h</m:t>
            </m:r>
            <m:r>
              <m:rPr>
                <m:sty m:val="p"/>
              </m:rPr>
              <m:t>y</m:t>
            </m:r>
            <m:r>
              <m:rPr>
                <m:sty m:val="p"/>
              </m:rPr>
              <m:t>s</m:t>
            </m:r>
          </m:sub>
        </m:sSub>
        <m:r>
          <m:rPr>
            <m:sty m:val="p"/>
          </m:rPr>
          <m:t>=</m:t>
        </m:r>
        <m:r>
          <m:t>0.022</m:t>
        </m:r>
      </m:oMath>
      <w:r>
        <w:t xml:space="preserve">,</w:t>
      </w:r>
      <w:r>
        <w:t xml:space="preserve"> </w:t>
      </w:r>
      <m:oMath>
        <m:sSub>
          <m:e>
            <m:r>
              <m:t>R</m:t>
            </m:r>
          </m:e>
          <m:sub>
            <m:r>
              <m:rPr>
                <m:nor/>
                <m:sty m:val="p"/>
              </m:rPr>
              <m:t>test</m:t>
            </m:r>
          </m:sub>
        </m:sSub>
      </m:oMath>
      <w:r>
        <w:t xml:space="preserve"> </w:t>
      </w:r>
      <w:r>
        <w:t xml:space="preserve">increases to 1752.84, while the daily trigger count and daily energy consumption also increase to 7.06 count/day and 7424.66 kWh/day. When the hysteresis margin is further reduced to 0.00,</w:t>
      </w:r>
      <w:r>
        <w:t xml:space="preserve"> </w:t>
      </w:r>
      <m:oMath>
        <m:sSub>
          <m:e>
            <m:r>
              <m:t>R</m:t>
            </m:r>
          </m:e>
          <m:sub>
            <m:r>
              <m:rPr>
                <m:nor/>
                <m:sty m:val="p"/>
              </m:rPr>
              <m:t>test</m:t>
            </m:r>
          </m:sub>
        </m:sSub>
      </m:oMath>
      <w:r>
        <w:t xml:space="preserve"> </w:t>
      </w:r>
      <w:r>
        <w:t xml:space="preserve">reaches 1924.77, whereas</w:t>
      </w:r>
      <w:r>
        <w:t xml:space="preserve"> </w:t>
      </w:r>
      <m:oMath>
        <m:sSub>
          <m:e>
            <m:r>
              <m:t>N</m:t>
            </m:r>
          </m:e>
          <m:sub>
            <m:r>
              <m:rPr>
                <m:nor/>
                <m:sty m:val="p"/>
              </m:rPr>
              <m:t>daily</m:t>
            </m:r>
          </m:sub>
        </m:sSub>
      </m:oMath>
      <w:r>
        <w:t xml:space="preserve"> </w:t>
      </w:r>
      <w:r>
        <w:t xml:space="preserve">and</w:t>
      </w:r>
      <w:r>
        <w:t xml:space="preserve"> </w:t>
      </w:r>
      <m:oMath>
        <m:sSub>
          <m:e>
            <m:r>
              <m:t>E</m:t>
            </m:r>
          </m:e>
          <m:sub>
            <m:r>
              <m:rPr>
                <m:nor/>
                <m:sty m:val="p"/>
              </m:rPr>
              <m:t>daily</m:t>
            </m:r>
          </m:sub>
        </m:sSub>
      </m:oMath>
      <w:r>
        <w:t xml:space="preserve"> </w:t>
      </w:r>
      <w:r>
        <w:t xml:space="preserve">rise to 17.79 count/day and 7521.63 kWh/day, respectively. These results indicate that the boundary parameters regulate gating behavior from very low triggering to high-response control, but excessive responsiveness incurs higher execution frequency and energy cost.</w:t>
      </w:r>
    </w:p>
    <w:p>
      <w:pPr>
        <w:pStyle w:val="BodyText"/>
      </w:pPr>
      <w:r>
        <w:rPr>
          <w:rFonts w:hint="eastAsia"/>
        </w:rPr>
        <w:t xml:space="preserve">从时间尺度和分位水平看，长窗口与低短尺度权重配置显著降低触发强度。当</w:t>
      </w:r>
      <w:r>
        <w:t xml:space="preserve"> </w:t>
      </w:r>
      <m:oMath>
        <m:r>
          <m:t>W</m:t>
        </m:r>
        <m:r>
          <m:rPr>
            <m:sty m:val="p"/>
          </m:rPr>
          <m:t>=</m:t>
        </m:r>
        <m:r>
          <m:t>240</m:t>
        </m:r>
      </m:oMath>
      <w:r>
        <w:t xml:space="preserve"> </w:t>
      </w:r>
      <w:r>
        <w:rPr>
          <w:rFonts w:hint="eastAsia"/>
        </w:rPr>
        <w:t xml:space="preserve">且</w:t>
      </w:r>
      <w:r>
        <w:t xml:space="preserve"> </w:t>
      </w:r>
      <m:oMath>
        <m:sSub>
          <m:e>
            <m:r>
              <m:t>w</m:t>
            </m:r>
          </m:e>
          <m:sub>
            <m:r>
              <m:rPr>
                <m:sty m:val="p"/>
              </m:rPr>
              <m:t>s</m:t>
            </m:r>
          </m:sub>
        </m:sSub>
        <m:r>
          <m:rPr>
            <m:sty m:val="p"/>
          </m:rPr>
          <m:t>=</m:t>
        </m:r>
        <m:r>
          <m:t>0.35</m:t>
        </m:r>
      </m:oMath>
      <w:r>
        <w:t xml:space="preserve"> </w:t>
      </w:r>
      <w:r>
        <w:rPr>
          <w:rFonts w:hint="eastAsia"/>
        </w:rPr>
        <w:t xml:space="preserve">时，</w:t>
      </w:r>
      <m:oMath>
        <m:sSub>
          <m:e>
            <m:r>
              <m:t>N</m:t>
            </m:r>
          </m:e>
          <m:sub>
            <m:r>
              <m:rPr>
                <m:nor/>
                <m:sty m:val="p"/>
              </m:rPr>
              <m:t>daily</m:t>
            </m:r>
          </m:sub>
        </m:sSub>
      </m:oMath>
      <w:r>
        <w:t xml:space="preserve"> </w:t>
      </w:r>
      <w:r>
        <w:rPr>
          <w:rFonts w:hint="eastAsia"/>
        </w:rPr>
        <w:t xml:space="preserve">仅为</w:t>
      </w:r>
      <w:r>
        <w:t xml:space="preserve"> 0.20 </w:t>
      </w:r>
      <w:r>
        <w:rPr>
          <w:rFonts w:hint="eastAsia"/>
        </w:rPr>
        <w:t xml:space="preserve">次/day，但</w:t>
      </w:r>
      <w:r>
        <w:t xml:space="preserve"> </w:t>
      </w:r>
      <m:oMath>
        <m:sSub>
          <m:e>
            <m:r>
              <m:t>E</m:t>
            </m:r>
          </m:e>
          <m:sub>
            <m:r>
              <m:rPr>
                <m:nor/>
                <m:sty m:val="p"/>
              </m:rPr>
              <m:t>daily</m:t>
            </m:r>
          </m:sub>
        </m:sSub>
      </m:oMath>
      <w:r>
        <w:t xml:space="preserve"> </w:t>
      </w:r>
      <w:r>
        <w:rPr>
          <w:rFonts w:hint="eastAsia"/>
        </w:rPr>
        <w:t xml:space="preserve">为</w:t>
      </w:r>
      <w:r>
        <w:t xml:space="preserve"> 6814.08 </w:t>
      </w:r>
      <w:r>
        <w:rPr>
          <w:rFonts w:hint="eastAsia"/>
        </w:rPr>
        <w:t xml:space="preserve">kWh/day，说明过强的时间尺度平滑可能错过部分节能设定更新时机。相反，</w:t>
      </w:r>
      <m:oMath>
        <m:r>
          <m:t>W</m:t>
        </m:r>
        <m:r>
          <m:rPr>
            <m:sty m:val="p"/>
          </m:rPr>
          <m:t>=</m:t>
        </m:r>
        <m:r>
          <m:t>30</m:t>
        </m:r>
      </m:oMath>
      <w:r>
        <w:t xml:space="preserve">、</w:t>
      </w:r>
      <m:oMath>
        <m:sSub>
          <m:e>
            <m:r>
              <m:t>w</m:t>
            </m:r>
          </m:e>
          <m:sub>
            <m:r>
              <m:rPr>
                <m:sty m:val="p"/>
              </m:rPr>
              <m:t>s</m:t>
            </m:r>
          </m:sub>
        </m:sSub>
        <m:r>
          <m:rPr>
            <m:sty m:val="p"/>
          </m:rPr>
          <m:t>=</m:t>
        </m:r>
        <m:r>
          <m:t>0.55</m:t>
        </m:r>
      </m:oMath>
      <w:r>
        <w:t xml:space="preserve"> </w:t>
      </w:r>
      <w:r>
        <w:rPr>
          <w:rFonts w:hint="eastAsia"/>
        </w:rPr>
        <w:t xml:space="preserve">的短窗口配置将</w:t>
      </w:r>
      <w:r>
        <w:t xml:space="preserve"> </w:t>
      </w:r>
      <m:oMath>
        <m:sSub>
          <m:e>
            <m:r>
              <m:t>R</m:t>
            </m:r>
          </m:e>
          <m:sub>
            <m:r>
              <m:rPr>
                <m:nor/>
                <m:sty m:val="p"/>
              </m:rPr>
              <m:t>test</m:t>
            </m:r>
          </m:sub>
        </m:sSub>
      </m:oMath>
      <w:r>
        <w:t xml:space="preserve"> </w:t>
      </w:r>
      <w:r>
        <w:rPr>
          <w:rFonts w:hint="eastAsia"/>
        </w:rPr>
        <w:t xml:space="preserve">提高到</w:t>
      </w:r>
      <w:r>
        <w:t xml:space="preserve"> </w:t>
      </w:r>
      <w:r>
        <w:rPr>
          <w:rFonts w:hint="eastAsia"/>
        </w:rPr>
        <w:t xml:space="preserve">1909.19，但</w:t>
      </w:r>
      <w:r>
        <w:t xml:space="preserve"> </w:t>
      </w:r>
      <m:oMath>
        <m:sSub>
          <m:e>
            <m:r>
              <m:t>N</m:t>
            </m:r>
          </m:e>
          <m:sub>
            <m:r>
              <m:rPr>
                <m:nor/>
                <m:sty m:val="p"/>
              </m:rPr>
              <m:t>daily</m:t>
            </m:r>
          </m:sub>
        </m:sSub>
      </m:oMath>
      <w:r>
        <w:t xml:space="preserve"> </w:t>
      </w:r>
      <w:r>
        <w:rPr>
          <w:rFonts w:hint="eastAsia"/>
        </w:rPr>
        <w:t xml:space="preserve">和</w:t>
      </w:r>
      <w:r>
        <w:t xml:space="preserve"> </w:t>
      </w:r>
      <m:oMath>
        <m:sSub>
          <m:e>
            <m:r>
              <m:t>E</m:t>
            </m:r>
          </m:e>
          <m:sub>
            <m:r>
              <m:rPr>
                <m:nor/>
                <m:sty m:val="p"/>
              </m:rPr>
              <m:t>daily</m:t>
            </m:r>
          </m:sub>
        </m:sSub>
      </m:oMath>
      <w:r>
        <w:t xml:space="preserve"> </w:t>
      </w:r>
      <w:r>
        <w:rPr>
          <w:rFonts w:hint="eastAsia"/>
        </w:rPr>
        <w:t xml:space="preserve">也分别升至</w:t>
      </w:r>
      <w:r>
        <w:t xml:space="preserve"> 2.22 </w:t>
      </w:r>
      <w:r>
        <w:rPr>
          <w:rFonts w:hint="eastAsia"/>
        </w:rPr>
        <w:t xml:space="preserve">次/day</w:t>
      </w:r>
      <w:r>
        <w:t xml:space="preserve"> </w:t>
      </w:r>
      <w:r>
        <w:rPr>
          <w:rFonts w:hint="eastAsia"/>
        </w:rPr>
        <w:t xml:space="preserve">和</w:t>
      </w:r>
      <w:r>
        <w:t xml:space="preserve"> 8410.21 </w:t>
      </w:r>
      <w:r>
        <w:rPr>
          <w:rFonts w:hint="eastAsia"/>
        </w:rPr>
        <w:t xml:space="preserve">kWh/day，表明过高的短时敏感性可能放大由局部波动引起的动作更新。分位水平同样表现出连续调节作用，当</w:t>
      </w:r>
      <w:r>
        <w:t xml:space="preserve"> </w:t>
      </w:r>
      <m:oMath>
        <m:r>
          <m:t>q</m:t>
        </m:r>
      </m:oMath>
      <w:r>
        <w:t xml:space="preserve"> </w:t>
      </w:r>
      <w:r>
        <w:rPr>
          <w:rFonts w:hint="eastAsia"/>
        </w:rPr>
        <w:t xml:space="preserve">从</w:t>
      </w:r>
      <w:r>
        <w:t xml:space="preserve"> 0.55 </w:t>
      </w:r>
      <w:r>
        <w:rPr>
          <w:rFonts w:hint="eastAsia"/>
        </w:rPr>
        <w:t xml:space="preserve">提高到</w:t>
      </w:r>
      <w:r>
        <w:t xml:space="preserve"> 0.90 </w:t>
      </w:r>
      <w:r>
        <w:rPr>
          <w:rFonts w:hint="eastAsia"/>
        </w:rPr>
        <w:t xml:space="preserve">时，</w:t>
      </w:r>
      <m:oMath>
        <m:sSub>
          <m:e>
            <m:r>
              <m:t>R</m:t>
            </m:r>
          </m:e>
          <m:sub>
            <m:r>
              <m:rPr>
                <m:nor/>
                <m:sty m:val="p"/>
              </m:rPr>
              <m:t>test</m:t>
            </m:r>
          </m:sub>
        </m:sSub>
      </m:oMath>
      <w:r>
        <w:t xml:space="preserve"> </w:t>
      </w:r>
      <w:r>
        <w:rPr>
          <w:rFonts w:hint="eastAsia"/>
        </w:rPr>
        <w:t xml:space="preserve">由</w:t>
      </w:r>
      <w:r>
        <w:t xml:space="preserve"> 1284.49 </w:t>
      </w:r>
      <w:r>
        <w:rPr>
          <w:rFonts w:hint="eastAsia"/>
        </w:rPr>
        <w:t xml:space="preserve">增至</w:t>
      </w:r>
      <w:r>
        <w:t xml:space="preserve"> </w:t>
      </w:r>
      <w:r>
        <w:rPr>
          <w:rFonts w:hint="eastAsia"/>
        </w:rPr>
        <w:t xml:space="preserve">1678.75，</w:t>
      </w:r>
      <m:oMath>
        <m:sSub>
          <m:e>
            <m:r>
              <m:t>N</m:t>
            </m:r>
          </m:e>
          <m:sub>
            <m:r>
              <m:rPr>
                <m:nor/>
                <m:sty m:val="p"/>
              </m:rPr>
              <m:t>daily</m:t>
            </m:r>
          </m:sub>
        </m:sSub>
      </m:oMath>
      <w:r>
        <w:t xml:space="preserve"> </w:t>
      </w:r>
      <w:r>
        <w:rPr>
          <w:rFonts w:hint="eastAsia"/>
        </w:rPr>
        <w:t xml:space="preserve">由</w:t>
      </w:r>
      <w:r>
        <w:t xml:space="preserve"> 0.65 </w:t>
      </w:r>
      <w:r>
        <w:rPr>
          <w:rFonts w:hint="eastAsia"/>
        </w:rPr>
        <w:t xml:space="preserve">增至</w:t>
      </w:r>
      <w:r>
        <w:t xml:space="preserve"> 5.43 </w:t>
      </w:r>
      <w:r>
        <w:rPr>
          <w:rFonts w:hint="eastAsia"/>
        </w:rPr>
        <w:t xml:space="preserve">次/day，</w:t>
      </w:r>
      <m:oMath>
        <m:sSub>
          <m:e>
            <m:r>
              <m:t>E</m:t>
            </m:r>
          </m:e>
          <m:sub>
            <m:r>
              <m:rPr>
                <m:nor/>
                <m:sty m:val="p"/>
              </m:rPr>
              <m:t>daily</m:t>
            </m:r>
          </m:sub>
        </m:sSub>
      </m:oMath>
      <w:r>
        <w:t xml:space="preserve"> </w:t>
      </w:r>
      <w:r>
        <w:rPr>
          <w:rFonts w:hint="eastAsia"/>
        </w:rPr>
        <w:t xml:space="preserve">由</w:t>
      </w:r>
      <w:r>
        <w:t xml:space="preserve"> 6921.91 </w:t>
      </w:r>
      <w:r>
        <w:rPr>
          <w:rFonts w:hint="eastAsia"/>
        </w:rPr>
        <w:t xml:space="preserve">增至</w:t>
      </w:r>
      <w:r>
        <w:t xml:space="preserve"> 7513.54 </w:t>
      </w:r>
      <w:r>
        <w:rPr>
          <w:rFonts w:hint="eastAsia"/>
        </w:rPr>
        <w:t xml:space="preserve">kWh/day。上述结果说明，门控参数并非单纯决定是否触发，而是在响应收益、执行稀疏性与能耗之间连续调节控制强度。完整测试时段结果揭示了参数组合的总体影响，而日级轮次记录可进一步用于检查不同运行日上的波动特征。</w:t>
      </w:r>
    </w:p>
    <w:p>
      <w:pPr>
        <w:pStyle w:val="BodyText"/>
      </w:pPr>
      <w:r>
        <w:t xml:space="preserve">From the perspectives of temporal scale and quantile level, the combination of a long window and a low short-scale weight substantially reduces trigger intensity. When</w:t>
      </w:r>
      <w:r>
        <w:t xml:space="preserve"> </w:t>
      </w:r>
      <m:oMath>
        <m:r>
          <m:t>W</m:t>
        </m:r>
        <m:r>
          <m:rPr>
            <m:sty m:val="p"/>
          </m:rPr>
          <m:t>=</m:t>
        </m:r>
        <m:r>
          <m:t>240</m:t>
        </m:r>
      </m:oMath>
      <w:r>
        <w:t xml:space="preserve"> </w:t>
      </w:r>
      <w:r>
        <w:t xml:space="preserve">and</w:t>
      </w:r>
      <w:r>
        <w:t xml:space="preserve"> </w:t>
      </w:r>
      <m:oMath>
        <m:sSub>
          <m:e>
            <m:r>
              <m:t>w</m:t>
            </m:r>
          </m:e>
          <m:sub>
            <m:r>
              <m:rPr>
                <m:sty m:val="p"/>
              </m:rPr>
              <m:t>s</m:t>
            </m:r>
          </m:sub>
        </m:sSub>
        <m:r>
          <m:rPr>
            <m:sty m:val="p"/>
          </m:rPr>
          <m:t>=</m:t>
        </m:r>
        <m:r>
          <m:t>0.35</m:t>
        </m:r>
      </m:oMath>
      <w:r>
        <w:t xml:space="preserve">,</w:t>
      </w:r>
      <w:r>
        <w:t xml:space="preserve"> </w:t>
      </w:r>
      <m:oMath>
        <m:sSub>
          <m:e>
            <m:r>
              <m:t>N</m:t>
            </m:r>
          </m:e>
          <m:sub>
            <m:r>
              <m:rPr>
                <m:nor/>
                <m:sty m:val="p"/>
              </m:rPr>
              <m:t>daily</m:t>
            </m:r>
          </m:sub>
        </m:sSub>
      </m:oMath>
      <w:r>
        <w:t xml:space="preserve"> </w:t>
      </w:r>
      <w:r>
        <w:t xml:space="preserve">is only 0.20 count/day, but</w:t>
      </w:r>
      <w:r>
        <w:t xml:space="preserve"> </w:t>
      </w:r>
      <m:oMath>
        <m:sSub>
          <m:e>
            <m:r>
              <m:t>E</m:t>
            </m:r>
          </m:e>
          <m:sub>
            <m:r>
              <m:rPr>
                <m:nor/>
                <m:sty m:val="p"/>
              </m:rPr>
              <m:t>daily</m:t>
            </m:r>
          </m:sub>
        </m:sSub>
      </m:oMath>
      <w:r>
        <w:t xml:space="preserve"> </w:t>
      </w:r>
      <w:r>
        <w:t xml:space="preserve">is 6814.08 kWh/day, indicating that excessive temporal smoothing may miss some opportunities for energy-saving setpoint updates. By contrast, the short-window configuration with</w:t>
      </w:r>
      <w:r>
        <w:t xml:space="preserve"> </w:t>
      </w:r>
      <m:oMath>
        <m:r>
          <m:t>W</m:t>
        </m:r>
        <m:r>
          <m:rPr>
            <m:sty m:val="p"/>
          </m:rPr>
          <m:t>=</m:t>
        </m:r>
        <m:r>
          <m:t>30</m:t>
        </m:r>
      </m:oMath>
      <w:r>
        <w:t xml:space="preserve"> </w:t>
      </w:r>
      <w:r>
        <w:t xml:space="preserve">and</w:t>
      </w:r>
      <w:r>
        <w:t xml:space="preserve"> </w:t>
      </w:r>
      <m:oMath>
        <m:sSub>
          <m:e>
            <m:r>
              <m:t>w</m:t>
            </m:r>
          </m:e>
          <m:sub>
            <m:r>
              <m:rPr>
                <m:sty m:val="p"/>
              </m:rPr>
              <m:t>s</m:t>
            </m:r>
          </m:sub>
        </m:sSub>
        <m:r>
          <m:rPr>
            <m:sty m:val="p"/>
          </m:rPr>
          <m:t>=</m:t>
        </m:r>
        <m:r>
          <m:t>0.55</m:t>
        </m:r>
      </m:oMath>
      <w:r>
        <w:t xml:space="preserve"> </w:t>
      </w:r>
      <w:r>
        <w:t xml:space="preserve">increases</w:t>
      </w:r>
      <w:r>
        <w:t xml:space="preserve"> </w:t>
      </w:r>
      <m:oMath>
        <m:sSub>
          <m:e>
            <m:r>
              <m:t>R</m:t>
            </m:r>
          </m:e>
          <m:sub>
            <m:r>
              <m:rPr>
                <m:nor/>
                <m:sty m:val="p"/>
              </m:rPr>
              <m:t>test</m:t>
            </m:r>
          </m:sub>
        </m:sSub>
      </m:oMath>
      <w:r>
        <w:t xml:space="preserve"> </w:t>
      </w:r>
      <w:r>
        <w:t xml:space="preserve">to 1909.19, but</w:t>
      </w:r>
      <w:r>
        <w:t xml:space="preserve"> </w:t>
      </w:r>
      <m:oMath>
        <m:sSub>
          <m:e>
            <m:r>
              <m:t>N</m:t>
            </m:r>
          </m:e>
          <m:sub>
            <m:r>
              <m:rPr>
                <m:nor/>
                <m:sty m:val="p"/>
              </m:rPr>
              <m:t>daily</m:t>
            </m:r>
          </m:sub>
        </m:sSub>
      </m:oMath>
      <w:r>
        <w:t xml:space="preserve"> </w:t>
      </w:r>
      <w:r>
        <w:t xml:space="preserve">and</w:t>
      </w:r>
      <w:r>
        <w:t xml:space="preserve"> </w:t>
      </w:r>
      <m:oMath>
        <m:sSub>
          <m:e>
            <m:r>
              <m:t>E</m:t>
            </m:r>
          </m:e>
          <m:sub>
            <m:r>
              <m:rPr>
                <m:nor/>
                <m:sty m:val="p"/>
              </m:rPr>
              <m:t>daily</m:t>
            </m:r>
          </m:sub>
        </m:sSub>
      </m:oMath>
      <w:r>
        <w:t xml:space="preserve"> </w:t>
      </w:r>
      <w:r>
        <w:t xml:space="preserve">also rise to 2.22 count/day and 8410.21 kWh/day, respectively, suggesting that excessive short-term sensitivity may amplify action updates caused by local fluctuations. The quantile level also shows a continuous modulation effect. When</w:t>
      </w:r>
      <w:r>
        <w:t xml:space="preserve"> </w:t>
      </w:r>
      <m:oMath>
        <m:r>
          <m:t>q</m:t>
        </m:r>
      </m:oMath>
      <w:r>
        <w:t xml:space="preserve"> </w:t>
      </w:r>
      <w:r>
        <w:t xml:space="preserve">increases from 0.55 to 0.90,</w:t>
      </w:r>
      <w:r>
        <w:t xml:space="preserve"> </w:t>
      </w:r>
      <m:oMath>
        <m:sSub>
          <m:e>
            <m:r>
              <m:t>R</m:t>
            </m:r>
          </m:e>
          <m:sub>
            <m:r>
              <m:rPr>
                <m:nor/>
                <m:sty m:val="p"/>
              </m:rPr>
              <m:t>test</m:t>
            </m:r>
          </m:sub>
        </m:sSub>
      </m:oMath>
      <w:r>
        <w:t xml:space="preserve"> </w:t>
      </w:r>
      <w:r>
        <w:t xml:space="preserve">rises from 1284.49 to 1678.75,</w:t>
      </w:r>
      <w:r>
        <w:t xml:space="preserve"> </w:t>
      </w:r>
      <m:oMath>
        <m:sSub>
          <m:e>
            <m:r>
              <m:t>N</m:t>
            </m:r>
          </m:e>
          <m:sub>
            <m:r>
              <m:rPr>
                <m:nor/>
                <m:sty m:val="p"/>
              </m:rPr>
              <m:t>daily</m:t>
            </m:r>
          </m:sub>
        </m:sSub>
      </m:oMath>
      <w:r>
        <w:t xml:space="preserve"> </w:t>
      </w:r>
      <w:r>
        <w:t xml:space="preserve">rises from 0.65 to 5.43 count/day, and</w:t>
      </w:r>
      <w:r>
        <w:t xml:space="preserve"> </w:t>
      </w:r>
      <m:oMath>
        <m:sSub>
          <m:e>
            <m:r>
              <m:t>E</m:t>
            </m:r>
          </m:e>
          <m:sub>
            <m:r>
              <m:rPr>
                <m:nor/>
                <m:sty m:val="p"/>
              </m:rPr>
              <m:t>daily</m:t>
            </m:r>
          </m:sub>
        </m:sSub>
      </m:oMath>
      <w:r>
        <w:t xml:space="preserve"> </w:t>
      </w:r>
      <w:r>
        <w:t xml:space="preserve">rises from 6921.91 to 7513.54 kWh/day. These results show that the gate parameters do not merely determine whether triggering occurs. Instead, they continuously regulate control intensity among response benefit, execution sparsity, and energy consumption. The complete-period results reveal the overall effect of parameter combinations, while the day-level records can be further used to examine variability across operating days.</w:t>
      </w:r>
    </w:p>
    <w:bookmarkEnd w:id="46"/>
    <w:bookmarkEnd w:id="47"/>
    <w:bookmarkEnd w:id="48"/>
    <w:bookmarkStart w:id="49" w:name="总结"/>
    <w:p>
      <w:pPr>
        <w:pStyle w:val="Heading1"/>
      </w:pPr>
      <w:r>
        <w:t xml:space="preserve">6. </w:t>
      </w:r>
      <w:r>
        <w:rPr>
          <w:rFonts w:hint="eastAsia"/>
        </w:rPr>
        <w:t xml:space="preserve">总结</w:t>
      </w:r>
    </w:p>
    <w:bookmarkEnd w:id="49"/>
    <w:bookmarkStart w:id="50" w:name="Xb4f0c33f7cef1cc0b70e6d9c4614b3650d20a1a"/>
    <w:p>
      <w:pPr>
        <w:pStyle w:val="Heading1"/>
      </w:pPr>
      <w:r>
        <w:rPr>
          <w:rFonts w:hint="eastAsia"/>
        </w:rPr>
        <w:t xml:space="preserve">附录</w:t>
      </w:r>
      <w:r>
        <w:t xml:space="preserve"> A </w:t>
      </w:r>
      <w:r>
        <w:rPr>
          <w:rFonts w:hint="eastAsia"/>
        </w:rPr>
        <w:t xml:space="preserve">补充表格</w:t>
      </w:r>
      <w:r>
        <w:t xml:space="preserve"> / Appendix A Supplementary Tables</w:t>
      </w:r>
    </w:p>
    <w:p>
      <w:pPr>
        <w:pStyle w:val="FirstParagraph"/>
      </w:pPr>
      <w:r>
        <w:rPr>
          <w:rFonts w:hint="eastAsia"/>
        </w:rPr>
        <w:t xml:space="preserve">表</w:t>
      </w:r>
      <w:r>
        <w:t xml:space="preserve"> A1 HVAC </w:t>
      </w:r>
      <w:r>
        <w:rPr>
          <w:rFonts w:hint="eastAsia"/>
        </w:rPr>
        <w:t xml:space="preserve">系统关键设计参数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设备名称</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数量</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额定功率</w:t>
            </w:r>
            <w:r>
              <w:rPr>
                <w:b/>
                <w:bCs/>
              </w:rPr>
              <w:t xml:space="preserve"> </w:t>
            </w:r>
            <m:oMath>
              <m:sSub>
                <m:e>
                  <m:r>
                    <m:t>P</m:t>
                  </m:r>
                </m:e>
                <m:sub>
                  <m:r>
                    <m:rPr>
                      <m:sty m:val="p"/>
                    </m:rPr>
                    <m:t>r</m:t>
                  </m:r>
                  <m:r>
                    <m:rPr>
                      <m:sty m:val="p"/>
                    </m:rPr>
                    <m:t>e</m:t>
                  </m:r>
                  <m:r>
                    <m:rPr>
                      <m:sty m:val="p"/>
                    </m:rPr>
                    <m:t>f</m:t>
                  </m:r>
                </m:sub>
              </m:sSub>
            </m:oMath>
            <w:r>
              <w:rPr>
                <w:rFonts w:hint="eastAsia"/>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额定制冷量（kW）</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额定流量（</w:t>
            </w:r>
            <m:oMath>
              <m:sSup>
                <m:e>
                  <m:r>
                    <m:rPr>
                      <m:sty m:val="p"/>
                    </m:rPr>
                    <m:t>m</m:t>
                  </m:r>
                </m:e>
                <m:sup>
                  <m:r>
                    <m:rPr>
                      <m:sty m:val="p"/>
                    </m:rPr>
                    <m:t>3</m:t>
                  </m:r>
                </m:sup>
              </m:sSup>
              <m:r>
                <m:rPr>
                  <m:sty m:val="p"/>
                </m:rPr>
                <m:t>/</m:t>
              </m:r>
              <m:r>
                <m:rPr>
                  <m:sty m:val="p"/>
                </m:rPr>
                <m:t>h</m:t>
              </m:r>
            </m:oMath>
            <w:r>
              <w:rPr>
                <w:rFonts w:hint="eastAsia"/>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运行特性与关键参数</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离心式冷水机组</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COP </w:t>
            </w:r>
            <w:r>
              <w:rPr>
                <w:rFonts w:hint="eastAsia"/>
              </w:rPr>
              <w:t xml:space="preserve">随负荷率和冷凝侧运行条件变化；设计工况下冷冻水供水温度设定点为</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rPr>
                <w:rFonts w:hint="eastAsia"/>
              </w:rPr>
              <w:t xml:space="preserve">；控制设定值可在</w:t>
            </w:r>
            <w:r>
              <w:t xml:space="preserve"> </w:t>
            </w:r>
            <m:oMath>
              <m:r>
                <m:t>6</m:t>
              </m:r>
            </m:oMath>
            <w:r>
              <w:t xml:space="preserve"> </w:t>
            </w:r>
            <w:r>
              <w:rPr>
                <w:rFonts w:hint="eastAsia"/>
              </w:rPr>
              <w:t xml:space="preserve">至</w:t>
            </w:r>
            <w:r>
              <w:t xml:space="preserve"> </w:t>
            </w:r>
            <m:oMath>
              <m:r>
                <m:t>15</m:t>
              </m:r>
              <m:r>
                <m:t> </m:t>
              </m:r>
              <m:sSup>
                <m:e>
                  <m:r>
                    <m:rPr>
                      <m:sty m:val="p"/>
                    </m:rPr>
                    <m:t>​</m:t>
                  </m:r>
                </m:e>
                <m:sup>
                  <m:r>
                    <m:rPr>
                      <m:sty m:val="p"/>
                    </m:rPr>
                    <m:t>∘</m:t>
                  </m:r>
                </m:sup>
              </m:sSup>
              <m:r>
                <m:rPr>
                  <m:sty m:val="p"/>
                </m:rPr>
                <m:t>C</m:t>
              </m:r>
            </m:oMath>
            <w:r>
              <w:t xml:space="preserve"> </w:t>
            </w:r>
            <w:r>
              <w:rPr>
                <w:rFonts w:hint="eastAsia"/>
              </w:rPr>
              <w:t xml:space="preserve">范围内调节</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冷冻水泵</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定速运行；额定扬程</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冷却水泵</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定速运行；额定扬程</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冷却塔</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变工况运行；性能受室外湿球温度</w:t>
            </w:r>
            <w:r>
              <w:t xml:space="preserve"> </w:t>
            </w:r>
            <m:oMath>
              <m:sSub>
                <m:e>
                  <m:r>
                    <m:t>T</m:t>
                  </m:r>
                </m:e>
                <m:sub>
                  <m:r>
                    <m:rPr>
                      <m:sty m:val="p"/>
                    </m:rPr>
                    <m:t>w</m:t>
                  </m:r>
                  <m:r>
                    <m:rPr>
                      <m:sty m:val="p"/>
                    </m:rPr>
                    <m:t>b</m:t>
                  </m:r>
                </m:sub>
              </m:sSub>
            </m:oMath>
            <w:r>
              <w:t xml:space="preserve"> </w:t>
            </w:r>
            <w:r>
              <w:rPr>
                <w:rFonts w:hint="eastAsia"/>
              </w:rPr>
              <w:t xml:space="preserve">影响</w:t>
            </w:r>
          </w:p>
        </w:tc>
      </w:tr>
    </w:tbl>
    <w:p>
      <w:pPr>
        <w:pStyle w:val="BodyText"/>
      </w:pPr>
      <w:r>
        <w:t xml:space="preserve">Table A1 Key design parameters of the HVAC system</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Equipment</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Quantity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Rated power</w:t>
            </w:r>
            <w:r>
              <w:rPr>
                <w:b/>
                <w:bCs/>
              </w:rPr>
              <w:t xml:space="preserve"> </w:t>
            </w:r>
            <m:oMath>
              <m:sSub>
                <m:e>
                  <m:r>
                    <m:t>P</m:t>
                  </m:r>
                </m:e>
                <m:sub>
                  <m:r>
                    <m:rPr>
                      <m:sty m:val="p"/>
                    </m:rPr>
                    <m:t>r</m:t>
                  </m:r>
                  <m:r>
                    <m:rPr>
                      <m:sty m:val="p"/>
                    </m:rPr>
                    <m:t>e</m:t>
                  </m:r>
                  <m:r>
                    <m:rPr>
                      <m:sty m:val="p"/>
                    </m:rPr>
                    <m:t>f</m:t>
                  </m:r>
                </m:sub>
              </m:sSub>
            </m:oMath>
            <w:r>
              <w:rPr>
                <w:b/>
                <w:bCs/>
              </w:rPr>
              <w:t xml:space="preserve"> </w:t>
            </w:r>
            <w:r>
              <w:rPr>
                <w:b/>
                <w:bCs/>
              </w:rPr>
              <w:t xml:space="preserve">in kW</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Rated cooling capacity in kW</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Rated flow rate in</w:t>
            </w:r>
            <w:r>
              <w:rPr>
                <w:b/>
                <w:bCs/>
              </w:rPr>
              <w:t xml:space="preserve"> </w:t>
            </w:r>
            <m:oMath>
              <m:sSup>
                <m:e>
                  <m:r>
                    <m:rPr>
                      <m:sty m:val="p"/>
                    </m:rPr>
                    <m:t>m</m:t>
                  </m:r>
                </m:e>
                <m:sup>
                  <m:r>
                    <m:rPr>
                      <m:sty m:val="p"/>
                    </m:rPr>
                    <m:t>3</m:t>
                  </m:r>
                </m:sup>
              </m:sSup>
              <m:r>
                <m:rPr>
                  <m:sty m:val="p"/>
                </m:rPr>
                <m:t>/</m:t>
              </m:r>
              <m:r>
                <m:rPr>
                  <m:sty m:val="p"/>
                </m:rPr>
                <m:t>h</m:t>
              </m:r>
            </m:oMath>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Operating characteristics and key parameters</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Centrifugal chiller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COP varies with the load ratio and condenser side operating conditions. The design chilled water supply temperature setpoint is</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t xml:space="preserve">. The control setpoint can be adjusted from</w:t>
            </w:r>
            <w:r>
              <w:t xml:space="preserve"> </w:t>
            </w:r>
            <m:oMath>
              <m:r>
                <m:t>6</m:t>
              </m:r>
            </m:oMath>
            <w:r>
              <w:t xml:space="preserve"> </w:t>
            </w:r>
            <w:r>
              <w:t xml:space="preserve">to</w:t>
            </w:r>
            <w:r>
              <w:t xml:space="preserve"> </w:t>
            </w:r>
            <m:oMath>
              <m:r>
                <m:t>15</m:t>
              </m:r>
              <m:r>
                <m:t> </m:t>
              </m:r>
              <m:sSup>
                <m:e>
                  <m:r>
                    <m:rPr>
                      <m:sty m:val="p"/>
                    </m:rPr>
                    <m:t>​</m:t>
                  </m:r>
                </m:e>
                <m:sup>
                  <m:r>
                    <m:rPr>
                      <m:sty m:val="p"/>
                    </m:rPr>
                    <m:t>∘</m:t>
                  </m:r>
                </m:sup>
              </m:sSup>
              <m:r>
                <m:rPr>
                  <m:sty m:val="p"/>
                </m:rPr>
                <m:t>C</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Chilled water pump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Constant speed operation. The rated head is</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Cooling water pump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Constant speed operation. The rated head is</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Cooling tower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Not applicable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Variable condition operation. The performance is affected by the outdoor wet bulb temperature</w:t>
            </w:r>
            <w:r>
              <w:t xml:space="preserve"> </w:t>
            </w:r>
            <m:oMath>
              <m:sSub>
                <m:e>
                  <m:r>
                    <m:t>T</m:t>
                  </m:r>
                </m:e>
                <m:sub>
                  <m:r>
                    <m:rPr>
                      <m:sty m:val="p"/>
                    </m:rPr>
                    <m:t>w</m:t>
                  </m:r>
                  <m:r>
                    <m:rPr>
                      <m:sty m:val="p"/>
                    </m:rPr>
                    <m:t>b</m:t>
                  </m:r>
                </m:sub>
              </m:sSub>
            </m:oMath>
          </w:p>
        </w:tc>
      </w:tr>
    </w:tbl>
    <w:p>
      <w:pPr>
        <w:pStyle w:val="BodyText"/>
      </w:pPr>
      <w:r>
        <w:rPr>
          <w:rFonts w:hint="eastAsia"/>
        </w:rPr>
        <w:t xml:space="preserve">表</w:t>
      </w:r>
      <w:r>
        <w:t xml:space="preserve"> A2 </w:t>
      </w:r>
      <w:r>
        <w:rPr>
          <w:rFonts w:hint="eastAsia"/>
        </w:rPr>
        <w:t xml:space="preserve">关键超参数设置</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模块</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参数描述</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符号</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取值</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DQN </w:t>
            </w:r>
            <w:r>
              <w:rPr>
                <w:rFonts w:hint="eastAsia"/>
                <w:b/>
                <w:bCs/>
              </w:rPr>
              <w:t xml:space="preserve">智能体</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学习率</w:t>
            </w:r>
          </w:p>
        </w:tc>
        <w:tc>
          <w:tcPr>
            <w:tcBorders>
              <w:top w:val="single" w:sz="4" w:space="0" w:color="000000"/>
              <w:left w:val="single" w:sz="4" w:space="0" w:color="000000"/>
              <w:bottom w:val="single" w:sz="4" w:space="0" w:color="000000"/>
              <w:right w:val="single" w:sz="4" w:space="0" w:color="000000"/>
            </w:tcBorders>
          </w:tcPr>
          <w:p>
            <w:pPr>
              <w:pStyle w:val="Compact"/>
            </w:pPr>
            <m:oMath>
              <m:r>
                <m:t>α</m:t>
              </m:r>
            </m:oMath>
          </w:p>
        </w:tc>
        <w:tc>
          <w:tcPr>
            <w:tcBorders>
              <w:top w:val="single" w:sz="4" w:space="0" w:color="000000"/>
              <w:left w:val="single" w:sz="4" w:space="0" w:color="000000"/>
              <w:bottom w:val="single" w:sz="4" w:space="0" w:color="000000"/>
              <w:right w:val="single" w:sz="4" w:space="0" w:color="000000"/>
            </w:tcBorders>
          </w:tcPr>
          <w:p>
            <w:pPr>
              <w:pStyle w:val="Compact"/>
            </w:pPr>
            <m:oMath>
              <m:r>
                <m:t>0.0048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折扣因子</w:t>
            </w:r>
          </w:p>
        </w:tc>
        <w:tc>
          <w:tcPr>
            <w:tcBorders>
              <w:top w:val="single" w:sz="4" w:space="0" w:color="000000"/>
              <w:left w:val="single" w:sz="4" w:space="0" w:color="000000"/>
              <w:bottom w:val="single" w:sz="4" w:space="0" w:color="000000"/>
              <w:right w:val="single" w:sz="4" w:space="0" w:color="000000"/>
            </w:tcBorders>
          </w:tcPr>
          <w:p>
            <w:pPr>
              <w:pStyle w:val="Compact"/>
            </w:pPr>
            <m:oMath>
              <m:r>
                <m:t>γ</m:t>
              </m:r>
            </m:oMath>
          </w:p>
        </w:tc>
        <w:tc>
          <w:tcPr>
            <w:tcBorders>
              <w:top w:val="single" w:sz="4" w:space="0" w:color="000000"/>
              <w:left w:val="single" w:sz="4" w:space="0" w:color="000000"/>
              <w:bottom w:val="single" w:sz="4" w:space="0" w:color="000000"/>
              <w:right w:val="single" w:sz="4" w:space="0" w:color="000000"/>
            </w:tcBorders>
          </w:tcPr>
          <w:p>
            <w:pPr>
              <w:pStyle w:val="Compact"/>
            </w:pPr>
            <m:oMath>
              <m:r>
                <m:t>0.962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经验回放池容量</w:t>
            </w:r>
          </w:p>
        </w:tc>
        <w:tc>
          <w:tcPr>
            <w:tcBorders>
              <w:top w:val="single" w:sz="4" w:space="0" w:color="000000"/>
              <w:left w:val="single" w:sz="4" w:space="0" w:color="000000"/>
              <w:bottom w:val="single" w:sz="4" w:space="0" w:color="000000"/>
              <w:right w:val="single" w:sz="4" w:space="0" w:color="000000"/>
            </w:tcBorders>
          </w:tcPr>
          <w:p>
            <w:pPr>
              <w:pStyle w:val="Compact"/>
            </w:pPr>
            <m:oMath>
              <m:r>
                <m:t>M</m:t>
              </m:r>
            </m:oMath>
          </w:p>
        </w:tc>
        <w:tc>
          <w:tcPr>
            <w:tcBorders>
              <w:top w:val="single" w:sz="4" w:space="0" w:color="000000"/>
              <w:left w:val="single" w:sz="4" w:space="0" w:color="000000"/>
              <w:bottom w:val="single" w:sz="4" w:space="0" w:color="000000"/>
              <w:right w:val="single" w:sz="4" w:space="0" w:color="000000"/>
            </w:tcBorders>
          </w:tcPr>
          <w:p>
            <w:pPr>
              <w:pStyle w:val="Compact"/>
            </w:pPr>
            <m:oMath>
              <m:r>
                <m:t>20</m:t>
              </m:r>
              <m:r>
                <m:rPr>
                  <m:sty m:val="p"/>
                </m:rPr>
                <m:t>,</m:t>
              </m:r>
              <m:r>
                <m:t>000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小批量大小</w:t>
            </w:r>
          </w:p>
        </w:tc>
        <w:tc>
          <w:tcPr>
            <w:tcBorders>
              <w:top w:val="single" w:sz="4" w:space="0" w:color="000000"/>
              <w:left w:val="single" w:sz="4" w:space="0" w:color="000000"/>
              <w:bottom w:val="single" w:sz="4" w:space="0" w:color="000000"/>
              <w:right w:val="single" w:sz="4" w:space="0" w:color="000000"/>
            </w:tcBorders>
          </w:tcPr>
          <w:p>
            <w:pPr>
              <w:pStyle w:val="Compact"/>
            </w:pPr>
            <m:oMath>
              <m:r>
                <m:t>B</m:t>
              </m:r>
            </m:oMath>
          </w:p>
        </w:tc>
        <w:tc>
          <w:tcPr>
            <w:tcBorders>
              <w:top w:val="single" w:sz="4" w:space="0" w:color="000000"/>
              <w:left w:val="single" w:sz="4" w:space="0" w:color="000000"/>
              <w:bottom w:val="single" w:sz="4" w:space="0" w:color="000000"/>
              <w:right w:val="single" w:sz="4" w:space="0" w:color="000000"/>
            </w:tcBorders>
          </w:tcPr>
          <w:p>
            <w:pPr>
              <w:pStyle w:val="Compact"/>
            </w:pPr>
            <m:oMath>
              <m:r>
                <m:t>178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探索率调度</w:t>
            </w:r>
          </w:p>
        </w:tc>
        <w:tc>
          <w:tcPr>
            <w:tcBorders>
              <w:top w:val="single" w:sz="4" w:space="0" w:color="000000"/>
              <w:left w:val="single" w:sz="4" w:space="0" w:color="000000"/>
              <w:bottom w:val="single" w:sz="4" w:space="0" w:color="000000"/>
              <w:right w:val="single" w:sz="4" w:space="0" w:color="000000"/>
            </w:tcBorders>
          </w:tcPr>
          <w:p>
            <w:pPr>
              <w:pStyle w:val="Compact"/>
            </w:pPr>
            <m:oMath>
              <m:r>
                <m:t>ϵ</m:t>
              </m:r>
            </m:oMath>
          </w:p>
        </w:tc>
        <w:tc>
          <w:tcPr>
            <w:tcBorders>
              <w:top w:val="single" w:sz="4" w:space="0" w:color="000000"/>
              <w:left w:val="single" w:sz="4" w:space="0" w:color="000000"/>
              <w:bottom w:val="single" w:sz="4" w:space="0" w:color="000000"/>
              <w:right w:val="single" w:sz="4" w:space="0" w:color="000000"/>
            </w:tcBorders>
          </w:tcPr>
          <w:p>
            <w:pPr>
              <w:pStyle w:val="Compact"/>
            </w:pPr>
            <m:oMath>
              <m:r>
                <m:t>0.6109</m:t>
              </m:r>
              <m:r>
                <m:t>至</m:t>
              </m:r>
              <m:r>
                <m:t>0.0045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探索率衰减因子</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t>ϵ</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0.9947</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目标网络更新频率</w:t>
            </w:r>
          </w:p>
        </w:tc>
        <w:tc>
          <w:tcPr>
            <w:tcBorders>
              <w:top w:val="single" w:sz="4" w:space="0" w:color="000000"/>
              <w:left w:val="single" w:sz="4" w:space="0" w:color="000000"/>
              <w:bottom w:val="single" w:sz="4" w:space="0" w:color="000000"/>
              <w:right w:val="single" w:sz="4" w:space="0" w:color="000000"/>
            </w:tcBorders>
          </w:tcPr>
          <w:p>
            <w:pPr>
              <w:pStyle w:val="Compact"/>
            </w:pPr>
            <m:oMath>
              <m:r>
                <m:t>C</m:t>
              </m:r>
            </m:oMath>
          </w:p>
        </w:tc>
        <w:tc>
          <w:tcPr>
            <w:tcBorders>
              <w:top w:val="single" w:sz="4" w:space="0" w:color="000000"/>
              <w:left w:val="single" w:sz="4" w:space="0" w:color="000000"/>
              <w:bottom w:val="single" w:sz="4" w:space="0" w:color="000000"/>
              <w:right w:val="single" w:sz="4" w:space="0" w:color="000000"/>
            </w:tcBorders>
          </w:tcPr>
          <w:p>
            <w:pPr>
              <w:pStyle w:val="Compact"/>
            </w:pPr>
            <m:oMath>
              <m:r>
                <m:t>126</m:t>
              </m:r>
            </m:oMath>
            <w:r>
              <w:t xml:space="preserve"> </w:t>
            </w:r>
            <w:r>
              <w:rPr>
                <w:rFonts w:hint="eastAsia"/>
              </w:rPr>
              <w:t xml:space="preserve">步</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网络结构</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状态维度与动作数量</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m:oMath>
              <m:r>
                <m:t>3</m:t>
              </m:r>
              <m:r>
                <m:rPr>
                  <m:sty m:val="p"/>
                </m:rPr>
                <m:t>/</m:t>
              </m:r>
              <m:r>
                <m:t>10</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全局更新率</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g</m:t>
                  </m:r>
                  <m:r>
                    <m:rPr>
                      <m:sty m:val="p"/>
                    </m:rPr>
                    <m:t>l</m:t>
                  </m:r>
                  <m:r>
                    <m:rPr>
                      <m:sty m:val="p"/>
                    </m:rPr>
                    <m:t>o</m:t>
                  </m:r>
                  <m:r>
                    <m:rPr>
                      <m:sty m:val="p"/>
                    </m:rPr>
                    <m:t>b</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0.0625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局部窗口长度</w:t>
            </w:r>
          </w:p>
        </w:tc>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局部更新率</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0.595659</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局部融合权重</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α</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0.675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偏置校正项</w:t>
            </w:r>
          </w:p>
        </w:tc>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0.043058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分位水平</w:t>
            </w:r>
          </w:p>
        </w:tc>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0.667542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MAD </w:t>
            </w:r>
            <w:r>
              <w:rPr>
                <w:rFonts w:hint="eastAsia"/>
              </w:rPr>
              <w:t xml:space="preserve">尺度系数</w:t>
            </w:r>
          </w:p>
        </w:tc>
        <w:tc>
          <w:tcPr>
            <w:tcBorders>
              <w:top w:val="single" w:sz="4" w:space="0" w:color="000000"/>
              <w:left w:val="single" w:sz="4" w:space="0" w:color="000000"/>
              <w:bottom w:val="single" w:sz="4" w:space="0" w:color="000000"/>
              <w:right w:val="single" w:sz="4" w:space="0" w:color="000000"/>
            </w:tcBorders>
          </w:tcPr>
          <w:p>
            <w:pPr>
              <w:pStyle w:val="Compact"/>
            </w:pPr>
            <m:oMath>
              <m:r>
                <m:t>κ</m:t>
              </m:r>
            </m:oMath>
          </w:p>
        </w:tc>
        <w:tc>
          <w:tcPr>
            <w:tcBorders>
              <w:top w:val="single" w:sz="4" w:space="0" w:color="000000"/>
              <w:left w:val="single" w:sz="4" w:space="0" w:color="000000"/>
              <w:bottom w:val="single" w:sz="4" w:space="0" w:color="000000"/>
              <w:right w:val="single" w:sz="4" w:space="0" w:color="000000"/>
            </w:tcBorders>
          </w:tcPr>
          <w:p>
            <w:pPr>
              <w:pStyle w:val="Compact"/>
            </w:pPr>
            <m:oMath>
              <m:r>
                <m:t>1.135275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分位数融合权重</w:t>
            </w:r>
          </w:p>
        </w:tc>
        <w:tc>
          <w:tcPr>
            <w:tcBorders>
              <w:top w:val="single" w:sz="4" w:space="0" w:color="000000"/>
              <w:left w:val="single" w:sz="4" w:space="0" w:color="000000"/>
              <w:bottom w:val="single" w:sz="4" w:space="0" w:color="000000"/>
              <w:right w:val="single" w:sz="4" w:space="0" w:color="000000"/>
            </w:tcBorders>
          </w:tcPr>
          <w:p>
            <w:pPr>
              <w:pStyle w:val="Compact"/>
            </w:pPr>
            <m:oMath>
              <m:sSub>
                <m:e>
                  <m:r>
                    <m:t>ω</m:t>
                  </m:r>
                </m:e>
                <m:sub>
                  <m:r>
                    <m:t>q</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滞回裕度</w:t>
            </w:r>
          </w:p>
        </w:tc>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0.021760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多尺度融合权重</w:t>
            </w:r>
          </w:p>
        </w:tc>
        <w:tc>
          <w:tcPr>
            <w:tcBorders>
              <w:top w:val="single" w:sz="4" w:space="0" w:color="000000"/>
              <w:left w:val="single" w:sz="4" w:space="0" w:color="000000"/>
              <w:bottom w:val="single" w:sz="4" w:space="0" w:color="000000"/>
              <w:right w:val="single" w:sz="4" w:space="0" w:color="000000"/>
            </w:tcBorders>
          </w:tcPr>
          <w:p>
            <w:pPr>
              <w:pStyle w:val="Compact"/>
            </w:pPr>
            <m:oMath>
              <m:r>
                <m:rPr>
                  <m:sty m:val="bi"/>
                </m:rP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r>
                <m:rPr>
                  <m:sty m:val="p"/>
                </m:rPr>
                <m:t>,</m:t>
              </m:r>
              <m:r>
                <m:t>0.275</m:t>
              </m:r>
              <m:r>
                <m:rPr>
                  <m:sty m:val="p"/>
                </m:rPr>
                <m:t>,</m:t>
              </m:r>
              <m:r>
                <m:t>0.175</m:t>
              </m:r>
            </m:oMath>
          </w:p>
        </w:tc>
      </w:tr>
    </w:tbl>
    <w:p>
      <w:pPr>
        <w:pStyle w:val="BodyText"/>
      </w:pPr>
      <w:r>
        <w:t xml:space="preserve">Table A2 Key Hyperparameter Settings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Module</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Parameter Description</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Symbol</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DQN Agent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Learning rate</w:t>
            </w:r>
          </w:p>
        </w:tc>
        <w:tc>
          <w:tcPr>
            <w:tcBorders>
              <w:top w:val="single" w:sz="4" w:space="0" w:color="000000"/>
              <w:left w:val="single" w:sz="4" w:space="0" w:color="000000"/>
              <w:bottom w:val="single" w:sz="4" w:space="0" w:color="000000"/>
              <w:right w:val="single" w:sz="4" w:space="0" w:color="000000"/>
            </w:tcBorders>
          </w:tcPr>
          <w:p>
            <w:pPr>
              <w:pStyle w:val="Compact"/>
            </w:pPr>
            <m:oMath>
              <m:r>
                <m:t>α</m:t>
              </m:r>
            </m:oMath>
          </w:p>
        </w:tc>
        <w:tc>
          <w:tcPr>
            <w:tcBorders>
              <w:top w:val="single" w:sz="4" w:space="0" w:color="000000"/>
              <w:left w:val="single" w:sz="4" w:space="0" w:color="000000"/>
              <w:bottom w:val="single" w:sz="4" w:space="0" w:color="000000"/>
              <w:right w:val="single" w:sz="4" w:space="0" w:color="000000"/>
            </w:tcBorders>
          </w:tcPr>
          <w:p>
            <w:pPr>
              <w:pStyle w:val="Compact"/>
            </w:pPr>
            <m:oMath>
              <m:r>
                <m:t>0.0048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Discount factor</w:t>
            </w:r>
          </w:p>
        </w:tc>
        <w:tc>
          <w:tcPr>
            <w:tcBorders>
              <w:top w:val="single" w:sz="4" w:space="0" w:color="000000"/>
              <w:left w:val="single" w:sz="4" w:space="0" w:color="000000"/>
              <w:bottom w:val="single" w:sz="4" w:space="0" w:color="000000"/>
              <w:right w:val="single" w:sz="4" w:space="0" w:color="000000"/>
            </w:tcBorders>
          </w:tcPr>
          <w:p>
            <w:pPr>
              <w:pStyle w:val="Compact"/>
            </w:pPr>
            <m:oMath>
              <m:r>
                <m:t>γ</m:t>
              </m:r>
            </m:oMath>
          </w:p>
        </w:tc>
        <w:tc>
          <w:tcPr>
            <w:tcBorders>
              <w:top w:val="single" w:sz="4" w:space="0" w:color="000000"/>
              <w:left w:val="single" w:sz="4" w:space="0" w:color="000000"/>
              <w:bottom w:val="single" w:sz="4" w:space="0" w:color="000000"/>
              <w:right w:val="single" w:sz="4" w:space="0" w:color="000000"/>
            </w:tcBorders>
          </w:tcPr>
          <w:p>
            <w:pPr>
              <w:pStyle w:val="Compact"/>
            </w:pPr>
            <m:oMath>
              <m:r>
                <m:t>0.962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Replay buffer size</w:t>
            </w:r>
          </w:p>
        </w:tc>
        <w:tc>
          <w:tcPr>
            <w:tcBorders>
              <w:top w:val="single" w:sz="4" w:space="0" w:color="000000"/>
              <w:left w:val="single" w:sz="4" w:space="0" w:color="000000"/>
              <w:bottom w:val="single" w:sz="4" w:space="0" w:color="000000"/>
              <w:right w:val="single" w:sz="4" w:space="0" w:color="000000"/>
            </w:tcBorders>
          </w:tcPr>
          <w:p>
            <w:pPr>
              <w:pStyle w:val="Compact"/>
            </w:pPr>
            <m:oMath>
              <m:r>
                <m:t>M</m:t>
              </m:r>
            </m:oMath>
          </w:p>
        </w:tc>
        <w:tc>
          <w:tcPr>
            <w:tcBorders>
              <w:top w:val="single" w:sz="4" w:space="0" w:color="000000"/>
              <w:left w:val="single" w:sz="4" w:space="0" w:color="000000"/>
              <w:bottom w:val="single" w:sz="4" w:space="0" w:color="000000"/>
              <w:right w:val="single" w:sz="4" w:space="0" w:color="000000"/>
            </w:tcBorders>
          </w:tcPr>
          <w:p>
            <w:pPr>
              <w:pStyle w:val="Compact"/>
            </w:pPr>
            <m:oMath>
              <m:r>
                <m:t>20</m:t>
              </m:r>
              <m:r>
                <m:rPr>
                  <m:sty m:val="p"/>
                </m:rPr>
                <m:t>,</m:t>
              </m:r>
              <m:r>
                <m:t>000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Mini-batch size</w:t>
            </w:r>
          </w:p>
        </w:tc>
        <w:tc>
          <w:tcPr>
            <w:tcBorders>
              <w:top w:val="single" w:sz="4" w:space="0" w:color="000000"/>
              <w:left w:val="single" w:sz="4" w:space="0" w:color="000000"/>
              <w:bottom w:val="single" w:sz="4" w:space="0" w:color="000000"/>
              <w:right w:val="single" w:sz="4" w:space="0" w:color="000000"/>
            </w:tcBorders>
          </w:tcPr>
          <w:p>
            <w:pPr>
              <w:pStyle w:val="Compact"/>
            </w:pPr>
            <m:oMath>
              <m:r>
                <m:t>B</m:t>
              </m:r>
            </m:oMath>
          </w:p>
        </w:tc>
        <w:tc>
          <w:tcPr>
            <w:tcBorders>
              <w:top w:val="single" w:sz="4" w:space="0" w:color="000000"/>
              <w:left w:val="single" w:sz="4" w:space="0" w:color="000000"/>
              <w:bottom w:val="single" w:sz="4" w:space="0" w:color="000000"/>
              <w:right w:val="single" w:sz="4" w:space="0" w:color="000000"/>
            </w:tcBorders>
          </w:tcPr>
          <w:p>
            <w:pPr>
              <w:pStyle w:val="Compact"/>
            </w:pPr>
            <m:oMath>
              <m:r>
                <m:t>178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Epsilon schedule</w:t>
            </w:r>
          </w:p>
        </w:tc>
        <w:tc>
          <w:tcPr>
            <w:tcBorders>
              <w:top w:val="single" w:sz="4" w:space="0" w:color="000000"/>
              <w:left w:val="single" w:sz="4" w:space="0" w:color="000000"/>
              <w:bottom w:val="single" w:sz="4" w:space="0" w:color="000000"/>
              <w:right w:val="single" w:sz="4" w:space="0" w:color="000000"/>
            </w:tcBorders>
          </w:tcPr>
          <w:p>
            <w:pPr>
              <w:pStyle w:val="Compact"/>
            </w:pPr>
            <m:oMath>
              <m:r>
                <m:t>ϵ</m:t>
              </m:r>
            </m:oMath>
          </w:p>
        </w:tc>
        <w:tc>
          <w:tcPr>
            <w:tcBorders>
              <w:top w:val="single" w:sz="4" w:space="0" w:color="000000"/>
              <w:left w:val="single" w:sz="4" w:space="0" w:color="000000"/>
              <w:bottom w:val="single" w:sz="4" w:space="0" w:color="000000"/>
              <w:right w:val="single" w:sz="4" w:space="0" w:color="000000"/>
            </w:tcBorders>
          </w:tcPr>
          <w:p>
            <w:pPr>
              <w:pStyle w:val="Compact"/>
            </w:pPr>
            <m:oMath>
              <m:r>
                <m:t>0.6109</m:t>
              </m:r>
              <m:r>
                <m:t>t</m:t>
              </m:r>
              <m:r>
                <m:t>o</m:t>
              </m:r>
              <m:r>
                <m:t>0.0045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Epsilon decay factor</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t>ϵ</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0.9947</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Target update frequency</w:t>
            </w:r>
          </w:p>
        </w:tc>
        <w:tc>
          <w:tcPr>
            <w:tcBorders>
              <w:top w:val="single" w:sz="4" w:space="0" w:color="000000"/>
              <w:left w:val="single" w:sz="4" w:space="0" w:color="000000"/>
              <w:bottom w:val="single" w:sz="4" w:space="0" w:color="000000"/>
              <w:right w:val="single" w:sz="4" w:space="0" w:color="000000"/>
            </w:tcBorders>
          </w:tcPr>
          <w:p>
            <w:pPr>
              <w:pStyle w:val="Compact"/>
            </w:pPr>
            <m:oMath>
              <m:r>
                <m:t>C</m:t>
              </m:r>
            </m:oMath>
          </w:p>
        </w:tc>
        <w:tc>
          <w:tcPr>
            <w:tcBorders>
              <w:top w:val="single" w:sz="4" w:space="0" w:color="000000"/>
              <w:left w:val="single" w:sz="4" w:space="0" w:color="000000"/>
              <w:bottom w:val="single" w:sz="4" w:space="0" w:color="000000"/>
              <w:right w:val="single" w:sz="4" w:space="0" w:color="000000"/>
            </w:tcBorders>
          </w:tcPr>
          <w:p>
            <w:pPr>
              <w:pStyle w:val="Compact"/>
            </w:pPr>
            <m:oMath>
              <m:r>
                <m:t>126</m:t>
              </m:r>
            </m:oMath>
            <w:r>
              <w:t xml:space="preserve"> </w:t>
            </w:r>
            <w:r>
              <w:t xml:space="preserve">steps</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Network architecture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State dimension / action cardinality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N/A</w:t>
            </w:r>
          </w:p>
        </w:tc>
        <w:tc>
          <w:tcPr>
            <w:tcBorders>
              <w:top w:val="single" w:sz="4" w:space="0" w:color="000000"/>
              <w:left w:val="single" w:sz="4" w:space="0" w:color="000000"/>
              <w:bottom w:val="single" w:sz="4" w:space="0" w:color="000000"/>
              <w:right w:val="single" w:sz="4" w:space="0" w:color="000000"/>
            </w:tcBorders>
          </w:tcPr>
          <w:p>
            <w:pPr>
              <w:pStyle w:val="Compact"/>
            </w:pPr>
            <m:oMath>
              <m:r>
                <m:t>3</m:t>
              </m:r>
              <m:r>
                <m:rPr>
                  <m:sty m:val="p"/>
                </m:rPr>
                <m:t>/</m:t>
              </m:r>
              <m:r>
                <m:t>10</m:t>
              </m:r>
            </m:oMath>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Global update rate</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g</m:t>
                  </m:r>
                  <m:r>
                    <m:rPr>
                      <m:sty m:val="p"/>
                    </m:rPr>
                    <m:t>l</m:t>
                  </m:r>
                  <m:r>
                    <m:rPr>
                      <m:sty m:val="p"/>
                    </m:rPr>
                    <m:t>o</m:t>
                  </m:r>
                  <m:r>
                    <m:rPr>
                      <m:sty m:val="p"/>
                    </m:rPr>
                    <m:t>b</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0.0625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Local window size</w:t>
            </w:r>
          </w:p>
        </w:tc>
        <w:tc>
          <w:tcPr>
            <w:tcBorders>
              <w:top w:val="single" w:sz="4" w:space="0" w:color="000000"/>
              <w:left w:val="single" w:sz="4" w:space="0" w:color="000000"/>
              <w:bottom w:val="single" w:sz="4" w:space="0" w:color="000000"/>
              <w:right w:val="single" w:sz="4" w:space="0" w:color="000000"/>
            </w:tcBorders>
          </w:tcPr>
          <w:p>
            <w:pPr>
              <w:pStyle w:val="Compact"/>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135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Local update rate</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λ</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0.595659</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Local fusion weight</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α</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0.675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Bias correction term</w:t>
            </w:r>
          </w:p>
        </w:tc>
        <w:tc>
          <w:tcPr>
            <w:tcBorders>
              <w:top w:val="single" w:sz="4" w:space="0" w:color="000000"/>
              <w:left w:val="single" w:sz="4" w:space="0" w:color="000000"/>
              <w:bottom w:val="single" w:sz="4" w:space="0" w:color="000000"/>
              <w:right w:val="single" w:sz="4" w:space="0" w:color="000000"/>
            </w:tcBorders>
          </w:tcPr>
          <w:p>
            <w:pPr>
              <w:pStyle w:val="Compact"/>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rPr>
                  <m:sty m:val="p"/>
                </m:rPr>
                <m:t>−</m:t>
              </m:r>
              <m:r>
                <m:t>0.043058</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Quantile level</w:t>
            </w:r>
          </w:p>
        </w:tc>
        <w:tc>
          <w:tcPr>
            <w:tcBorders>
              <w:top w:val="single" w:sz="4" w:space="0" w:color="000000"/>
              <w:left w:val="single" w:sz="4" w:space="0" w:color="000000"/>
              <w:bottom w:val="single" w:sz="4" w:space="0" w:color="000000"/>
              <w:right w:val="single" w:sz="4" w:space="0" w:color="000000"/>
            </w:tcBorders>
          </w:tcPr>
          <w:p>
            <w:pPr>
              <w:pStyle w:val="Compact"/>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pPr>
            <m:oMath>
              <m:r>
                <m:t>0.667542</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MAD scale coefficient</w:t>
            </w:r>
          </w:p>
        </w:tc>
        <w:tc>
          <w:tcPr>
            <w:tcBorders>
              <w:top w:val="single" w:sz="4" w:space="0" w:color="000000"/>
              <w:left w:val="single" w:sz="4" w:space="0" w:color="000000"/>
              <w:bottom w:val="single" w:sz="4" w:space="0" w:color="000000"/>
              <w:right w:val="single" w:sz="4" w:space="0" w:color="000000"/>
            </w:tcBorders>
          </w:tcPr>
          <w:p>
            <w:pPr>
              <w:pStyle w:val="Compact"/>
            </w:pPr>
            <m:oMath>
              <m:r>
                <m:t>κ</m:t>
              </m:r>
            </m:oMath>
          </w:p>
        </w:tc>
        <w:tc>
          <w:tcPr>
            <w:tcBorders>
              <w:top w:val="single" w:sz="4" w:space="0" w:color="000000"/>
              <w:left w:val="single" w:sz="4" w:space="0" w:color="000000"/>
              <w:bottom w:val="single" w:sz="4" w:space="0" w:color="000000"/>
              <w:right w:val="single" w:sz="4" w:space="0" w:color="000000"/>
            </w:tcBorders>
          </w:tcPr>
          <w:p>
            <w:pPr>
              <w:pStyle w:val="Compact"/>
            </w:pPr>
            <m:oMath>
              <m:r>
                <m:t>1.135275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Quantile fusion weight</w:t>
            </w:r>
          </w:p>
        </w:tc>
        <w:tc>
          <w:tcPr>
            <w:tcBorders>
              <w:top w:val="single" w:sz="4" w:space="0" w:color="000000"/>
              <w:left w:val="single" w:sz="4" w:space="0" w:color="000000"/>
              <w:bottom w:val="single" w:sz="4" w:space="0" w:color="000000"/>
              <w:right w:val="single" w:sz="4" w:space="0" w:color="000000"/>
            </w:tcBorders>
          </w:tcPr>
          <w:p>
            <w:pPr>
              <w:pStyle w:val="Compact"/>
            </w:pPr>
            <m:oMath>
              <m:sSub>
                <m:e>
                  <m:r>
                    <m:t>ω</m:t>
                  </m:r>
                </m:e>
                <m:sub>
                  <m:r>
                    <m:t>q</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0.575</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Hysteresis margin</w:t>
            </w:r>
          </w:p>
        </w:tc>
        <w:tc>
          <w:tcPr>
            <w:tcBorders>
              <w:top w:val="single" w:sz="4" w:space="0" w:color="000000"/>
              <w:left w:val="single" w:sz="4" w:space="0" w:color="000000"/>
              <w:bottom w:val="single" w:sz="4" w:space="0" w:color="000000"/>
              <w:right w:val="single" w:sz="4" w:space="0" w:color="000000"/>
            </w:tcBorders>
          </w:tcPr>
          <w:p>
            <w:pPr>
              <w:pStyle w:val="Compact"/>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pPr>
            <m:oMath>
              <m:r>
                <m:t>0.021760</m:t>
              </m:r>
            </m:oMath>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t xml:space="preserve">Multiscale fusion weights</w:t>
            </w:r>
          </w:p>
        </w:tc>
        <w:tc>
          <w:tcPr>
            <w:tcBorders>
              <w:top w:val="single" w:sz="4" w:space="0" w:color="000000"/>
              <w:left w:val="single" w:sz="4" w:space="0" w:color="000000"/>
              <w:bottom w:val="single" w:sz="4" w:space="0" w:color="000000"/>
              <w:right w:val="single" w:sz="4" w:space="0" w:color="000000"/>
            </w:tcBorders>
          </w:tcPr>
          <w:p>
            <w:pPr>
              <w:pStyle w:val="Compact"/>
            </w:pPr>
            <m:oMath>
              <m:r>
                <m:rPr>
                  <m:sty m:val="bi"/>
                </m:rPr>
                <m:t>w</m:t>
              </m:r>
            </m:oMath>
          </w:p>
        </w:tc>
        <w:tc>
          <w:tcPr>
            <w:tcBorders>
              <w:top w:val="single" w:sz="4" w:space="0" w:color="000000"/>
              <w:left w:val="single" w:sz="4" w:space="0" w:color="000000"/>
              <w:bottom w:val="single" w:sz="4" w:space="0" w:color="000000"/>
              <w:right w:val="single" w:sz="4" w:space="0" w:color="000000"/>
            </w:tcBorders>
          </w:tcPr>
          <w:p>
            <w:pPr>
              <w:pStyle w:val="Compact"/>
            </w:pPr>
            <m:oMath>
              <m:r>
                <m:t>0.55</m:t>
              </m:r>
              <m:r>
                <m:rPr>
                  <m:sty m:val="p"/>
                </m:rPr>
                <m:t>,</m:t>
              </m:r>
              <m:r>
                <m:t>0.275</m:t>
              </m:r>
              <m:r>
                <m:rPr>
                  <m:sty m:val="p"/>
                </m:rPr>
                <m:t>,</m:t>
              </m:r>
              <m:r>
                <m:t>0.175</m:t>
              </m:r>
            </m:oMath>
          </w:p>
        </w:tc>
      </w:tr>
    </w:tbl>
    <w:p>
      <w:pPr>
        <w:pStyle w:val="BodyText"/>
      </w:pPr>
      <w:r>
        <w:rPr>
          <w:rFonts w:hint="eastAsia"/>
        </w:rPr>
        <w:t xml:space="preserve">表</w:t>
      </w:r>
      <w:r>
        <w:t xml:space="preserve"> A3 </w:t>
      </w:r>
      <w:r>
        <w:rPr>
          <w:rFonts w:hint="eastAsia"/>
        </w:rPr>
        <w:t xml:space="preserve">评价指标与优化方向</w:t>
      </w:r>
    </w:p>
    <w:p>
      <w:pPr>
        <w:pStyle w:val="BodyText"/>
      </w:pPr>
      <w:r>
        <w:t xml:space="preserve">Table A3 Evaluation metrics and optimization objectives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类别</w:t>
            </w:r>
            <w:r>
              <w:rPr>
                <w:b/>
                <w:bCs/>
              </w:rPr>
              <w:t xml:space="preserve"> (Category)</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指标名称</w:t>
            </w:r>
            <w:r>
              <w:rPr>
                <w:b/>
                <w:bCs/>
              </w:rPr>
              <w:t xml:space="preserve"> (Metric)</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符号</w:t>
            </w:r>
            <w:r>
              <w:rPr>
                <w:b/>
                <w:bCs/>
              </w:rPr>
              <w:t xml:space="preserve"> (Symbol)</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单位</w:t>
            </w:r>
            <w:r>
              <w:rPr>
                <w:b/>
                <w:bCs/>
              </w:rPr>
              <w:t xml:space="preserve"> (Unit)</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优化目标</w:t>
            </w:r>
            <w:r>
              <w:rPr>
                <w:b/>
                <w:bCs/>
              </w:rPr>
              <w:t xml:space="preserve"> (Goal)</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能耗效率</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日均能耗</w:t>
            </w:r>
          </w:p>
        </w:tc>
        <w:tc>
          <w:tcPr>
            <w:tcBorders>
              <w:top w:val="single" w:sz="4" w:space="0" w:color="000000"/>
              <w:left w:val="single" w:sz="4" w:space="0" w:color="000000"/>
              <w:bottom w:val="single" w:sz="4" w:space="0" w:color="000000"/>
              <w:right w:val="single" w:sz="4" w:space="0" w:color="000000"/>
            </w:tcBorders>
          </w:tcPr>
          <w:p>
            <w:pPr>
              <w:pStyle w:val="Compact"/>
            </w:pPr>
            <m:oMath>
              <m:sSub>
                <m:e>
                  <m:r>
                    <m:t>E</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相对节能率</w:t>
            </w:r>
          </w:p>
        </w:tc>
        <w:tc>
          <w:tcPr>
            <w:tcBorders>
              <w:top w:val="single" w:sz="4" w:space="0" w:color="000000"/>
              <w:left w:val="single" w:sz="4" w:space="0" w:color="000000"/>
              <w:bottom w:val="single" w:sz="4" w:space="0" w:color="000000"/>
              <w:right w:val="single" w:sz="4" w:space="0" w:color="000000"/>
            </w:tcBorders>
          </w:tcPr>
          <w:p>
            <w:pPr>
              <w:pStyle w:val="Compact"/>
            </w:pPr>
            <m:oMath>
              <m:sSub>
                <m:e>
                  <m:r>
                    <m:t>η</m:t>
                  </m:r>
                </m:e>
                <m:sub>
                  <m:r>
                    <m:rPr>
                      <m:nor/>
                      <m:sty m:val="p"/>
                    </m:rPr>
                    <m:t>saving</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平均冷机功率</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P</m:t>
                      </m:r>
                    </m:e>
                  </m:acc>
                </m:e>
                <m:sub>
                  <m:r>
                    <m:rPr>
                      <m:nor/>
                      <m:sty m:val="p"/>
                    </m:rPr>
                    <m:t>chiller</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kW</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温度控制</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动作平滑度</w:t>
            </w:r>
          </w:p>
        </w:tc>
        <w:tc>
          <w:tcPr>
            <w:tcBorders>
              <w:top w:val="single" w:sz="4" w:space="0" w:color="000000"/>
              <w:left w:val="single" w:sz="4" w:space="0" w:color="000000"/>
              <w:bottom w:val="single" w:sz="4" w:space="0" w:color="000000"/>
              <w:right w:val="single" w:sz="4" w:space="0" w:color="000000"/>
            </w:tcBorders>
          </w:tcPr>
          <w:p>
            <w:pPr>
              <w:pStyle w:val="Compact"/>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性能保持率</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PPR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控制稀疏性</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日均触发次数</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count/day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动作更新总次数</w:t>
            </w:r>
          </w:p>
        </w:tc>
        <w:tc>
          <w:tcPr>
            <w:tcBorders>
              <w:top w:val="single" w:sz="4" w:space="0" w:color="000000"/>
              <w:left w:val="single" w:sz="4" w:space="0" w:color="000000"/>
              <w:bottom w:val="single" w:sz="4" w:space="0" w:color="000000"/>
              <w:right w:val="single" w:sz="4" w:space="0" w:color="000000"/>
            </w:tcBorders>
          </w:tcPr>
          <w:p>
            <w:pPr>
              <w:pStyle w:val="Compact"/>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动作压缩比</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动作减少率</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ARR</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触发间隔</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trigger</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动作保持长度</w:t>
            </w:r>
          </w:p>
        </w:tc>
        <w:tc>
          <w:tcPr>
            <w:tcBorders>
              <w:top w:val="single" w:sz="4" w:space="0" w:color="000000"/>
              <w:left w:val="single" w:sz="4" w:space="0" w:color="000000"/>
              <w:bottom w:val="single" w:sz="4" w:space="0" w:color="000000"/>
              <w:right w:val="single" w:sz="4" w:space="0" w:color="000000"/>
            </w:tcBorders>
          </w:tcPr>
          <w:p>
            <w:pPr>
              <w:pStyle w:val="Compact"/>
            </w:pPr>
            <m:oMath>
              <m:sSub>
                <m:e>
                  <m:r>
                    <m:t>L</m:t>
                  </m:r>
                </m:e>
                <m:sub>
                  <m:r>
                    <m:rPr>
                      <m:nor/>
                      <m:sty m:val="p"/>
                    </m:rPr>
                    <m:t>hold</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r>
              <w:rPr>
                <w:rFonts w:hint="eastAsia"/>
                <w:b/>
                <w:bCs/>
              </w:rPr>
              <w:t xml:space="preserve">机制与执行效率</w:t>
            </w: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总奖励</w:t>
            </w:r>
          </w:p>
        </w:tc>
        <w:tc>
          <w:tcPr>
            <w:tcBorders>
              <w:top w:val="single" w:sz="4" w:space="0" w:color="000000"/>
              <w:left w:val="single" w:sz="4" w:space="0" w:color="000000"/>
              <w:bottom w:val="single" w:sz="4" w:space="0" w:color="000000"/>
              <w:right w:val="single" w:sz="4" w:space="0" w:color="000000"/>
            </w:tcBorders>
          </w:tcPr>
          <w:p>
            <w:pPr>
              <w:pStyle w:val="Compact"/>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rFonts w:hint="eastAsia"/>
              </w:rPr>
              <w:t xml:space="preserve">平均更新奖励</w:t>
            </w:r>
          </w:p>
        </w:tc>
        <w:tc>
          <w:tcPr>
            <w:tcBorders>
              <w:top w:val="single" w:sz="4" w:space="0" w:color="000000"/>
              <w:left w:val="single" w:sz="4" w:space="0" w:color="000000"/>
              <w:bottom w:val="single" w:sz="4" w:space="0" w:color="000000"/>
              <w:right w:val="single" w:sz="4" w:space="0" w:color="000000"/>
            </w:tcBorders>
          </w:tcPr>
          <w:p>
            <w:pPr>
              <w:pStyle w:val="Compact"/>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Maximize</w:t>
            </w:r>
          </w:p>
        </w:tc>
      </w:tr>
    </w:tbl>
    <w:bookmarkEnd w:id="50"/>
    <w:bookmarkStart w:id="51" w:name="references"/>
    <w:p>
      <w:pPr>
        <w:pStyle w:val="Heading1"/>
      </w:pPr>
      <w:r>
        <w:t xml:space="preserve">References</w:t>
      </w:r>
    </w:p>
    <w:p>
      <w:pPr>
        <w:pStyle w:val="FirstParagraph"/>
      </w:pPr>
      <w:r>
        <w:t xml:space="preserve">[1] Arghand, Taha, et al. </w:t>
      </w:r>
      <w:r>
        <w:t xml:space="preserve">“Individually controlled localized chilled beam combined with chilled ceiling: Thermal environment.”</w:t>
      </w:r>
      <w:r>
        <w:t xml:space="preserve"> </w:t>
      </w:r>
      <w:r>
        <w:t xml:space="preserve">Building and Environment 282 (2025): 113322.</w:t>
      </w:r>
    </w:p>
    <w:p>
      <w:pPr>
        <w:pStyle w:val="BodyText"/>
      </w:pPr>
      <w:r>
        <w:t xml:space="preserve">[2]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[3] Xia, Yihan, et al. </w:t>
      </w:r>
      <w:r>
        <w:t xml:space="preserve">“Federated accelerated deep reinforcement learning for multi-zone HVAC control in commercial buildings.”</w:t>
      </w:r>
      <w:r>
        <w:t xml:space="preserve"> </w:t>
      </w:r>
      <w:r>
        <w:t xml:space="preserve">IEEE Transactions on Smart Grid 16.3 (2025): 2599-2610.</w:t>
      </w:r>
    </w:p>
    <w:p>
      <w:pPr>
        <w:pStyle w:val="BodyText"/>
      </w:pPr>
      <w:r>
        <w:t xml:space="preserve">[4]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[5]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[6] Coraci, Davide, et al. </w:t>
      </w:r>
      <w:r>
        <w:t xml:space="preserve">“An innovative heterogeneous transfer learning framework to enhance the scalability of deep reinforcement learning controllers in buildings with integrated energy systems.”</w:t>
      </w:r>
      <w:r>
        <w:t xml:space="preserve"> </w:t>
      </w:r>
      <w:r>
        <w:t xml:space="preserve">Building simulation. Vol. 17. No. 5. Beijing: Tsinghua University Press, 2024.</w:t>
      </w:r>
    </w:p>
    <w:p>
      <w:pPr>
        <w:pStyle w:val="BodyText"/>
      </w:pPr>
      <w:r>
        <w:t xml:space="preserve">[7] Gu, Zhou, Ruiyan Cao, and Engang Tian.</w:t>
      </w:r>
      <w:r>
        <w:t xml:space="preserve"> </w:t>
      </w:r>
      <w:r>
        <w:t xml:space="preserve">“Reinforcement learning-based event-triggered optimal control of power systems with control input saturation.”</w:t>
      </w:r>
      <w:r>
        <w:t xml:space="preserve"> </w:t>
      </w:r>
      <w:r>
        <w:t xml:space="preserve">IEEE Transactions on Industrial Informatics 21.2 (2024): 1528-1536.</w:t>
      </w:r>
    </w:p>
    <w:p>
      <w:pPr>
        <w:pStyle w:val="BodyText"/>
      </w:pPr>
      <w:r>
        <w:t xml:space="preserve">[8] Wang, Ke, Zhuo Tang, and Chaoxu Mu.</w:t>
      </w:r>
      <w:r>
        <w:t xml:space="preserve"> </w:t>
      </w:r>
      <w:r>
        <w:t xml:space="preserve">“Dynamic event-triggered model-free reinforcement learning for cooperative control of multiagent systems.”</w:t>
      </w:r>
      <w:r>
        <w:t xml:space="preserve"> </w:t>
      </w:r>
      <w:r>
        <w:t xml:space="preserve">IEEE Transactions on Reliability 74.3 (2024): 3166-3179.</w:t>
      </w:r>
    </w:p>
    <w:p>
      <w:pPr>
        <w:pStyle w:val="BodyText"/>
      </w:pPr>
      <w:r>
        <w:t xml:space="preserve">[9] Fu, Qiming, et al. </w:t>
      </w:r>
      <w:r>
        <w:t xml:space="preserve">“ED-DQN: An event-driven deep reinforcement learning control method for multi-zone residential buildings.”</w:t>
      </w:r>
      <w:r>
        <w:t xml:space="preserve"> </w:t>
      </w:r>
      <w:r>
        <w:t xml:space="preserve">Building and Environment 242 (2023): 110546.</w:t>
      </w:r>
    </w:p>
    <w:p>
      <w:pPr>
        <w:pStyle w:val="BodyText"/>
      </w:pPr>
      <w:r>
        <w:t xml:space="preserve">[10] Li, Wenzhuo, Hangxin Li, and Shengwei Wang.</w:t>
      </w:r>
      <w:r>
        <w:t xml:space="preserve"> </w:t>
      </w:r>
      <w:r>
        <w:t xml:space="preserve">“An event-driven multi-agent based distributed optimal control strategy for HVAC systems in IoT-enabled smart buildings.”</w:t>
      </w:r>
      <w:r>
        <w:t xml:space="preserve"> </w:t>
      </w:r>
      <w:r>
        <w:t xml:space="preserve">Automation in Construction 132 (2021): 103919.</w:t>
      </w:r>
    </w:p>
    <w:p>
      <w:pPr>
        <w:pStyle w:val="BodyText"/>
      </w:pPr>
      <w:r>
        <w:t xml:space="preserve">[11] Wang, Xin, et al. </w:t>
      </w:r>
      <w:r>
        <w:t xml:space="preserve">“Observer-based event-triggered optimal control for nonlinear multiagent systems with input delay via reinforcement learning strategy.”</w:t>
      </w:r>
      <w:r>
        <w:t xml:space="preserve"> </w:t>
      </w:r>
      <w:r>
        <w:t xml:space="preserve">IEEE Transactions on Emerging Topics in Computational Intelligence 9.3 (2024): 2398-2409.</w:t>
      </w:r>
    </w:p>
    <w:p>
      <w:pPr>
        <w:pStyle w:val="BodyText"/>
      </w:pPr>
      <w:r>
        <w:t xml:space="preserve">[12]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odyText"/>
      </w:pPr>
      <w:r>
        <w:t xml:space="preserve">[13] Choi, Youngsik, et al. </w:t>
      </w:r>
      <w:r>
        <w:t xml:space="preserve">“Optimization-informed rule extraction for HVAC system: A case study of dedicated outdoor air system control in a mixed-humid climate zone.”</w:t>
      </w:r>
      <w:r>
        <w:t xml:space="preserve"> </w:t>
      </w:r>
      <w:r>
        <w:t xml:space="preserve">Energy and Buildings 295 (2023): 113295.</w:t>
      </w:r>
    </w:p>
    <w:p>
      <w:pPr>
        <w:pStyle w:val="BodyText"/>
      </w:pPr>
      <w:r>
        <w:t xml:space="preserve">[14]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t xml:space="preserve">Buildings 14.1 (2023): 66.</w:t>
      </w:r>
    </w:p>
    <w:p>
      <w:pPr>
        <w:pStyle w:val="BodyText"/>
      </w:pPr>
      <w:r>
        <w:t xml:space="preserve">[15]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t xml:space="preserve">Energies 16.7 (2023): 2967.</w:t>
      </w:r>
    </w:p>
    <w:p>
      <w:pPr>
        <w:pStyle w:val="BodyText"/>
      </w:pPr>
      <w:r>
        <w:t xml:space="preserve">[16] Tang, Lingfeng, et al. </w:t>
      </w:r>
      <w:r>
        <w:t xml:space="preserve">“Deeply flexible commercial building HVAC system control: A physics-aware deep learning-embedded MPC approach.”</w:t>
      </w:r>
      <w:r>
        <w:t xml:space="preserve"> </w:t>
      </w:r>
      <w:r>
        <w:t xml:space="preserve">Applied Energy 388 (2025): 125631.</w:t>
      </w:r>
    </w:p>
    <w:p>
      <w:pPr>
        <w:pStyle w:val="BodyText"/>
      </w:pPr>
      <w:r>
        <w:t xml:space="preserve">[17] Lu, Shengze, et al. </w:t>
      </w:r>
      <w:r>
        <w:t xml:space="preserve">“Exploring the comprehensive integration of artificial intelligence in optimizing HVAC system operations: A review and future outlook.”</w:t>
      </w:r>
      <w:r>
        <w:t xml:space="preserve"> </w:t>
      </w:r>
      <w:r>
        <w:t xml:space="preserve">Results in Engineering 25 (2025): 103765.</w:t>
      </w:r>
    </w:p>
    <w:p>
      <w:pPr>
        <w:pStyle w:val="BodyText"/>
      </w:pPr>
      <w:r>
        <w:t xml:space="preserve">[18] Fu, Qiming, et al. </w:t>
      </w:r>
      <w:r>
        <w:t xml:space="preserve">“Applications of reinforcement learning for building energy efficiency control: A review.”</w:t>
      </w:r>
      <w:r>
        <w:t xml:space="preserve"> </w:t>
      </w:r>
      <w:r>
        <w:t xml:space="preserve">Journal of Building Engineering 50 (2022): 104165.</w:t>
      </w:r>
    </w:p>
    <w:p>
      <w:pPr>
        <w:pStyle w:val="BodyText"/>
      </w:pPr>
      <w:r>
        <w:t xml:space="preserve">[19] Savino, Sabrina, et al. </w:t>
      </w:r>
      <w:r>
        <w:t xml:space="preserve">“Deploying deep reinforcement learning for low-level HVAC control in multi-zone buildings: A comparative study with ASHRAE G36 sequences.”</w:t>
      </w:r>
      <w:r>
        <w:t xml:space="preserve"> </w:t>
      </w:r>
      <w:r>
        <w:t xml:space="preserve">Energy and Buildings (2025): 116456.</w:t>
      </w:r>
    </w:p>
    <w:p>
      <w:pPr>
        <w:pStyle w:val="BodyText"/>
      </w:pPr>
      <w:r>
        <w:t xml:space="preserve">[20] Wang, Man, and Borong Lin.</w:t>
      </w:r>
      <w:r>
        <w:t xml:space="preserve"> </w:t>
      </w:r>
      <w:r>
        <w:t xml:space="preserve">“MF^2: Model-free reinforcement learning for modeling-free building HVAC control with data-driven environment construction in a residential building.”</w:t>
      </w:r>
      <w:r>
        <w:t xml:space="preserve"> </w:t>
      </w:r>
      <w:r>
        <w:t xml:space="preserve">Building and Environment 244 (2023): 110816.</w:t>
      </w:r>
    </w:p>
    <w:p>
      <w:pPr>
        <w:pStyle w:val="BodyText"/>
      </w:pPr>
      <w:r>
        <w:t xml:space="preserve">[21] Zhuang, Dian, et al. </w:t>
      </w:r>
      <w:r>
        <w:t xml:space="preserve">“Data-driven predictive control for smart HVAC system in IoT-integrated buildings with time-series forecasting and reinforcement learning.”</w:t>
      </w:r>
      <w:r>
        <w:t xml:space="preserve"> </w:t>
      </w:r>
      <w:r>
        <w:t xml:space="preserve">Applied Energy 338 (2023): 120936.</w:t>
      </w:r>
    </w:p>
    <w:p>
      <w:pPr>
        <w:pStyle w:val="BodyText"/>
      </w:pPr>
      <w:r>
        <w:t xml:space="preserve">[22] Manjavacas, Antonio, et al. </w:t>
      </w:r>
      <w:r>
        <w:t xml:space="preserve">“An experimental evaluation of deep reinforcement learning algorithms for HVAC control.”</w:t>
      </w:r>
      <w:r>
        <w:t xml:space="preserve"> </w:t>
      </w:r>
      <w:r>
        <w:t xml:space="preserve">Artificial Intelligence Review 57.7 (2024): 173.</w:t>
      </w:r>
    </w:p>
    <w:p>
      <w:pPr>
        <w:pStyle w:val="BodyText"/>
      </w:pPr>
      <w:r>
        <w:t xml:space="preserve">[23] Li, Kai, Wei Ni, and Falko Dressler.</w:t>
      </w:r>
      <w:r>
        <w:t xml:space="preserve"> </w:t>
      </w:r>
      <w:r>
        <w:t xml:space="preserve">“LSTM-characterized deep reinforcement learning for continuous flight control and resource allocation in UAV-assisted sensor network.”</w:t>
      </w:r>
      <w:r>
        <w:t xml:space="preserve"> </w:t>
      </w:r>
      <w:r>
        <w:t xml:space="preserve">IEEE Internet of Things Journal 9.6 (2021): 4179-4189.</w:t>
      </w:r>
    </w:p>
    <w:p>
      <w:pPr>
        <w:pStyle w:val="BodyText"/>
      </w:pPr>
      <w:r>
        <w:t xml:space="preserve">[24] Al Sayed, Khalil, et al. </w:t>
      </w:r>
      <w:r>
        <w:t xml:space="preserve">“Reinforcement learning for HVAC control in intelligent buildings: A technical and conceptual review.”</w:t>
      </w:r>
      <w:r>
        <w:t xml:space="preserve"> </w:t>
      </w:r>
      <w:r>
        <w:t xml:space="preserve">Journal of Building Engineering 95 (2024): 110085.</w:t>
      </w:r>
    </w:p>
    <w:p>
      <w:pPr>
        <w:pStyle w:val="BodyText"/>
      </w:pPr>
      <w:r>
        <w:t xml:space="preserve">[25] He, Kun, et al. </w:t>
      </w:r>
      <w:r>
        <w:t xml:space="preserve">“Predictive control optimization of chiller plants based on deep reinforcement learning.”</w:t>
      </w:r>
      <w:r>
        <w:t xml:space="preserve"> </w:t>
      </w:r>
      <w:r>
        <w:t xml:space="preserve">Journal of Building Engineering 76 (2023): 107158.</w:t>
      </w:r>
    </w:p>
    <w:p>
      <w:pPr>
        <w:pStyle w:val="BodyText"/>
      </w:pPr>
      <w:r>
        <w:t xml:space="preserve">[26] Liu, Xinghua, et al. </w:t>
      </w:r>
      <w:r>
        <w:t xml:space="preserve">“Event-triggered load frequency control of smart grids under deception attacks.”</w:t>
      </w:r>
      <w:r>
        <w:t xml:space="preserve"> </w:t>
      </w:r>
      <w:r>
        <w:t xml:space="preserve">IET Control Theory &amp; Applications 15.10 (2021): 1335-1345.</w:t>
      </w:r>
    </w:p>
    <w:p>
      <w:pPr>
        <w:pStyle w:val="BodyText"/>
      </w:pPr>
      <w:r>
        <w:t xml:space="preserve">[27]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[28] Liu, Derong, et al. </w:t>
      </w:r>
      <w:r>
        <w:t xml:space="preserve">“Adaptive dynamic programming for control: A survey and recent advances.”</w:t>
      </w:r>
      <w:r>
        <w:t xml:space="preserve"> </w:t>
      </w:r>
      <w:r>
        <w:t xml:space="preserve">IEEE Transactions on Systems, Man, and Cybernetics: Systems 51.1 (2020): 142-160.</w:t>
      </w:r>
    </w:p>
    <w:p>
      <w:pPr>
        <w:pStyle w:val="BodyText"/>
      </w:pPr>
      <w:r>
        <w:t xml:space="preserve">[29] Wang, Yuan, et al. </w:t>
      </w:r>
      <w:r>
        <w:t xml:space="preserve">“Dynamic event-triggered control for persistent dwell-time switched nonlinear multiagent systems with random packet loss.”</w:t>
      </w:r>
      <w:r>
        <w:t xml:space="preserve"> </w:t>
      </w:r>
      <w:r>
        <w:t xml:space="preserve">IEEE Transactions on Systems, Man, and Cybernetics: Systems 54.4 (2023): 2045-2054.</w:t>
      </w:r>
    </w:p>
    <w:p>
      <w:pPr>
        <w:pStyle w:val="BodyText"/>
      </w:pPr>
      <w:r>
        <w:t xml:space="preserve">[30] Liu, Xin, et al. </w:t>
      </w:r>
      <w:r>
        <w:t xml:space="preserve">“Building-MoE: A closed-loop routing sparse mixture-of-experts time-series foundation model for building short-term load forecasting.”</w:t>
      </w:r>
      <w:r>
        <w:t xml:space="preserve"> </w:t>
      </w:r>
      <w:r>
        <w:t xml:space="preserve">Building Simulation. Beijing: Tsinghua University Press, 2026.</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svg"/><Relationship Id="rId10" Type="http://schemas.openxmlformats.org/officeDocument/2006/relationships/image" Target="media/rId10.svg"/><Relationship Id="rId20" Type="http://schemas.openxmlformats.org/officeDocument/2006/relationships/image" Target="media/rId20.svg"/><Relationship Id="rId23" Type="http://schemas.openxmlformats.org/officeDocument/2006/relationships/image" Target="media/rId23.svg"/><Relationship Id="rId31" Type="http://schemas.openxmlformats.org/officeDocument/2006/relationships/image" Target="media/rId31.svg"/><Relationship Id="rId34" Type="http://schemas.openxmlformats.org/officeDocument/2006/relationships/image" Target="media/rId34.svg"/><Relationship Id="rId37" Type="http://schemas.openxmlformats.org/officeDocument/2006/relationships/image" Target="media/rId37.svg"/><Relationship Id="rId40" Type="http://schemas.openxmlformats.org/officeDocument/2006/relationships/image" Target="media/rId4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2026-06-08T08:14:23Z</dcterms:created>
  <dcterms:modified xsi:type="dcterms:W3CDTF">2026-06-08T08:14:23Z</dcterms:modified>
</cp:coreProperties>
</file>

<file path=docProps/custom.xml><?xml version="1.0" encoding="utf-8"?>
<Properties xmlns="http://schemas.openxmlformats.org/officeDocument/2006/custom-properties" xmlns:vt="http://schemas.openxmlformats.org/officeDocument/2006/docPropsVTypes"/>
</file>