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基于动态事件触发的-hvac-强化学习预测控制方法"/>
    <w:p>
      <w:pPr>
        <w:pStyle w:val="Heading1"/>
      </w:pPr>
      <w:r>
        <w:rPr>
          <w:rFonts w:hint="eastAsia"/>
        </w:rPr>
        <w:t xml:space="preserve">基于动态事件触发的</w:t>
      </w:r>
      <w:r>
        <w:t xml:space="preserve"> HVAC </w:t>
      </w:r>
      <w:r>
        <w:rPr>
          <w:rFonts w:hint="eastAsia"/>
        </w:rPr>
        <w:t xml:space="preserve">强化学习预测控制方法</w:t>
      </w:r>
    </w:p>
    <w:bookmarkEnd w:id="9"/>
    <w:bookmarkStart w:id="10" w:name="引言"/>
    <w:p>
      <w:pPr>
        <w:pStyle w:val="Heading1"/>
      </w:pPr>
      <w:r>
        <w:t xml:space="preserve">1. </w:t>
      </w:r>
      <w:r>
        <w:rPr>
          <w:rFonts w:hint="eastAsia"/>
        </w:rPr>
        <w:t xml:space="preserve">引言</w:t>
      </w:r>
    </w:p>
    <w:p>
      <w:pPr>
        <w:pStyle w:val="FirstParagraph"/>
      </w:pPr>
      <w:r>
        <w:rPr>
          <w:rFonts w:hint="eastAsia"/>
        </w:rPr>
        <w:t xml:space="preserve">随着全球气候变化的加剧，建筑行业的节能减排已成为亟待解决的关键问题。相关统计数据显示，建筑能耗占全球终端能耗的</w:t>
      </w:r>
      <w:r>
        <w:t xml:space="preserve"> 35% </w:t>
      </w:r>
      <w:r>
        <w:rPr>
          <w:rFonts w:hint="eastAsia"/>
        </w:rPr>
        <w:t xml:space="preserve">以上，其中供暖、通风与空调（HVAC）系统不仅占据了建筑整体能耗的约</w:t>
      </w:r>
      <w:r>
        <w:t xml:space="preserve"> </w:t>
      </w:r>
      <w:r>
        <w:rPr>
          <w:rFonts w:hint="eastAsia"/>
        </w:rPr>
        <w:t xml:space="preserve">50%，也是电力需求侧响应的关键调节资源。在中央空调系统中，冷水机组作为核心耗能部件，其运行效率直接决定了系统的整体性能。优化冷冻水供水温度（</w:t>
      </w:r>
      <m:oMath>
        <m:sSub>
          <m:e>
            <m:r>
              <m:t>T</m:t>
            </m:r>
          </m:e>
          <m:sub>
            <m:r>
              <m:rPr>
                <m:nor/>
                <m:sty m:val="p"/>
              </m:rPr>
              <m:t>chws</m:t>
            </m:r>
          </m:sub>
        </m:sSub>
      </m:oMath>
      <w:r>
        <w:rPr>
          <w:rFonts w:hint="eastAsia"/>
        </w:rPr>
        <w:t xml:space="preserve">）已被证明是平衡能耗与室内热舒适度的有效手段之一。然而，实际工程中的</w:t>
      </w:r>
      <w:r>
        <w:t xml:space="preserve"> HVAC </w:t>
      </w:r>
      <w:r>
        <w:rPr>
          <w:rFonts w:hint="eastAsia"/>
        </w:rPr>
        <w:t xml:space="preserve">控制面临着严峻挑战：建筑热负荷受室外气象条件、室内人员流动及设备散热等多重动态因素的耦合影响，系统具有高度的非线性、时变性及大惯性滞后特征。</w:t>
      </w:r>
    </w:p>
    <w:p>
      <w:pPr>
        <w:pStyle w:val="BodyText"/>
      </w:pPr>
      <w:r>
        <w:t xml:space="preserve">As global climate change intensifies, reducing energy consumption and emissions in the building sector has become an urgent priority. Statistics show that buildings account for over 35 percent of global energy consumption, and heating, ventilation, and air conditioning (HVAC) systems are responsible for about 50 percent of this building energy use. These systems also serve as key resources for demand response. In central air conditioning systems, the chiller is the main energy consuming component, and its operating efficiency directly determines the overall system performance. Optimizing the chilled water supply temperature (</w:t>
      </w:r>
      <m:oMath>
        <m:sSub>
          <m:e>
            <m:r>
              <m:t>T</m:t>
            </m:r>
          </m:e>
          <m:sub>
            <m:r>
              <m:rPr>
                <m:nor/>
                <m:sty m:val="p"/>
              </m:rPr>
              <m:t>chws</m:t>
            </m:r>
          </m:sub>
        </m:sSub>
      </m:oMath>
      <w:r>
        <w:t xml:space="preserve">) is a proven and effective way to balance energy consumption with indoor thermal comfort. However, real world HVAC control faces significant challenges. Building thermal loads depend on a combination of dynamic factors, including outdoor weather conditions, indoor occupancy, and equipment heat dissipation. Therefore, the system exhibits high nonlinearity, time varying behavior, and a large inertial lag.</w:t>
      </w:r>
    </w:p>
    <w:p>
      <w:pPr>
        <w:pStyle w:val="BodyText"/>
      </w:pPr>
      <w:r>
        <w:rPr>
          <w:rFonts w:hint="eastAsia"/>
        </w:rPr>
        <w:t xml:space="preserve">针对上述挑战，工业界与学术界长期依赖基于显式先验知识的控制范式。具体而言，以基于规则的控制（RBC）和比例</w:t>
      </w:r>
      <w:r>
        <w:t xml:space="preserve"> - </w:t>
      </w:r>
      <w:r>
        <w:rPr>
          <w:rFonts w:hint="eastAsia"/>
        </w:rPr>
        <w:t xml:space="preserve">积分</w:t>
      </w:r>
      <w:r>
        <w:t xml:space="preserve"> - </w:t>
      </w:r>
      <w:r>
        <w:rPr>
          <w:rFonts w:hint="eastAsia"/>
        </w:rPr>
        <w:t xml:space="preserve">微分（PID）为代表的传统方法，高度依赖工程师人工标定的静态参数与经验规则；而以模型预测控制（MPC）为代表的全局优化算法，则要求针对目标建筑构建高精度的机理或灰盒模型。尽管上述基于模型或显式规则的方法在特定稳态工况下表现良好，但在高度异构的实际工程场景中，针对不同建筑逐一进行系统辨识与精准建模不仅耗费巨大的时间与经济成本，且随着设备组件的长期磨损与建筑热特性的季节性漂移，固定参数的物理模型容易出现控制性能衰退。过度依赖显式环境模型与专家先验知识的传统范式难以自适应多变工况，亟待引入新型智能控制架构。</w:t>
      </w:r>
    </w:p>
    <w:p>
      <w:pPr>
        <w:pStyle w:val="BodyText"/>
      </w:pPr>
      <w:r>
        <w:t xml:space="preserve">To address these challenges, the industry and academia have long relied on control methods based on explicit prior knowledge. For example, traditional approaches like rule based control (RBC) and proportional integral derivative (PID) control heavily depend on static parameters and empirical rules that engineers calibrate manually. On the other hand, global optimization algorithms like model predictive control (MPC) require building highly accurate physical or gray box models tailored to each specific building. Although these model based or rule based methods perform well under specific steady conditions, they struggle in highly diverse real world scenarios. Identifying the system and creating precise models for every single building takes a lot of time and money. Furthermore, as equipment wears down over time and building thermal characteristics change with the seasons, fixed parameter physical models tend to lose their effectiveness. This traditional approach relies too much on explicit environmental models and expert knowledge, making it unable to adapt to changing operating conditions. Therefore, there is an urgent need for new, intelligent control architectures.</w:t>
      </w:r>
    </w:p>
    <w:p>
      <w:pPr>
        <w:pStyle w:val="BodyText"/>
      </w:pPr>
      <w:r>
        <w:rPr>
          <w:rFonts w:hint="eastAsia"/>
        </w:rPr>
        <w:t xml:space="preserve">为克服传统控制的局限性，深度强化学习（Deep</w:t>
      </w:r>
      <w:r>
        <w:t xml:space="preserve"> Reinforcement Learning, </w:t>
      </w:r>
      <w:r>
        <w:rPr>
          <w:rFonts w:hint="eastAsia"/>
        </w:rPr>
        <w:t xml:space="preserve">DRL）凭借其无模型的自适应决策能力，近年来在</w:t>
      </w:r>
      <w:r>
        <w:t xml:space="preserve"> HVAC </w:t>
      </w:r>
      <w:r>
        <w:rPr>
          <w:rFonts w:hint="eastAsia"/>
        </w:rPr>
        <w:t xml:space="preserve">控制领域展现出广阔的应用前景。DRL</w:t>
      </w:r>
      <w:r>
        <w:t xml:space="preserve"> </w:t>
      </w:r>
      <w:r>
        <w:rPr>
          <w:rFonts w:hint="eastAsia"/>
        </w:rPr>
        <w:t xml:space="preserve">能够通过与复杂时变环境的直接交互，自主学习并适应非线性工况；结合时序特征的预测型</w:t>
      </w:r>
      <w:r>
        <w:t xml:space="preserve"> DRL </w:t>
      </w:r>
      <w:r>
        <w:rPr>
          <w:rFonts w:hint="eastAsia"/>
        </w:rPr>
        <w:t xml:space="preserve">进一步提升了智能体的前瞻预测能力，有效缓解了建筑大热惯性带来的控制滞后。然而，现有</w:t>
      </w:r>
      <w:r>
        <w:t xml:space="preserve"> DRL </w:t>
      </w:r>
      <w:r>
        <w:rPr>
          <w:rFonts w:hint="eastAsia"/>
        </w:rPr>
        <w:t xml:space="preserve">在实际工程部署中仍受限于固定时间步长控制（Time-Triggered</w:t>
      </w:r>
      <w:r>
        <w:t xml:space="preserve"> Control, </w:t>
      </w:r>
      <w:r>
        <w:rPr>
          <w:rFonts w:hint="eastAsia"/>
        </w:rPr>
        <w:t xml:space="preserve">TTC）这一根本性范式。在该机制下，智能体严格按预设时钟周期进行状态采样与动作更新，忽略了建筑热负荷在时间维度上演变的非均匀特性。这种固定频率驱动方式导致了响应速度与控制代价之间的固有矛盾：高频控制虽能迅速响应环境扰动，却会带来显著的计算开销与执行器机械磨损；低频控制虽能降低硬件损耗，却易造成控温精度下降。</w:t>
      </w:r>
    </w:p>
    <w:p>
      <w:pPr>
        <w:pStyle w:val="BodyText"/>
      </w:pPr>
      <w:r>
        <w:t xml:space="preserve">To overcome the limits of traditional control, deep reinforcement learning (DRL) has shown great promise for HVAC control in recent years because it can make adaptive decisions without needing a predefined model. DRL can directly interact with complex and changing environments to learn and adapt to nonlinear conditions on its own. Predictive DRL takes this a step further by including time related features. This improves the system’s ability to look ahead and effectively reduces the control lag caused by the large thermal inertia of buildings. However, current DRL methods used in actual engineering are still limited by the standard practice of time triggered control (TTC), that is, fixed time step control. Under this setup, the agent checks the status and updates actions strictly following a set clock cycle. This ignores the fact that building thermal loads do not change at a uniform rate over time. This fixed frequency approach creates a natural conflict between response speed and control cost. Updating at a high frequency allows the system to react quickly to environmental changes, but it requires a lot of computing power and causes mechanical wear on the equipment. Updating at a low frequency reduces hardware wear but easily leads to poor temperature control.</w:t>
      </w:r>
    </w:p>
    <w:p>
      <w:pPr>
        <w:pStyle w:val="BodyText"/>
      </w:pPr>
      <w:r>
        <w:rPr>
          <w:rFonts w:hint="eastAsia"/>
        </w:rPr>
        <w:t xml:space="preserve">为缓解</w:t>
      </w:r>
      <w:r>
        <w:t xml:space="preserve"> TTC </w:t>
      </w:r>
      <w:r>
        <w:rPr>
          <w:rFonts w:hint="eastAsia"/>
        </w:rPr>
        <w:t xml:space="preserve">范式带来的计算冗余与设备磨损问题，事件驱动控制（Event-Triggered</w:t>
      </w:r>
      <w:r>
        <w:t xml:space="preserve"> Control, </w:t>
      </w:r>
      <w:r>
        <w:rPr>
          <w:rFonts w:hint="eastAsia"/>
        </w:rPr>
        <w:t xml:space="preserve">ETC）机制应运而生。ETC</w:t>
      </w:r>
      <w:r>
        <w:t xml:space="preserve"> </w:t>
      </w:r>
      <w:r>
        <w:rPr>
          <w:rFonts w:hint="eastAsia"/>
        </w:rPr>
        <w:t xml:space="preserve">基于按需决策理念，仅在系统状态发生显著偏离时激活控制更新。这种稀疏控制机制有效突破了时间步长的硬性约束，为平衡响应速度与控制代价提供了可行途径。然而，现有</w:t>
      </w:r>
      <w:r>
        <w:t xml:space="preserve"> ETC </w:t>
      </w:r>
      <w:r>
        <w:rPr>
          <w:rFonts w:hint="eastAsia"/>
        </w:rPr>
        <w:t xml:space="preserve">方案主要依赖基于专家经验的静态规则，例如设定固定的温度死区或负荷波动阈值。静态触发机制在面对高度非线性且时变的真实建筑环境时缺乏动态适应能力，难以适应不同建筑的热惯性差异以及设备老化后的性能漂移，极易导致频繁误触发或控制响应迟滞现象。</w:t>
      </w:r>
    </w:p>
    <w:p>
      <w:pPr>
        <w:pStyle w:val="BodyText"/>
      </w:pPr>
      <w:r>
        <w:t xml:space="preserve">The event triggered control (ETC) mechanism was created to reduce the extra computation and equipment wear caused by TTC. ETC uses on demand decision making and only updates the control system when the system conditions change significantly. This sparse control method breaks free from the strict limits of fixed time steps and offers a practical way to balance response speed and control cost. However, most current ETC methods rely on static rules based on expert experience, such as setting fixed temperature deadbands or load fluctuation limits. These static triggering mechanisms lack the ability to adapt when faced with real building environments that are highly nonlinear and constantly changing. They struggle to adjust to differences in thermal inertia between buildings or performance changes as equipment gets older. As a result, they easily cause frequent false alarms or delayed control responses.</w:t>
      </w:r>
    </w:p>
    <w:p>
      <w:pPr>
        <w:pStyle w:val="BodyText"/>
      </w:pPr>
      <w:r>
        <w:rPr>
          <w:rFonts w:hint="eastAsia"/>
        </w:rPr>
        <w:t xml:space="preserve">基于上述动机，本文提出了一种结合时序预测与无监督动态事件触发的新型</w:t>
      </w:r>
      <w:r>
        <w:t xml:space="preserve"> HVAC </w:t>
      </w:r>
      <w:r>
        <w:rPr>
          <w:rFonts w:hint="eastAsia"/>
        </w:rPr>
        <w:t xml:space="preserve">控制框架（ET-PRL）。本文的主要贡献如下：</w:t>
      </w:r>
    </w:p>
    <w:p>
      <w:pPr>
        <w:pStyle w:val="BodyText"/>
      </w:pPr>
      <w:r>
        <w:t xml:space="preserve">Driven by these motivations, this paper proposes a new HVAC control framework that combines time series prediction with unsupervised dynamic event triggering (ET-PRL). The main contributions of this paper are as follows:</w:t>
      </w:r>
    </w:p>
    <w:p>
      <w:pPr>
        <w:numPr>
          <w:ilvl w:val="0"/>
          <w:numId w:val="1001"/>
        </w:numPr>
      </w:pPr>
      <w:r>
        <w:rPr>
          <w:rFonts w:hint="eastAsia"/>
          <w:b/>
          <w:bCs/>
        </w:rPr>
        <w:t xml:space="preserve">提出基于流式特征的无监督动态事件门控机制</w:t>
      </w:r>
      <w:r>
        <w:rPr>
          <w:rFonts w:hint="eastAsia"/>
        </w:rPr>
        <w:t xml:space="preserve">：在</w:t>
      </w:r>
      <w:r>
        <w:t xml:space="preserve"> ET-PRL </w:t>
      </w:r>
      <w:r>
        <w:rPr>
          <w:rFonts w:hint="eastAsia"/>
        </w:rPr>
        <w:t xml:space="preserve">框架中构建了融合多尺度异常追踪与双层自适应阈值的门控模块，摆脱了对静态人工规则的依赖，实现了对时变工况下非平稳扰动的自适应感知。</w:t>
      </w:r>
    </w:p>
    <w:p>
      <w:pPr>
        <w:numPr>
          <w:ilvl w:val="0"/>
          <w:numId w:val="1001"/>
        </w:numPr>
      </w:pPr>
      <w:r>
        <w:rPr>
          <w:b/>
          <w:bCs/>
        </w:rPr>
        <w:t xml:space="preserve">We propose an unsupervised dynamic event gating mechanism based on streaming features</w:t>
      </w:r>
      <w:r>
        <w:t xml:space="preserve">: The ET-PRL framework builds a gating module that combines multi scale anomaly tracking with a two layer adaptive threshold. This removes the need for static manual rules and allows the system to automatically adapt to irregular disturbances under changing operating conditions.</w:t>
      </w:r>
    </w:p>
    <w:p>
      <w:pPr>
        <w:numPr>
          <w:ilvl w:val="0"/>
          <w:numId w:val="1001"/>
        </w:numPr>
      </w:pPr>
      <w:r>
        <w:rPr>
          <w:rFonts w:hint="eastAsia"/>
          <w:b/>
          <w:bCs/>
        </w:rPr>
        <w:t xml:space="preserve">构建时序解耦的事件驱动预测型控制架构</w:t>
      </w:r>
      <w:r>
        <w:rPr>
          <w:rFonts w:hint="eastAsia"/>
        </w:rPr>
        <w:t xml:space="preserve">：将事件门控机制无缝融入预测型强化学习框架，使策略网络仅在关键扰动时激活，并在平稳期依靠零阶保持器（ZOH）维持控制输出。该架构通过与预测状态特征的深度耦合，有效克服了稀疏按需执行带来的状态观测盲区与预测能力缺失。</w:t>
      </w:r>
    </w:p>
    <w:p>
      <w:pPr>
        <w:numPr>
          <w:ilvl w:val="0"/>
          <w:numId w:val="1001"/>
        </w:numPr>
      </w:pPr>
      <w:r>
        <w:rPr>
          <w:b/>
          <w:bCs/>
        </w:rPr>
        <w:t xml:space="preserve">We construct a time decoupled, event driven predictive control architecture</w:t>
      </w:r>
      <w:r>
        <w:t xml:space="preserve">: The event gating mechanism is smoothly integrated into the predictive reinforcement learning framework. The policy network only turns on during critical disturbances and uses a zero order hold (ZOH) to maintain the control output during stable periods. By closely connecting with predictive state features, this design effectively solves the problems of observation blind spots and lost prediction ability caused by sparse, on demand execution.</w:t>
      </w:r>
    </w:p>
    <w:p>
      <w:pPr>
        <w:numPr>
          <w:ilvl w:val="0"/>
          <w:numId w:val="1001"/>
        </w:numPr>
      </w:pPr>
      <w:r>
        <w:rPr>
          <w:rFonts w:hint="eastAsia"/>
          <w:b/>
          <w:bCs/>
        </w:rPr>
        <w:t xml:space="preserve">实现控制精度与系统执行代价的有效折衷</w:t>
      </w:r>
      <w:r>
        <w:rPr>
          <w:rFonts w:hint="eastAsia"/>
        </w:rPr>
        <w:t xml:space="preserve">：基于真实冷水机组运行数据的综合评估表明，本文所提框架能够在可量化性能折衷范围内有效抑制平稳工况下的高频无效调节，并获得一定的节能收益。该实证结果不仅验证了按需控制机制在复杂非线性热力系统中的有效性，也为深度强化学习算法在实际工程中的低损耗边缘部署提供了可行的方案。</w:t>
      </w:r>
    </w:p>
    <w:p>
      <w:pPr>
        <w:numPr>
          <w:ilvl w:val="0"/>
          <w:numId w:val="1001"/>
        </w:numPr>
      </w:pPr>
      <w:r>
        <w:rPr>
          <w:b/>
          <w:bCs/>
        </w:rPr>
        <w:t xml:space="preserve">We achieve an effective balance between control accuracy and system execution cost</w:t>
      </w:r>
      <w:r>
        <w:t xml:space="preserve">: A thorough evaluation using real chiller operation data shows that our proposed framework can effectively stop high frequency, useless adjustments during stable conditions. It does this within a measurable performance range while also achieving noticeable energy savings. These real world results prove that on demand control mechanisms work well in complex nonlinear thermal systems. They also offer a practical way to deploy deep reinforcement learning algorithms with low equipment wear in real engineering projects.</w:t>
      </w:r>
    </w:p>
    <w:bookmarkEnd w:id="10"/>
    <w:bookmarkStart w:id="11" w:name="相关工作"/>
    <w:p>
      <w:pPr>
        <w:pStyle w:val="Heading1"/>
      </w:pPr>
      <w:r>
        <w:t xml:space="preserve">2. </w:t>
      </w:r>
      <w:r>
        <w:rPr>
          <w:rFonts w:hint="eastAsia"/>
        </w:rPr>
        <w:t xml:space="preserve">相关工作</w:t>
      </w:r>
    </w:p>
    <w:p>
      <w:pPr>
        <w:pStyle w:val="FirstParagraph"/>
      </w:pPr>
      <w:r>
        <w:rPr>
          <w:rFonts w:hint="eastAsia"/>
        </w:rPr>
        <w:t xml:space="preserve">建筑</w:t>
      </w:r>
      <w:r>
        <w:t xml:space="preserve"> HVAC </w:t>
      </w:r>
      <w:r>
        <w:rPr>
          <w:rFonts w:hint="eastAsia"/>
        </w:rPr>
        <w:t xml:space="preserve">系统在能效优化与热舒适保障之间的协同控制长期面临工程挑战。为应对建筑能耗增长与运行稳定性要求，传统研究主要采用基于规则的控制（RBC）与比例</w:t>
      </w:r>
      <w:r>
        <w:t xml:space="preserve"> - </w:t>
      </w:r>
      <w:r>
        <w:rPr>
          <w:rFonts w:hint="eastAsia"/>
        </w:rPr>
        <w:t xml:space="preserve">积分</w:t>
      </w:r>
      <w:r>
        <w:t xml:space="preserve"> - </w:t>
      </w:r>
      <w:r>
        <w:rPr>
          <w:rFonts w:hint="eastAsia"/>
        </w:rPr>
        <w:t xml:space="preserve">微分（PID）等经典方法</w:t>
      </w:r>
      <w:r>
        <w:t xml:space="preserve"> </w:t>
      </w:r>
      <w:r>
        <w:rPr>
          <w:rFonts w:hint="eastAsia"/>
        </w:rPr>
        <w:t xml:space="preserve">[1]。其中，Choi</w:t>
      </w:r>
      <w:r>
        <w:t xml:space="preserve"> </w:t>
      </w:r>
      <w:r>
        <w:rPr>
          <w:rFonts w:hint="eastAsia"/>
        </w:rPr>
        <w:t xml:space="preserve">等</w:t>
      </w:r>
      <w:r>
        <w:t xml:space="preserve"> [2] </w:t>
      </w:r>
      <w:r>
        <w:rPr>
          <w:rFonts w:hint="eastAsia"/>
        </w:rPr>
        <w:t xml:space="preserve">通过优化信息驱动的规则提取提升了</w:t>
      </w:r>
      <w:r>
        <w:t xml:space="preserve"> HVAC </w:t>
      </w:r>
      <w:r>
        <w:rPr>
          <w:rFonts w:hint="eastAsia"/>
        </w:rPr>
        <w:t xml:space="preserve">规则控制的可操作性，Lee</w:t>
      </w:r>
      <w:r>
        <w:t xml:space="preserve"> </w:t>
      </w:r>
      <w:r>
        <w:rPr>
          <w:rFonts w:hint="eastAsia"/>
        </w:rPr>
        <w:t xml:space="preserve">等</w:t>
      </w:r>
      <w:r>
        <w:t xml:space="preserve"> [3] </w:t>
      </w:r>
      <w:r>
        <w:rPr>
          <w:rFonts w:hint="eastAsia"/>
        </w:rPr>
        <w:t xml:space="preserve">将深度强化学习用于</w:t>
      </w:r>
      <w:r>
        <w:t xml:space="preserve"> PID </w:t>
      </w:r>
      <w:r>
        <w:rPr>
          <w:rFonts w:hint="eastAsia"/>
        </w:rPr>
        <w:t xml:space="preserve">参数整定以改善跟踪性能；此外，Chojecki</w:t>
      </w:r>
      <w:r>
        <w:t xml:space="preserve"> </w:t>
      </w:r>
      <w:r>
        <w:rPr>
          <w:rFonts w:hint="eastAsia"/>
        </w:rPr>
        <w:t xml:space="preserve">等</w:t>
      </w:r>
      <w:r>
        <w:t xml:space="preserve"> [4] </w:t>
      </w:r>
      <w:r>
        <w:rPr>
          <w:rFonts w:hint="eastAsia"/>
        </w:rPr>
        <w:t xml:space="preserve">进一步引入模糊控制思想，增强了传统控制器在特定工况下的适应能力。尽管这类方法在工业场景中部署便捷、可靠性高，但其核心仍依赖静态规则或线性反馈假设，难以充分刻画建筑热环境中的非线性耦合、时变扰动与大滞后特征，因而在复杂运维条件下往往难以同时兼顾节能与舒适性</w:t>
      </w:r>
      <w:r>
        <w:t xml:space="preserve"> [5]。</w:t>
      </w:r>
    </w:p>
    <w:p>
      <w:pPr>
        <w:pStyle w:val="BodyText"/>
      </w:pPr>
      <w:r>
        <w:t xml:space="preserve">Coordinated control between energy efficiency optimization and thermal comfort assurance in building HVAC systems has long faced engineering challenges. To address the requirements of building energy consumption growth and operational stability, traditional research mainly adopts classic methods such as rule-based control (RBC) and proportional-integral-derivative (PID) [1]. Among them, Choi et al. [2] improved the operability of HVAC rule-based control through optimization-informed rule extraction, Lee et al. [3] applied deep reinforcement learning to PID parameter tuning to improve tracking performance; additionally, Chojecki et al. [4] further introduced fuzzy control concepts to enhance the adaptability of traditional controllers under specific operating conditions. Although these methods are easy to deploy and highly reliable in industrial scenarios, their core still relies on static rules or linear feedback assumptions. They struggle to fully capture the nonlinear coupling, time-varying disturbances, and large lag characteristics in building thermal environments, making it difficult to balance energy saving and comfort simultaneously under complex operation and maintenance conditions [5].</w:t>
      </w:r>
    </w:p>
    <w:p>
      <w:pPr>
        <w:pStyle w:val="BodyText"/>
      </w:pPr>
      <w:r>
        <w:rPr>
          <w:rFonts w:hint="eastAsia"/>
        </w:rPr>
        <w:t xml:space="preserve">为突破传统控制在建模与适应性方面的瓶颈，数据驱动方法逐步成为</w:t>
      </w:r>
      <w:r>
        <w:t xml:space="preserve"> HVAC </w:t>
      </w:r>
      <w:r>
        <w:rPr>
          <w:rFonts w:hint="eastAsia"/>
        </w:rPr>
        <w:t xml:space="preserve">智能控制的重要方向。Savino</w:t>
      </w:r>
      <w:r>
        <w:t xml:space="preserve"> </w:t>
      </w:r>
      <w:r>
        <w:rPr>
          <w:rFonts w:hint="eastAsia"/>
        </w:rPr>
        <w:t xml:space="preserve">等</w:t>
      </w:r>
      <w:r>
        <w:t xml:space="preserve"> [6] </w:t>
      </w:r>
      <w:r>
        <w:rPr>
          <w:rFonts w:hint="eastAsia"/>
        </w:rPr>
        <w:t xml:space="preserve">系统展示了深度强化学习在多区域低层控制中的应用潜力；Wang</w:t>
      </w:r>
      <w:r>
        <w:t xml:space="preserve"> </w:t>
      </w:r>
      <w:r>
        <w:rPr>
          <w:rFonts w:hint="eastAsia"/>
        </w:rPr>
        <w:t xml:space="preserve">与</w:t>
      </w:r>
      <w:r>
        <w:t xml:space="preserve"> Lin [7] </w:t>
      </w:r>
      <w:r>
        <w:rPr>
          <w:rFonts w:hint="eastAsia"/>
        </w:rPr>
        <w:t xml:space="preserve">以及</w:t>
      </w:r>
      <w:r>
        <w:t xml:space="preserve"> Zhuang </w:t>
      </w:r>
      <w:r>
        <w:rPr>
          <w:rFonts w:hint="eastAsia"/>
        </w:rPr>
        <w:t xml:space="preserve">等</w:t>
      </w:r>
      <w:r>
        <w:t xml:space="preserve"> [8] </w:t>
      </w:r>
      <w:r>
        <w:rPr>
          <w:rFonts w:hint="eastAsia"/>
        </w:rPr>
        <w:t xml:space="preserve">分别基于</w:t>
      </w:r>
      <w:r>
        <w:t xml:space="preserve"> DQN/DDPG </w:t>
      </w:r>
      <w:r>
        <w:rPr>
          <w:rFonts w:hint="eastAsia"/>
        </w:rPr>
        <w:t xml:space="preserve">等范式构建了从高维传感状态到控制动作的映射，验证了强化学习在复杂场景中的优化优势。然而，标准强化学习多采用基于当前观测的反应式决策，在具有显著热惯性与时滞的系统中容易出现控制滞后与振荡</w:t>
      </w:r>
      <w:r>
        <w:t xml:space="preserve"> </w:t>
      </w:r>
      <w:r>
        <w:rPr>
          <w:rFonts w:hint="eastAsia"/>
        </w:rPr>
        <w:t xml:space="preserve">[9]。为此，Li</w:t>
      </w:r>
      <w:r>
        <w:t xml:space="preserve"> </w:t>
      </w:r>
      <w:r>
        <w:rPr>
          <w:rFonts w:hint="eastAsia"/>
        </w:rPr>
        <w:t xml:space="preserve">等</w:t>
      </w:r>
      <w:r>
        <w:t xml:space="preserve"> [10] </w:t>
      </w:r>
      <w:r>
        <w:rPr>
          <w:rFonts w:hint="eastAsia"/>
        </w:rPr>
        <w:t xml:space="preserve">将</w:t>
      </w:r>
      <w:r>
        <w:t xml:space="preserve"> LSTM </w:t>
      </w:r>
      <w:r>
        <w:rPr>
          <w:rFonts w:hint="eastAsia"/>
        </w:rPr>
        <w:t xml:space="preserve">等时序模型融入决策过程，通过引入前瞻预测信息增强了策略对环境演化的感知能力，并在一定程度上改善了控制平稳性。</w:t>
      </w:r>
    </w:p>
    <w:p>
      <w:pPr>
        <w:pStyle w:val="BodyText"/>
      </w:pPr>
      <w:r>
        <w:t xml:space="preserve">To break through the bottlenecks of traditional control in modeling and adaptability, data-driven methods have gradually become an important direction for HVAC intelligent control. Savino et al. [6] systematically demonstrated the application potential of deep reinforcement learning in multi-zone low-level control. Wang and Lin [7] as well as Zhuang et al. [8] constructed mappings from high-dimensional sensing states to control actions based on paradigms such as DQN and DDPG respectively, verifying the optimization advantages of reinforcement learning in complex scenarios. However, standard reinforcement learning mostly adopts reactive decision-making based on current observations, which easily leads to control lag and oscillation in systems with significant thermal inertia and time delay [9]. To address this, Li et al. [10] integrated temporal models such as LSTM into the decision-making process, enhancing the strategy’s perception of environmental evolution by introducing forward-looking prediction information and improving control stability to a certain extent.</w:t>
      </w:r>
    </w:p>
    <w:p>
      <w:pPr>
        <w:pStyle w:val="BodyText"/>
      </w:pPr>
      <w:r>
        <w:rPr>
          <w:rFonts w:hint="eastAsia"/>
        </w:rPr>
        <w:t xml:space="preserve">在控制策略由规则驱动向数据驱动持续演进的同时，如何降低冗余计算与执行机构磨损成为另一关键问题。Liu</w:t>
      </w:r>
      <w:r>
        <w:t xml:space="preserve"> </w:t>
      </w:r>
      <w:r>
        <w:rPr>
          <w:rFonts w:hint="eastAsia"/>
        </w:rPr>
        <w:t xml:space="preserve">等</w:t>
      </w:r>
      <w:r>
        <w:t xml:space="preserve"> [11] </w:t>
      </w:r>
      <w:r>
        <w:rPr>
          <w:rFonts w:hint="eastAsia"/>
        </w:rPr>
        <w:t xml:space="preserve">与</w:t>
      </w:r>
      <w:r>
        <w:t xml:space="preserve"> Xue </w:t>
      </w:r>
      <w:r>
        <w:rPr>
          <w:rFonts w:hint="eastAsia"/>
        </w:rPr>
        <w:t xml:space="preserve">等</w:t>
      </w:r>
      <w:r>
        <w:t xml:space="preserve"> [12] </w:t>
      </w:r>
      <w:r>
        <w:rPr>
          <w:rFonts w:hint="eastAsia"/>
        </w:rPr>
        <w:t xml:space="preserve">的研究表明，事件驱动控制（ETC）通过“按需更新”机制，能够在状态越限或事件发生时才触发控制与通信，从而有效减少时间触发控制中的无效更新。与此同时，Liu</w:t>
      </w:r>
      <w:r>
        <w:t xml:space="preserve"> </w:t>
      </w:r>
      <w:r>
        <w:rPr>
          <w:rFonts w:hint="eastAsia"/>
        </w:rPr>
        <w:t xml:space="preserve">等</w:t>
      </w:r>
      <w:r>
        <w:t xml:space="preserve"> [13] </w:t>
      </w:r>
      <w:r>
        <w:rPr>
          <w:rFonts w:hint="eastAsia"/>
        </w:rPr>
        <w:t xml:space="preserve">指出，现有</w:t>
      </w:r>
      <w:r>
        <w:t xml:space="preserve"> ETC </w:t>
      </w:r>
      <w:r>
        <w:rPr>
          <w:rFonts w:hint="eastAsia"/>
        </w:rPr>
        <w:t xml:space="preserve">在工程落地中仍普遍依赖专家设定的静态阈值规则。面对建筑热特性漂移、气候波动与设备老化等非平稳因素，固定阈值往往难以兼顾灵敏性与稳定性，容易产生过度触发或响应迟滞，进而影响计算效率与舒适度表现</w:t>
      </w:r>
      <w:r>
        <w:t xml:space="preserve"> </w:t>
      </w:r>
      <w:r>
        <w:rPr>
          <w:rFonts w:hint="eastAsia"/>
        </w:rPr>
        <w:t xml:space="preserve">[14]。这也说明构建数据驱动的动态事件定义机制具有现实必要性。</w:t>
      </w:r>
    </w:p>
    <w:p>
      <w:pPr>
        <w:pStyle w:val="BodyText"/>
      </w:pPr>
      <w:r>
        <w:t xml:space="preserve">While control strategies continue to evolve from rule-driven to data-driven, how to reduce redundant computation and actuator wear has become another key issue. The research by Liu et al. [11] and Xue et al. [12] shows that event-triggered control (ETC) can trigger control and communication only when states exceed limits or events occur through an on-demand update mechanism, thereby effectively reducing invalid updates in TTC. At the same time, Liu et al. [13] pointed out that existing ETC still generally relies on static threshold rules set by experts in engineering implementation. Facing non-stationary factors such as building thermal characteristic drift, climate fluctuations, and equipment aging, fixed thresholds often struggle to balance sensitivity and stability, easily causing excessive triggering or response lag, which in turn affects computational efficiency and comfort performance [14]. This also indicates the practical necessity of constructing data-driven dynamic event definition mechanisms.</w:t>
      </w:r>
    </w:p>
    <w:p>
      <w:pPr>
        <w:pStyle w:val="BodyText"/>
      </w:pPr>
      <w:r>
        <w:rPr>
          <w:rFonts w:hint="eastAsia"/>
        </w:rPr>
        <w:t xml:space="preserve">基于上述研究进展，本文将</w:t>
      </w:r>
      <w:r>
        <w:t xml:space="preserve"> HVAC </w:t>
      </w:r>
      <w:r>
        <w:rPr>
          <w:rFonts w:hint="eastAsia"/>
        </w:rPr>
        <w:t xml:space="preserve">事件触发过程重构为在线无监督异常检测问题，并提出耦合动态门控与预测型强化学习的按需控制框架（ET-PRL）。与依赖静态规则的传统方法及现有</w:t>
      </w:r>
      <w:r>
        <w:t xml:space="preserve"> ETC </w:t>
      </w:r>
      <w:r>
        <w:rPr>
          <w:rFonts w:hint="eastAsia"/>
        </w:rPr>
        <w:t xml:space="preserve">方案相比，本文通过流式特征追踪与自适应阈值判定实现触发条件的动态更新，降低了对人工经验的依赖，并提升了对长期概念漂移的适应性。与固定步长强化学习不同，该框架进一步以事件驱动方式解耦决策时序，在削减冗余推理与设备磨损的同时，利用预测特征弥补稀疏控制下的观测盲区，最终在真实建筑非平稳工况中实现控制性能与执行代价的有效折衷。</w:t>
      </w:r>
    </w:p>
    <w:p>
      <w:pPr>
        <w:pStyle w:val="BodyText"/>
      </w:pPr>
      <w:r>
        <w:t xml:space="preserve">Based on the above research progress, this paper reconstructs the HVAC event triggering process as an online unsupervised anomaly detection problem and proposes an on-demand control framework (ET-PRL) that couples dynamic gating with predictive reinforcement learning. Compared with traditional methods that rely on static rules and existing ETC schemes, this paper achieves dynamic updates of triggering conditions through streaming feature tracking and adaptive threshold determination, reducing dependence on manual experience and improving adaptability to long-term concept drift. Unlike fixed-step reinforcement learning, this framework further decouples decision timing in an event-driven manner. While reducing redundant inference and equipment wear, it uses predictive features to compensate for observation blind spots under sparse control, ultimately achieving an effective trade-off between control performance and execution cost in real building non-stationary operating conditions.</w:t>
      </w:r>
    </w:p>
    <w:p>
      <w:pPr>
        <w:pStyle w:val="BlockText"/>
      </w:pPr>
      <w:r>
        <w:t xml:space="preserve">[1] Chaya, P., et al. </w:t>
      </w:r>
      <w:r>
        <w:t xml:space="preserve">“Human-Centric Smart Energy Optimization and Automation System.”</w:t>
      </w:r>
      <w:r>
        <w:t xml:space="preserve"> </w:t>
      </w:r>
      <w:r>
        <w:t xml:space="preserve">2025 3rd International Conference on Intelligent Cyber Physical Systems and Internet of Things (ICoICI). IEEE, 2025.</w:t>
      </w:r>
    </w:p>
    <w:p>
      <w:pPr>
        <w:pStyle w:val="BlockText"/>
      </w:pPr>
      <w:r>
        <w:t xml:space="preserve">[2] Choi, Youngsik, et al. </w:t>
      </w:r>
      <w:r>
        <w:t xml:space="preserve">“Optimization-informed rule extraction for HVAC system: A case study of dedicated outdoor air system control in a mixed-humid climate zone.”</w:t>
      </w:r>
      <w:r>
        <w:t xml:space="preserve"> </w:t>
      </w:r>
      <w:r>
        <w:rPr>
          <w:i/>
          <w:iCs/>
        </w:rPr>
        <w:t xml:space="preserve">Energy and Buildings</w:t>
      </w:r>
      <w:r>
        <w:t xml:space="preserve"> </w:t>
      </w:r>
      <w:r>
        <w:t xml:space="preserve">295 (2023): 113295.</w:t>
      </w:r>
    </w:p>
    <w:p>
      <w:pPr>
        <w:pStyle w:val="BlockText"/>
      </w:pPr>
      <w:r>
        <w:t xml:space="preserve">[3] Lee, Dongkyu, Jinhwa Jeong, and Young Tae Chae.</w:t>
      </w:r>
      <w:r>
        <w:t xml:space="preserve"> </w:t>
      </w:r>
      <w:r>
        <w:t xml:space="preserve">“Application of deep reinforcement learning for proportional–integral–derivative controller tuning on air handling unit system in existing commercial building.”</w:t>
      </w:r>
      <w:r>
        <w:t xml:space="preserve"> </w:t>
      </w:r>
      <w:r>
        <w:rPr>
          <w:i/>
          <w:iCs/>
        </w:rPr>
        <w:t xml:space="preserve">Buildings</w:t>
      </w:r>
      <w:r>
        <w:t xml:space="preserve"> </w:t>
      </w:r>
      <w:r>
        <w:t xml:space="preserve">14.1 (2023): 66.</w:t>
      </w:r>
    </w:p>
    <w:p>
      <w:pPr>
        <w:pStyle w:val="BlockText"/>
      </w:pPr>
      <w:r>
        <w:t xml:space="preserve">[4] Chojecki, Adrian, Arkadiusz Ambroziak, and Piotr Borkowski.</w:t>
      </w:r>
      <w:r>
        <w:t xml:space="preserve"> </w:t>
      </w:r>
      <w:r>
        <w:t xml:space="preserve">“Fuzzy controllers instead of classical PIDs in HVAC equipment: Dusting off a well-known technology and Today’s implementation for better energy efficiency and user comfort.”</w:t>
      </w:r>
      <w:r>
        <w:t xml:space="preserve"> </w:t>
      </w:r>
      <w:r>
        <w:rPr>
          <w:i/>
          <w:iCs/>
        </w:rPr>
        <w:t xml:space="preserve">Energies</w:t>
      </w:r>
      <w:r>
        <w:t xml:space="preserve"> </w:t>
      </w:r>
      <w:r>
        <w:t xml:space="preserve">16.7 (2023): 2967.</w:t>
      </w:r>
    </w:p>
    <w:p>
      <w:pPr>
        <w:pStyle w:val="BlockText"/>
      </w:pPr>
      <w:r>
        <w:t xml:space="preserve">[5] Lu, Shengze, et al. </w:t>
      </w:r>
      <w:r>
        <w:t xml:space="preserve">“Exploring the comprehensive integration of artificial intelligence in optimizing HVAC system operations: A review and future outlook.”</w:t>
      </w:r>
      <w:r>
        <w:t xml:space="preserve"> </w:t>
      </w:r>
      <w:r>
        <w:rPr>
          <w:i/>
          <w:iCs/>
        </w:rPr>
        <w:t xml:space="preserve">Results in Engineering</w:t>
      </w:r>
      <w:r>
        <w:t xml:space="preserve"> </w:t>
      </w:r>
      <w:r>
        <w:t xml:space="preserve">25 (2025): 103765.</w:t>
      </w:r>
    </w:p>
    <w:p>
      <w:pPr>
        <w:pStyle w:val="BlockText"/>
      </w:pPr>
      <w:r>
        <w:t xml:space="preserve">[6] Savino, Sabrina, et al. </w:t>
      </w:r>
      <w:r>
        <w:t xml:space="preserve">“Deploying deep reinforcement learning for low-level HVAC control in multi-zone buildings: A comparative study with ASHRAE G36 sequences.”</w:t>
      </w:r>
      <w:r>
        <w:t xml:space="preserve"> </w:t>
      </w:r>
      <w:r>
        <w:rPr>
          <w:i/>
          <w:iCs/>
        </w:rPr>
        <w:t xml:space="preserve">Energy and Buildings</w:t>
      </w:r>
      <w:r>
        <w:t xml:space="preserve"> </w:t>
      </w:r>
      <w:r>
        <w:t xml:space="preserve">(2025): 116456.</w:t>
      </w:r>
    </w:p>
    <w:p>
      <w:pPr>
        <w:pStyle w:val="BlockText"/>
      </w:pPr>
      <w:r>
        <w:t xml:space="preserve">[7] Wang, Man, and Borong Lin.</w:t>
      </w:r>
      <w:r>
        <w:t xml:space="preserve"> </w:t>
      </w:r>
      <w:r>
        <w:t xml:space="preserve">“MF^ 2: Model-free reinforcement learning for modeling-free building HVAC control with data-driven environment construction in a residential building.”</w:t>
      </w:r>
      <w:r>
        <w:t xml:space="preserve"> </w:t>
      </w:r>
      <w:r>
        <w:rPr>
          <w:i/>
          <w:iCs/>
        </w:rPr>
        <w:t xml:space="preserve">Building and Environment</w:t>
      </w:r>
      <w:r>
        <w:t xml:space="preserve"> </w:t>
      </w:r>
      <w:r>
        <w:t xml:space="preserve">244 (2023): 110816.</w:t>
      </w:r>
    </w:p>
    <w:p>
      <w:pPr>
        <w:pStyle w:val="BlockText"/>
      </w:pPr>
      <w:r>
        <w:t xml:space="preserve">[8] Zhuang, Dian, et al. </w:t>
      </w:r>
      <w:r>
        <w:t xml:space="preserve">“Data-driven predictive control for smart HVAC system in IoT-integrated buildings with time-series forecasting and reinforcement learning.”</w:t>
      </w:r>
      <w:r>
        <w:t xml:space="preserve"> </w:t>
      </w:r>
      <w:r>
        <w:rPr>
          <w:i/>
          <w:iCs/>
        </w:rPr>
        <w:t xml:space="preserve">Applied Energy</w:t>
      </w:r>
      <w:r>
        <w:t xml:space="preserve"> </w:t>
      </w:r>
      <w:r>
        <w:t xml:space="preserve">338 (2023): 120936.</w:t>
      </w:r>
    </w:p>
    <w:p>
      <w:pPr>
        <w:pStyle w:val="BlockText"/>
      </w:pPr>
      <w:r>
        <w:t xml:space="preserve">[9] Kondath, Namitha, et al. </w:t>
      </w:r>
      <w:r>
        <w:t xml:space="preserve">“Enhancing Day-Ahead Cooling Load Prediction in Tropical Commercial Buildings Using Advanced Deep Learning Models: A Case Study in Singapore.”</w:t>
      </w:r>
      <w:r>
        <w:t xml:space="preserve"> </w:t>
      </w:r>
      <w:r>
        <w:rPr>
          <w:i/>
          <w:iCs/>
        </w:rPr>
        <w:t xml:space="preserve">Buildings</w:t>
      </w:r>
      <w:r>
        <w:t xml:space="preserve"> </w:t>
      </w:r>
      <w:r>
        <w:t xml:space="preserve">14.2 (2024): 397.</w:t>
      </w:r>
    </w:p>
    <w:p>
      <w:pPr>
        <w:pStyle w:val="BlockText"/>
      </w:pPr>
      <w:r>
        <w:t xml:space="preserve">[10] Li, Kai, Wei Ni, and Falko Dressler.</w:t>
      </w:r>
      <w:r>
        <w:t xml:space="preserve"> </w:t>
      </w:r>
      <w:r>
        <w:t xml:space="preserve">“LSTM-characterized deep reinforcement learning for continuous flight control and resource allocation in UAV-assisted sensor network.”</w:t>
      </w:r>
      <w:r>
        <w:t xml:space="preserve"> </w:t>
      </w:r>
      <w:r>
        <w:rPr>
          <w:i/>
          <w:iCs/>
        </w:rPr>
        <w:t xml:space="preserve">IEEE Internet of Things Journal</w:t>
      </w:r>
      <w:r>
        <w:t xml:space="preserve"> </w:t>
      </w:r>
      <w:r>
        <w:t xml:space="preserve">9.6 (2021): 4179-4189.</w:t>
      </w:r>
    </w:p>
    <w:p>
      <w:pPr>
        <w:pStyle w:val="BlockText"/>
      </w:pPr>
      <w:r>
        <w:t xml:space="preserve">[11] Liu, Xinghua, et al. </w:t>
      </w:r>
      <w:r>
        <w:t xml:space="preserve">“Event‐triggered load frequency control of smart grids under deception attacks.”</w:t>
      </w:r>
      <w:r>
        <w:t xml:space="preserve"> </w:t>
      </w:r>
      <w:r>
        <w:rPr>
          <w:i/>
          <w:iCs/>
        </w:rPr>
        <w:t xml:space="preserve">IET Control Theory &amp; Applications</w:t>
      </w:r>
      <w:r>
        <w:t xml:space="preserve"> </w:t>
      </w:r>
      <w:r>
        <w:t xml:space="preserve">15.10 (2021): 1335-1345.</w:t>
      </w:r>
    </w:p>
    <w:p>
      <w:pPr>
        <w:pStyle w:val="BlockText"/>
      </w:pPr>
      <w:r>
        <w:t xml:space="preserve">[12] Xue, Zhouzhou, Zhaoxu Yu, and Shugang Li.</w:t>
      </w:r>
      <w:r>
        <w:t xml:space="preserve"> </w:t>
      </w:r>
      <w:r>
        <w:t xml:space="preserve">“Event-triggered adaptive neural control for uncertain nontriangular nonlinear systems with time-varying delays.”</w:t>
      </w:r>
      <w:r>
        <w:t xml:space="preserve"> </w:t>
      </w:r>
      <w:r>
        <w:rPr>
          <w:i/>
          <w:iCs/>
        </w:rPr>
        <w:t xml:space="preserve">International Journal of Control, Automation and Systems</w:t>
      </w:r>
      <w:r>
        <w:t xml:space="preserve"> </w:t>
      </w:r>
      <w:r>
        <w:t xml:space="preserve">20.12 (2022): 4090-4099.</w:t>
      </w:r>
    </w:p>
    <w:p>
      <w:pPr>
        <w:pStyle w:val="BlockText"/>
      </w:pPr>
      <w:r>
        <w:t xml:space="preserve">[13] Liu, Derong, et al. </w:t>
      </w:r>
      <w:r>
        <w:t xml:space="preserve">“Adaptive dynamic programming for control: A survey and recent advances.”</w:t>
      </w:r>
      <w:r>
        <w:t xml:space="preserve"> </w:t>
      </w:r>
      <w:r>
        <w:rPr>
          <w:i/>
          <w:iCs/>
        </w:rPr>
        <w:t xml:space="preserve">IEEE Transactions on Systems, Man, and Cybernetics: Systems</w:t>
      </w:r>
      <w:r>
        <w:t xml:space="preserve"> </w:t>
      </w:r>
      <w:r>
        <w:t xml:space="preserve">51.1 (2020): 142-160.</w:t>
      </w:r>
    </w:p>
    <w:p>
      <w:pPr>
        <w:pStyle w:val="BlockText"/>
      </w:pPr>
      <w:r>
        <w:t xml:space="preserve">[14] Heer, Philipp, et al. </w:t>
      </w:r>
      <w:r>
        <w:t xml:space="preserve">“Comprehensive energy demand and usage data for building automation.”</w:t>
      </w:r>
      <w:r>
        <w:t xml:space="preserve"> </w:t>
      </w:r>
      <w:r>
        <w:rPr>
          <w:i/>
          <w:iCs/>
        </w:rPr>
        <w:t xml:space="preserve">Scientific Data</w:t>
      </w:r>
      <w:r>
        <w:t xml:space="preserve"> </w:t>
      </w:r>
      <w:r>
        <w:t xml:space="preserve">11.1 (2024): 469.</w:t>
      </w:r>
    </w:p>
    <w:bookmarkEnd w:id="11"/>
    <w:bookmarkStart w:id="16" w:name="方法"/>
    <w:p>
      <w:pPr>
        <w:pStyle w:val="Heading1"/>
      </w:pPr>
      <w:r>
        <w:t xml:space="preserve">3. </w:t>
      </w:r>
      <w:r>
        <w:rPr>
          <w:rFonts w:hint="eastAsia"/>
        </w:rPr>
        <w:t xml:space="preserve">方法</w:t>
      </w:r>
    </w:p>
    <w:bookmarkStart w:id="12" w:name="总体框架"/>
    <w:p>
      <w:pPr>
        <w:pStyle w:val="Heading2"/>
      </w:pPr>
      <w:r>
        <w:t xml:space="preserve">3.1 </w:t>
      </w:r>
      <w:r>
        <w:rPr>
          <w:rFonts w:hint="eastAsia"/>
        </w:rPr>
        <w:t xml:space="preserve">总体框架</w:t>
      </w:r>
    </w:p>
    <w:p>
      <w:pPr>
        <w:pStyle w:val="FirstParagraph"/>
      </w:pPr>
      <w:r>
        <w:rPr>
          <w:rFonts w:hint="eastAsia"/>
        </w:rPr>
        <w:t xml:space="preserve">针对建筑</w:t>
      </w:r>
      <w:r>
        <w:t xml:space="preserve"> HVAC </w:t>
      </w:r>
      <w:r>
        <w:rPr>
          <w:rFonts w:hint="eastAsia"/>
        </w:rPr>
        <w:t xml:space="preserve">系统存在的热惯性与响应滞后特性，以及运行工况随季节变化导致的分布漂移，传统依赖离线标定与静态阈值的事件控制方法在跨工况迁移时通常需要频繁再校准，进而增加了工程维护成本。为此，本文提出一种将流式异常门控与深度强化学习耦合的按需控制框架，即事件触发预测型强化学习（Event-Triggered</w:t>
      </w:r>
      <w:r>
        <w:t xml:space="preserve"> Predictive Reinforcement Learning, </w:t>
      </w:r>
      <w:r>
        <w:rPr>
          <w:rFonts w:hint="eastAsia"/>
        </w:rPr>
        <w:t xml:space="preserve">ET-PRL）。</w:t>
      </w:r>
    </w:p>
    <w:p>
      <w:pPr>
        <w:pStyle w:val="BodyText"/>
      </w:pPr>
      <w:r>
        <w:rPr>
          <w:rFonts w:hint="eastAsia"/>
        </w:rPr>
        <w:t xml:space="preserve">如图</w:t>
      </w:r>
      <w:r>
        <w:t xml:space="preserve"> 3 </w:t>
      </w:r>
      <w:r>
        <w:rPr>
          <w:rFonts w:hint="eastAsia"/>
        </w:rPr>
        <w:t xml:space="preserve">所示，ET-PRL</w:t>
      </w:r>
      <w:r>
        <w:t xml:space="preserve"> </w:t>
      </w:r>
      <w:r>
        <w:rPr>
          <w:rFonts w:hint="eastAsia"/>
        </w:rPr>
        <w:t xml:space="preserve">的核心思想是在保持控制目标与约束一致的前提下，通过事件触发机制降低强化学习策略在平稳阶段的无效推理调用频率，从而在计算开销与控制性能之间取得更优的折衷。与依赖固定专家规则或离线训练分类器进行事件判别的传统做法不同，该框架采用无监督的在线门控策略，根据系统状态分布的统计偏离程度动态确定触发时刻。整体框架由以下三层机制组成：</w:t>
      </w:r>
    </w:p>
    <w:p>
      <w:pPr>
        <w:pStyle w:val="Compact"/>
        <w:numPr>
          <w:ilvl w:val="0"/>
          <w:numId w:val="1002"/>
        </w:numPr>
      </w:pPr>
      <w:r>
        <w:rPr>
          <w:rFonts w:hint="eastAsia"/>
          <w:b/>
          <w:bCs/>
        </w:rPr>
        <w:t xml:space="preserve">在线流式异常门控机制</w:t>
      </w:r>
      <w:r>
        <w:rPr>
          <w:rFonts w:hint="eastAsia"/>
        </w:rPr>
        <w:t xml:space="preserve">：面向长期运行中的概念漂移，构建无需离线训练的异常检测门控模块。该模块在线追踪状态的多尺度统计特征，并结合流式隔离深度与自适应阈值策略输出事件触发信号，实现控制事件的在线标定。</w:t>
      </w:r>
    </w:p>
    <w:p>
      <w:pPr>
        <w:pStyle w:val="Compact"/>
        <w:numPr>
          <w:ilvl w:val="0"/>
          <w:numId w:val="1002"/>
        </w:numPr>
      </w:pPr>
      <w:r>
        <w:rPr>
          <w:rFonts w:hint="eastAsia"/>
          <w:b/>
          <w:bCs/>
        </w:rPr>
        <w:t xml:space="preserve">预测型全局强化学习网络</w:t>
      </w:r>
      <w:r>
        <w:rPr>
          <w:rFonts w:hint="eastAsia"/>
        </w:rPr>
        <w:t xml:space="preserve">：面向系统级能效优化与动作选择，采用轻量级深度</w:t>
      </w:r>
      <w:r>
        <w:t xml:space="preserve"> Q </w:t>
      </w:r>
      <w:r>
        <w:rPr>
          <w:rFonts w:hint="eastAsia"/>
        </w:rPr>
        <w:t xml:space="preserve">网络（DQN）学习控制策略。该网络仅在门控机制判定发生关键动态事件时被激活，以减少平稳阶段的冗余推理计算。</w:t>
      </w:r>
    </w:p>
    <w:p>
      <w:pPr>
        <w:pStyle w:val="Compact"/>
        <w:numPr>
          <w:ilvl w:val="0"/>
          <w:numId w:val="1002"/>
        </w:numPr>
      </w:pPr>
      <w:r>
        <w:rPr>
          <w:rFonts w:hint="eastAsia"/>
          <w:b/>
          <w:bCs/>
        </w:rPr>
        <w:t xml:space="preserve">事件驱动执行与零阶保持</w:t>
      </w:r>
      <w:r>
        <w:rPr>
          <w:rFonts w:hint="eastAsia"/>
        </w:rPr>
        <w:t xml:space="preserve">：在边缘部署场景下，系统将状态感知、事件判别、策略推理与动作执行构建为低时延的闭环控制流程。在非触发时段，采用零阶保持器（Zero-Order</w:t>
      </w:r>
      <w:r>
        <w:t xml:space="preserve"> Hold, </w:t>
      </w:r>
      <w:r>
        <w:rPr>
          <w:rFonts w:hint="eastAsia"/>
        </w:rPr>
        <w:t xml:space="preserve">ZOH）维持上一时刻的控制指令，以降低控制切换频率并减小对执行机构与系统稳定性的不利影响。</w:t>
      </w:r>
    </w:p>
    <w:p>
      <w:pPr>
        <w:pStyle w:val="BlockText"/>
      </w:pPr>
      <w:r>
        <w:rPr>
          <w:rFonts w:hint="eastAsia"/>
          <w:b/>
          <w:bCs/>
        </w:rPr>
        <w:t xml:space="preserve">图</w:t>
      </w:r>
      <w:r>
        <w:rPr>
          <w:b/>
          <w:bCs/>
        </w:rPr>
        <w:t xml:space="preserve"> 3 </w:t>
      </w:r>
      <w:r>
        <w:rPr>
          <w:rFonts w:hint="eastAsia"/>
          <w:b/>
          <w:bCs/>
        </w:rPr>
        <w:t xml:space="preserve">占位：ET-PRL</w:t>
      </w:r>
      <w:r>
        <w:rPr>
          <w:b/>
          <w:bCs/>
        </w:rPr>
        <w:t xml:space="preserve"> </w:t>
      </w:r>
      <w:r>
        <w:rPr>
          <w:rFonts w:hint="eastAsia"/>
          <w:b/>
          <w:bCs/>
        </w:rPr>
        <w:t xml:space="preserve">总体框架图</w:t>
      </w:r>
    </w:p>
    <w:bookmarkEnd w:id="12"/>
    <w:bookmarkStart w:id="13" w:name="基于流式特征追踪的动态事件触发机制设计"/>
    <w:p>
      <w:pPr>
        <w:pStyle w:val="Heading2"/>
      </w:pPr>
      <w:r>
        <w:t xml:space="preserve">3.2 </w:t>
      </w:r>
      <w:r>
        <w:rPr>
          <w:rFonts w:hint="eastAsia"/>
        </w:rPr>
        <w:t xml:space="preserve">基于流式特征追踪的动态事件触发机制设计</w:t>
      </w:r>
    </w:p>
    <w:p>
      <w:pPr>
        <w:pStyle w:val="FirstParagraph"/>
      </w:pPr>
      <w:r>
        <w:rPr>
          <w:rFonts w:hint="eastAsia"/>
        </w:rPr>
        <w:t xml:space="preserve">本文将关键事件识别重定义为在线异常检测。其核心依据在于：在控制语义上，关键事件对应需要策略即时介入的工况突变；在统计语义上，该类时刻通常表现为状态样本相对常态分布的显著偏离。由此，事件判定可统一建模为偏离度检验问题，而不再依赖人工设定的静态规则。</w:t>
      </w:r>
    </w:p>
    <w:p>
      <w:pPr>
        <w:pStyle w:val="BodyText"/>
      </w:pPr>
      <w:r>
        <w:rPr>
          <w:rFonts w:hint="eastAsia"/>
        </w:rPr>
        <w:t xml:space="preserve">设门控状态为</w:t>
      </w:r>
      <w:r>
        <w:t xml:space="preserve"> </w:t>
      </w:r>
      <m:oMath>
        <m:sSub>
          <m:e>
            <m:r>
              <m:t>s</m:t>
            </m:r>
          </m:e>
          <m:sub>
            <m:r>
              <m:t>t</m:t>
            </m:r>
          </m:sub>
        </m:sSub>
        <m:r>
          <m:rPr>
            <m:sty m:val="p"/>
          </m:rPr>
          <m:t>∈</m:t>
        </m:r>
        <m:sSup>
          <m:e>
            <m:r>
              <m:rPr>
                <m:scr m:val="double-struck"/>
                <m:sty m:val="p"/>
              </m:rPr>
              <m:t>R</m:t>
            </m:r>
          </m:e>
          <m:sup>
            <m:r>
              <m:t>d</m:t>
            </m:r>
          </m:sup>
        </m:sSup>
      </m:oMath>
      <w:r>
        <w:rPr>
          <w:rFonts w:hint="eastAsia"/>
        </w:rPr>
        <w:t xml:space="preserve">，事件标签为</w:t>
      </w:r>
      <w:r>
        <w:t xml:space="preserve"> </w:t>
      </w:r>
      <m:oMath>
        <m:sSub>
          <m:e>
            <m:r>
              <m:t>e</m:t>
            </m:r>
          </m:e>
          <m:sub>
            <m:r>
              <m:t>t</m:t>
            </m:r>
          </m:sub>
        </m:sSub>
        <m:r>
          <m:rPr>
            <m:sty m:val="p"/>
          </m:rPr>
          <m:t>∈</m:t>
        </m:r>
        <m:r>
          <m:rPr>
            <m:sty m:val="p"/>
          </m:rPr>
          <m:t>{</m:t>
        </m:r>
        <m:r>
          <m:t>0</m:t>
        </m:r>
        <m:r>
          <m:rPr>
            <m:sty m:val="p"/>
          </m:rPr>
          <m:t>,</m:t>
        </m:r>
        <m:r>
          <m:t>1</m:t>
        </m:r>
        <m:r>
          <m:rPr>
            <m:sty m:val="p"/>
          </m:rPr>
          <m:t>}</m:t>
        </m:r>
      </m:oMath>
      <w:r>
        <w:rPr>
          <w:rFonts w:hint="eastAsia"/>
        </w:rPr>
        <w:t xml:space="preserve">，时刻</w:t>
      </w:r>
      <w:r>
        <w:t xml:space="preserve"> </w:t>
      </w:r>
      <m:oMath>
        <m:r>
          <m:t>t</m:t>
        </m:r>
      </m:oMath>
      <w:r>
        <w:t xml:space="preserve"> </w:t>
      </w:r>
      <w:r>
        <w:rPr>
          <w:rFonts w:hint="eastAsia"/>
        </w:rPr>
        <w:t xml:space="preserve">的常态参考分布记为</w:t>
      </w:r>
      <w:r>
        <w:t xml:space="preserve"> </w:t>
      </w:r>
      <m:oMath>
        <m:sSubSup>
          <m:e>
            <m:r>
              <m:rPr>
                <m:scr m:val="script"/>
                <m:sty m:val="p"/>
              </m:rPr>
              <m:t>P</m:t>
            </m:r>
          </m:e>
          <m:sub>
            <m:r>
              <m:t>t</m:t>
            </m:r>
          </m:sub>
          <m:sup>
            <m:r>
              <m:rPr>
                <m:nor/>
                <m:sty m:val="p"/>
              </m:rPr>
              <m:t>norm</m:t>
            </m:r>
          </m:sup>
        </m:sSubSup>
      </m:oMath>
      <w:r>
        <w:rPr>
          <w:rFonts w:hint="eastAsia"/>
        </w:rPr>
        <w:t xml:space="preserve">。定义事件集合</w:t>
      </w:r>
    </w:p>
    <w:p>
      <w:pPr>
        <w:pStyle w:val="BodyText"/>
      </w:pPr>
      <m:oMathPara>
        <m:oMathParaPr>
          <m:jc m:val="center"/>
        </m:oMathParaPr>
        <m:oMath>
          <m:sSub>
            <m:e>
              <m:r>
                <m:rPr>
                  <m:scr m:val="script"/>
                  <m:sty m:val="p"/>
                </m:rPr>
                <m:t>E</m:t>
              </m:r>
            </m:e>
            <m:sub>
              <m:r>
                <m:t>t</m:t>
              </m:r>
            </m:sub>
          </m:sSub>
          <m:r>
            <m:rPr>
              <m:sty m:val="p"/>
            </m:rPr>
            <m:t>=</m:t>
          </m:r>
          <m:r>
            <m:rPr>
              <m:sty m:val="p"/>
            </m:rPr>
            <m:t>{</m:t>
          </m:r>
          <m:r>
            <m:t>s</m:t>
          </m:r>
          <m:r>
            <m:rPr>
              <m:sty m:val="p"/>
            </m:rPr>
            <m:t>:</m:t>
          </m:r>
          <m:r>
            <m:t> </m:t>
          </m:r>
          <m:r>
            <m:t>d</m:t>
          </m:r>
          <m:r>
            <m:rPr>
              <m:sty m:val="p"/>
            </m:rPr>
            <m:t>(</m:t>
          </m:r>
          <m:r>
            <m:t>s</m:t>
          </m:r>
          <m:r>
            <m:rPr>
              <m:sty m:val="p"/>
            </m:rPr>
            <m:t>,</m:t>
          </m:r>
          <m:sSubSup>
            <m:e>
              <m:r>
                <m:rPr>
                  <m:scr m:val="script"/>
                  <m:sty m:val="p"/>
                </m:rPr>
                <m:t>P</m:t>
              </m:r>
            </m:e>
            <m:sub>
              <m:r>
                <m:t>t</m:t>
              </m:r>
            </m:sub>
            <m:sup>
              <m:r>
                <m:rPr>
                  <m:nor/>
                  <m:sty m:val="p"/>
                </m:rPr>
                <m:t>norm</m:t>
              </m:r>
            </m:sup>
          </m:sSubSup>
          <m:r>
            <m:rPr>
              <m:sty m:val="p"/>
            </m:rPr>
            <m:t>)</m:t>
          </m:r>
          <m:r>
            <m:rPr>
              <m:sty m:val="p"/>
            </m:rPr>
            <m:t>&gt;</m:t>
          </m:r>
          <m:sSub>
            <m:e>
              <m:r>
                <m:t>δ</m:t>
              </m:r>
            </m:e>
            <m:sub>
              <m:r>
                <m:t>t</m:t>
              </m:r>
            </m:sub>
          </m:sSub>
          <m:r>
            <m:rPr>
              <m:sty m:val="p"/>
            </m:rPr>
            <m:t>}</m:t>
          </m:r>
          <m:r>
            <m:rPr>
              <m:sty m:val="p"/>
            </m:rPr>
            <m:t>,</m:t>
          </m:r>
          <m:r>
            <m:t>  </m:t>
          </m:r>
          <m:sSub>
            <m:e>
              <m:r>
                <m:t>e</m:t>
              </m:r>
            </m:e>
            <m:sub>
              <m:r>
                <m:t>t</m:t>
              </m:r>
            </m:sub>
          </m:sSub>
          <m:r>
            <m:rPr>
              <m:sty m:val="p"/>
            </m:rPr>
            <m:t>=</m:t>
          </m:r>
          <m:r>
            <m:rPr>
              <m:scr m:val="double-struck"/>
              <m:sty m:val="p"/>
            </m:rPr>
            <m:t>I</m:t>
          </m:r>
          <m:r>
            <m:rPr>
              <m:sty m:val="p"/>
            </m:rPr>
            <m:t>(</m:t>
          </m:r>
          <m:sSub>
            <m:e>
              <m:r>
                <m:t>s</m:t>
              </m:r>
            </m:e>
            <m:sub>
              <m:r>
                <m:t>t</m:t>
              </m:r>
            </m:sub>
          </m:sSub>
          <m:r>
            <m:rPr>
              <m:sty m:val="p"/>
            </m:rPr>
            <m:t>∈</m:t>
          </m:r>
          <m:sSub>
            <m:e>
              <m:r>
                <m:rPr>
                  <m:scr m:val="script"/>
                  <m:sty m:val="p"/>
                </m:rPr>
                <m:t>E</m:t>
              </m:r>
            </m:e>
            <m:sub>
              <m:r>
                <m:t>t</m:t>
              </m:r>
            </m:sub>
          </m:sSub>
          <m:r>
            <m:rPr>
              <m:sty m:val="p"/>
            </m:rPr>
            <m:t>)</m:t>
          </m:r>
        </m:oMath>
      </m:oMathPara>
    </w:p>
    <w:p>
      <w:pPr>
        <w:pStyle w:val="FirstParagraph"/>
      </w:pPr>
      <w:r>
        <w:rPr>
          <w:rFonts w:hint="eastAsia"/>
        </w:rPr>
        <w:t xml:space="preserve">其中，</w:t>
      </w:r>
      <m:oMath>
        <m:r>
          <m:t>d</m:t>
        </m:r>
        <m:r>
          <m:rPr>
            <m:sty m:val="p"/>
          </m:rPr>
          <m:t>(</m:t>
        </m:r>
        <m:r>
          <m:rPr>
            <m:sty m:val="p"/>
          </m:rPr>
          <m:t>⋅</m:t>
        </m:r>
        <m:r>
          <m:rPr>
            <m:sty m:val="p"/>
          </m:rPr>
          <m:t>)</m:t>
        </m:r>
      </m:oMath>
      <w:r>
        <w:t xml:space="preserve"> </w:t>
      </w:r>
      <w:r>
        <w:rPr>
          <w:rFonts w:hint="eastAsia"/>
        </w:rPr>
        <w:t xml:space="preserve">为分布偏离度量，</w:t>
      </w:r>
      <m:oMath>
        <m:sSub>
          <m:e>
            <m:r>
              <m:t>δ</m:t>
            </m:r>
          </m:e>
          <m:sub>
            <m:r>
              <m:t>t</m:t>
            </m:r>
          </m:sub>
        </m:sSub>
      </m:oMath>
      <w:r>
        <w:t xml:space="preserve"> </w:t>
      </w:r>
      <w:r>
        <w:rPr>
          <w:rFonts w:hint="eastAsia"/>
        </w:rPr>
        <w:t xml:space="preserve">为判别阈值。上述定义表明，事件识别本质上是对是否偏离常态区域的二值判定；当状态进入高偏离区域时触发策略更新，否则维持当前控制节奏。</w:t>
      </w:r>
    </w:p>
    <w:p>
      <w:pPr>
        <w:pStyle w:val="BodyText"/>
      </w:pPr>
      <w:r>
        <w:rPr>
          <w:rFonts w:hint="eastAsia"/>
        </w:rPr>
        <w:t xml:space="preserve">为满足在线部署需求，本文采用异常分数函数</w:t>
      </w:r>
      <w:r>
        <w:t xml:space="preserve"> </w:t>
      </w:r>
      <m:oMath>
        <m:r>
          <m:t>A</m:t>
        </m:r>
        <m:r>
          <m:rPr>
            <m:sty m:val="p"/>
          </m:rPr>
          <m:t>(</m:t>
        </m:r>
        <m:sSub>
          <m:e>
            <m:r>
              <m:t>s</m:t>
            </m:r>
          </m:e>
          <m:sub>
            <m:r>
              <m:t>t</m:t>
            </m:r>
          </m:sub>
        </m:sSub>
        <m:r>
          <m:rPr>
            <m:sty m:val="p"/>
          </m:rPr>
          <m:t>)</m:t>
        </m:r>
      </m:oMath>
      <w:r>
        <w:t xml:space="preserve"> </w:t>
      </w:r>
      <w:r>
        <w:rPr>
          <w:rFonts w:hint="eastAsia"/>
        </w:rPr>
        <w:t xml:space="preserve">作为偏离度代理，并将集合判别转化为可计算的阈值比较：</w:t>
      </w:r>
    </w:p>
    <w:p>
      <w:pPr>
        <w:pStyle w:val="BodyText"/>
      </w:pPr>
      <m:oMathPara>
        <m:oMathParaPr>
          <m:jc m:val="center"/>
        </m:oMathParaPr>
        <m:oMath>
          <m:sSub>
            <m:e>
              <m:r>
                <m:t>e</m:t>
              </m:r>
            </m:e>
            <m:sub>
              <m:r>
                <m:t>t</m:t>
              </m:r>
            </m:sub>
          </m:sSub>
          <m:r>
            <m:rPr>
              <m:sty m:val="p"/>
            </m:rPr>
            <m:t>=</m:t>
          </m:r>
          <m:r>
            <m:rPr>
              <m:scr m:val="double-struck"/>
              <m:sty m:val="p"/>
            </m:rPr>
            <m:t>I</m:t>
          </m:r>
          <m:r>
            <m:rPr>
              <m:sty m:val="p"/>
            </m:rPr>
            <m:t>(</m:t>
          </m:r>
          <m:r>
            <m:t>A</m:t>
          </m:r>
          <m:r>
            <m:rPr>
              <m:sty m:val="p"/>
            </m:rPr>
            <m:t>(</m:t>
          </m:r>
          <m:sSub>
            <m:e>
              <m:r>
                <m:t>s</m:t>
              </m:r>
            </m:e>
            <m:sub>
              <m:r>
                <m:t>t</m:t>
              </m:r>
            </m:sub>
          </m:sSub>
          <m:r>
            <m:rPr>
              <m:sty m:val="p"/>
            </m:rPr>
            <m:t>)</m:t>
          </m:r>
          <m:r>
            <m:rPr>
              <m:sty m:val="p"/>
            </m:rPr>
            <m:t>&gt;</m:t>
          </m:r>
          <m:sSub>
            <m:e>
              <m:r>
                <m:t>τ</m:t>
              </m:r>
            </m:e>
            <m:sub>
              <m:r>
                <m:t>t</m:t>
              </m:r>
            </m:sub>
          </m:sSub>
          <m:r>
            <m:rPr>
              <m:sty m:val="p"/>
            </m:rPr>
            <m:t>)</m:t>
          </m:r>
        </m:oMath>
      </m:oMathPara>
    </w:p>
    <w:p>
      <w:pPr>
        <w:pStyle w:val="FirstParagraph"/>
      </w:pPr>
      <w:r>
        <w:rPr>
          <w:rFonts w:hint="eastAsia"/>
        </w:rPr>
        <w:t xml:space="preserve">其中，</w:t>
      </w:r>
      <m:oMath>
        <m:r>
          <m:t>A</m:t>
        </m:r>
        <m:r>
          <m:rPr>
            <m:sty m:val="p"/>
          </m:rPr>
          <m:t>(</m:t>
        </m:r>
        <m:sSub>
          <m:e>
            <m:r>
              <m:t>s</m:t>
            </m:r>
          </m:e>
          <m:sub>
            <m:r>
              <m:t>t</m:t>
            </m:r>
          </m:sub>
        </m:sSub>
        <m:r>
          <m:rPr>
            <m:sty m:val="p"/>
          </m:rPr>
          <m:t>)</m:t>
        </m:r>
      </m:oMath>
      <w:r>
        <w:t xml:space="preserve"> </w:t>
      </w:r>
      <w:r>
        <w:rPr>
          <w:rFonts w:hint="eastAsia"/>
        </w:rPr>
        <w:t xml:space="preserve">越大表示偏离常态程度越高，</w:t>
      </w:r>
      <m:oMath>
        <m:sSub>
          <m:e>
            <m:r>
              <m:t>τ</m:t>
            </m:r>
          </m:e>
          <m:sub>
            <m:r>
              <m:t>t</m:t>
            </m:r>
          </m:sub>
        </m:sSub>
      </m:oMath>
      <w:r>
        <w:t xml:space="preserve"> </w:t>
      </w:r>
      <w:r>
        <w:rPr>
          <w:rFonts w:hint="eastAsia"/>
        </w:rPr>
        <w:t xml:space="preserve">为触发阈值。该形式具有两点优势：一是可与流式统计量直接耦合，支持逐步更新；二是便于与后续门控逻辑统一，实现由异常评分到触发决策的端到端建模与实现。</w:t>
      </w:r>
    </w:p>
    <w:p>
      <w:pPr>
        <w:pStyle w:val="BodyText"/>
      </w:pPr>
      <w:r>
        <w:rPr>
          <w:rFonts w:hint="eastAsia"/>
        </w:rPr>
        <w:t xml:space="preserve">考虑</w:t>
      </w:r>
      <w:r>
        <w:t xml:space="preserve"> HVAC </w:t>
      </w:r>
      <w:r>
        <w:rPr>
          <w:rFonts w:hint="eastAsia"/>
        </w:rPr>
        <w:t xml:space="preserve">长周期运行中的气象扰动、设备老化与负荷行为漂移所导致的非平稳性，本文不采用固定阈值，而采用流式自适应更新机制：</w:t>
      </w:r>
    </w:p>
    <w:p>
      <w:pPr>
        <w:pStyle w:val="BodyText"/>
      </w:pPr>
      <m:oMathPara>
        <m:oMathParaPr>
          <m:jc m:val="center"/>
        </m:oMathParaPr>
        <m:oMath>
          <m:r>
            <m:t>a</m:t>
          </m:r>
          <m:sSub>
            <m:e>
              <m:r>
                <m:t>u</m:t>
              </m:r>
            </m:e>
            <m:sub>
              <m:r>
                <m:t>t</m:t>
              </m:r>
            </m:sub>
          </m:sSub>
          <m:r>
            <m:rPr>
              <m:sty m:val="p"/>
            </m:rPr>
            <m:t>=</m:t>
          </m:r>
          <m:r>
            <m:rPr>
              <m:sty m:val="p"/>
            </m:rPr>
            <m:t>Φ</m:t>
          </m:r>
          <m:d>
            <m:dPr>
              <m:begChr m:val="("/>
              <m:sepChr m:val=""/>
              <m:endChr m:val=")"/>
              <m:grow/>
            </m:dPr>
            <m:e>
              <m:r>
                <m:t>A</m:t>
              </m:r>
              <m:r>
                <m:rPr>
                  <m:sty m:val="p"/>
                </m:rPr>
                <m:t>(</m:t>
              </m:r>
              <m:sSub>
                <m:e>
                  <m:r>
                    <m:t>s</m:t>
                  </m:r>
                </m:e>
                <m:sub>
                  <m:r>
                    <m:t>1</m:t>
                  </m:r>
                </m:sub>
              </m:sSub>
              <m:r>
                <m:rPr>
                  <m:sty m:val="p"/>
                </m:rPr>
                <m:t>)</m:t>
              </m:r>
              <m:r>
                <m:rPr>
                  <m:sty m:val="p"/>
                </m:rPr>
                <m:t>,</m:t>
              </m:r>
              <m:r>
                <m:rPr>
                  <m:sty m:val="p"/>
                </m:rPr>
                <m:t>…</m:t>
              </m:r>
              <m:r>
                <m:rPr>
                  <m:sty m:val="p"/>
                </m:rPr>
                <m:t>,</m:t>
              </m:r>
              <m:r>
                <m:t>A</m:t>
              </m:r>
              <m:r>
                <m:rPr>
                  <m:sty m:val="p"/>
                </m:rPr>
                <m:t>(</m:t>
              </m:r>
              <m:sSub>
                <m:e>
                  <m:r>
                    <m:t>s</m:t>
                  </m:r>
                </m:e>
                <m:sub>
                  <m:r>
                    <m:t>t</m:t>
                  </m:r>
                  <m:r>
                    <m:rPr>
                      <m:sty m:val="p"/>
                    </m:rPr>
                    <m:t>−</m:t>
                  </m:r>
                  <m:r>
                    <m:t>1</m:t>
                  </m:r>
                </m:sub>
              </m:sSub>
              <m:r>
                <m:rPr>
                  <m:sty m:val="p"/>
                </m:rPr>
                <m:t>)</m:t>
              </m:r>
            </m:e>
          </m:d>
        </m:oMath>
      </m:oMathPara>
    </w:p>
    <w:p>
      <w:pPr>
        <w:pStyle w:val="FirstParagraph"/>
      </w:pPr>
      <w:r>
        <w:rPr>
          <w:rFonts w:hint="eastAsia"/>
        </w:rPr>
        <w:t xml:space="preserve">其中，</w:t>
      </w:r>
      <m:oMath>
        <m:r>
          <m:rPr>
            <m:sty m:val="p"/>
          </m:rPr>
          <m:t>Φ</m:t>
        </m:r>
        <m:r>
          <m:rPr>
            <m:sty m:val="p"/>
          </m:rPr>
          <m:t>(</m:t>
        </m:r>
        <m:r>
          <m:rPr>
            <m:sty m:val="p"/>
          </m:rPr>
          <m:t>⋅</m:t>
        </m:r>
        <m:r>
          <m:rPr>
            <m:sty m:val="p"/>
          </m:rPr>
          <m:t>)</m:t>
        </m:r>
      </m:oMath>
      <w:r>
        <w:t xml:space="preserve"> </w:t>
      </w:r>
      <w:r>
        <w:rPr>
          <w:rFonts w:hint="eastAsia"/>
        </w:rPr>
        <w:t xml:space="preserve">表示由历史异常分数驱动的阈值更新算子。该设计用于在灵敏性与稳定性之间取得平衡：在扰动增强时提高事件覆盖率，在平稳区间抑制冗余触发，从而降低误触发与漏触发风险。</w:t>
      </w:r>
    </w:p>
    <w:p>
      <w:pPr>
        <w:pStyle w:val="Compact"/>
        <w:numPr>
          <w:ilvl w:val="0"/>
          <w:numId w:val="1003"/>
        </w:numPr>
      </w:pPr>
      <w:r>
        <w:rPr>
          <w:rFonts w:hint="eastAsia"/>
        </w:rPr>
        <w:t xml:space="preserve">门控输入特征定义</w:t>
      </w:r>
    </w:p>
    <w:p>
      <w:pPr>
        <w:pStyle w:val="FirstParagraph"/>
      </w:pPr>
      <w:r>
        <w:rPr>
          <w:rFonts w:hint="eastAsia"/>
        </w:rPr>
        <w:t xml:space="preserve">为保证门控判定与控制状态建模在物理语义与符号层面的一致性，本文将事件门控模块的输入定义为紧凑的三维特征向量：</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其中，</w:t>
      </w:r>
      <m:oMath>
        <m:sSubSup>
          <m:e>
            <m:r>
              <m:t>Q</m:t>
            </m:r>
          </m:e>
          <m:sub>
            <m:r>
              <m:t>l</m:t>
            </m:r>
            <m:r>
              <m:t>o</m:t>
            </m:r>
            <m:r>
              <m:t>a</m:t>
            </m:r>
            <m:r>
              <m:t>d</m:t>
            </m:r>
          </m:sub>
          <m:sup>
            <m:r>
              <m:t>t</m:t>
            </m:r>
          </m:sup>
        </m:sSubSup>
      </m:oMath>
      <w:r>
        <w:t xml:space="preserve"> </w:t>
      </w:r>
      <w:r>
        <w:rPr>
          <w:rFonts w:hint="eastAsia"/>
        </w:rPr>
        <w:t xml:space="preserve">表示当前时刻系统冷负荷，</w:t>
      </w:r>
      <m:oMath>
        <m:sSubSup>
          <m:e>
            <m:r>
              <m:t>T</m:t>
            </m:r>
          </m:e>
          <m:sub>
            <m:r>
              <m:t>w</m:t>
            </m:r>
            <m:r>
              <m:t>b</m:t>
            </m:r>
          </m:sub>
          <m:sup>
            <m:r>
              <m:t>t</m:t>
            </m:r>
          </m:sup>
        </m:sSubSup>
      </m:oMath>
      <w:r>
        <w:t xml:space="preserve"> </w:t>
      </w:r>
      <w:r>
        <w:rPr>
          <w:rFonts w:hint="eastAsia"/>
        </w:rPr>
        <w:t xml:space="preserve">表示室外湿球温度，</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表示下一时刻系统冷负荷的短期预测值。</w:t>
      </w:r>
    </w:p>
    <w:p>
      <w:pPr>
        <w:pStyle w:val="BodyText"/>
      </w:pPr>
      <w:r>
        <w:rPr>
          <w:rFonts w:hint="eastAsia"/>
        </w:rPr>
        <w:t xml:space="preserve">引入</w:t>
      </w:r>
      <w:r>
        <w:t xml:space="preserve"> </w:t>
      </w:r>
      <m:oMath>
        <m:sSubSup>
          <m:e>
            <m:r>
              <m:t>T</m:t>
            </m:r>
          </m:e>
          <m:sub>
            <m:r>
              <m:t>w</m:t>
            </m:r>
            <m:r>
              <m:t>b</m:t>
            </m:r>
          </m:sub>
          <m:sup>
            <m:r>
              <m:t>t</m:t>
            </m:r>
          </m:sup>
        </m:sSubSup>
      </m:oMath>
      <w:r>
        <w:t xml:space="preserve"> </w:t>
      </w:r>
      <w:r>
        <w:rPr>
          <w:rFonts w:hint="eastAsia"/>
        </w:rPr>
        <w:t xml:space="preserve">的主要原因在于该变量能够同时表征外部温度与湿度条件，并直接约束冷却塔换热性能及系统排热上限。因此，</w:t>
      </w:r>
      <m:oMath>
        <m:sSubSup>
          <m:e>
            <m:r>
              <m:t>T</m:t>
            </m:r>
          </m:e>
          <m:sub>
            <m:r>
              <m:t>w</m:t>
            </m:r>
            <m:r>
              <m:t>b</m:t>
            </m:r>
          </m:sub>
          <m:sup>
            <m:r>
              <m:t>t</m:t>
            </m:r>
          </m:sup>
        </m:sSubSup>
      </m:oMath>
      <w:r>
        <w:t xml:space="preserve"> </w:t>
      </w:r>
      <w:r>
        <w:rPr>
          <w:rFonts w:hint="eastAsia"/>
        </w:rPr>
        <w:t xml:space="preserve">可作为刻画外生气象扰动强度与方向的关键状态量，从而提升门控机制对环境非平稳变化的识别能力。</w:t>
      </w:r>
    </w:p>
    <w:p>
      <w:pPr>
        <w:pStyle w:val="BodyText"/>
      </w:pPr>
      <w:r>
        <w:rPr>
          <w:rFonts w:hint="eastAsia"/>
        </w:rPr>
        <w:t xml:space="preserve">此外，引入</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的动机在于建筑热系统具有显著热惯性与控制滞后。若仅依赖当前观测量，门控判定通常滞后于工况变化。纳入一步前瞻负荷后，门控模块可提前感知负荷爬升或回落趋势，进而在关键变化阶段更早触发策略更新，降低稀疏触发条件下的响应滞后风险。</w:t>
      </w:r>
    </w:p>
    <w:p>
      <w:pPr>
        <w:pStyle w:val="BodyText"/>
      </w:pPr>
      <w:r>
        <w:rPr>
          <w:rFonts w:hint="eastAsia"/>
        </w:rPr>
        <w:t xml:space="preserve">为在保持表征能力的同时控制特征维度并支撑在线门控的实时计算，本文在特征维度选择上未进一步引入管网流量、回水温度等附加变量，原因是在线异常检测在高维空间中易出现样本稀疏与距离退化，从而削弱统计判别稳定性并增加计算开销。</w:t>
      </w:r>
    </w:p>
    <w:p>
      <w:pPr>
        <w:pStyle w:val="Compact"/>
        <w:numPr>
          <w:ilvl w:val="0"/>
          <w:numId w:val="1004"/>
        </w:numPr>
      </w:pPr>
      <w:r>
        <w:rPr>
          <w:rFonts w:hint="eastAsia"/>
        </w:rPr>
        <w:t xml:space="preserve">流式隔离深度与多尺度异常追踪</w:t>
      </w:r>
    </w:p>
    <w:p>
      <w:pPr>
        <w:pStyle w:val="FirstParagraph"/>
      </w:pPr>
      <w:r>
        <w:rPr>
          <w:rFonts w:hint="eastAsia"/>
        </w:rPr>
        <w:t xml:space="preserve">传统离线异常检测通常依赖静态样本库，在季节性工况漂移场景下稳定性受限。为此，本文采用流式隔离深度机制，对在线到达的门控输入特征</w:t>
      </w:r>
      <w:r>
        <w:t xml:space="preserve"> </w:t>
      </w:r>
      <m:oMath>
        <m:sSub>
          <m:e>
            <m:r>
              <m:t>s</m:t>
            </m:r>
          </m:e>
          <m:sub>
            <m:r>
              <m:t>t</m:t>
            </m:r>
          </m:sub>
        </m:sSub>
      </m:oMath>
      <w:r>
        <w:t xml:space="preserve"> </w:t>
      </w:r>
      <w:r>
        <w:rPr>
          <w:rFonts w:hint="eastAsia"/>
        </w:rPr>
        <w:t xml:space="preserve">进行实时异常评分。流式隔离深度算法（Streaming</w:t>
      </w:r>
      <w:r>
        <w:t xml:space="preserve"> Isolation </w:t>
      </w:r>
      <w:r>
        <w:rPr>
          <w:rFonts w:hint="eastAsia"/>
        </w:rPr>
        <w:t xml:space="preserve">Depth）通过在滑动数据窗口上动态构建与更新隔离树结构，计算输入数据点在多棵树中的平均路径长度作为隔离程度度量。路径越短，数据点越容易被孤立，对应异常概率越高。该机制能够在不重新训练全局模型的条件下在线适应分布变化。</w:t>
      </w:r>
    </w:p>
    <w:p>
      <w:pPr>
        <w:pStyle w:val="BodyText"/>
      </w:pPr>
      <w:r>
        <w:rPr>
          <w:rFonts w:hint="eastAsia"/>
        </w:rPr>
        <w:t xml:space="preserve">为便于形式化描述，下面给出隔离深度与异常分数的计算过程。隔离树通过递归随机选择特征与分割点来孤立数据点。对于输入点</w:t>
      </w:r>
      <w:r>
        <w:t xml:space="preserve"> </w:t>
      </w:r>
      <m:oMath>
        <m:sSub>
          <m:e>
            <m:r>
              <m:t>s</m:t>
            </m:r>
          </m:e>
          <m:sub>
            <m:r>
              <m:t>t</m:t>
            </m:r>
          </m:sub>
        </m:sSub>
      </m:oMath>
      <w:r>
        <w:rPr>
          <w:rFonts w:hint="eastAsia"/>
        </w:rPr>
        <w:t xml:space="preserve">，在滑动参考窗口内的</w:t>
      </w:r>
      <w:r>
        <w:t xml:space="preserve"> </w:t>
      </w:r>
      <m:oMath>
        <m:r>
          <m:t>ψ</m:t>
        </m:r>
      </m:oMath>
      <w:r>
        <w:t xml:space="preserve"> </w:t>
      </w:r>
      <w:r>
        <w:rPr>
          <w:rFonts w:hint="eastAsia"/>
        </w:rPr>
        <w:t xml:space="preserve">棵隔离树上分别执行搜索，记该点在第</w:t>
      </w:r>
      <w:r>
        <w:t xml:space="preserve"> </w:t>
      </w:r>
      <m:oMath>
        <m:r>
          <m:t>j</m:t>
        </m:r>
      </m:oMath>
      <w:r>
        <w:t xml:space="preserve"> </w:t>
      </w:r>
      <w:r>
        <w:rPr>
          <w:rFonts w:hint="eastAsia"/>
        </w:rPr>
        <w:t xml:space="preserve">棵树上的路径长度为</w:t>
      </w:r>
      <w:r>
        <w:t xml:space="preserve"> </w:t>
      </w:r>
      <m:oMath>
        <m:sSub>
          <m:e>
            <m:r>
              <m:t>h</m:t>
            </m:r>
          </m:e>
          <m:sub>
            <m:r>
              <m:t>j</m:t>
            </m:r>
          </m:sub>
        </m:sSub>
        <m:r>
          <m:rPr>
            <m:sty m:val="p"/>
          </m:rPr>
          <m:t>(</m:t>
        </m:r>
        <m:sSub>
          <m:e>
            <m:r>
              <m:t>s</m:t>
            </m:r>
          </m:e>
          <m:sub>
            <m:r>
              <m:t>t</m:t>
            </m:r>
          </m:sub>
        </m:sSub>
        <m:r>
          <m:rPr>
            <m:sty m:val="p"/>
          </m:rPr>
          <m:t>)</m:t>
        </m:r>
      </m:oMath>
      <w:r>
        <w:rPr>
          <w:rFonts w:hint="eastAsia"/>
        </w:rPr>
        <w:t xml:space="preserve">，其中路径长度定义为从根节点到叶节点的边数。该点的平均隔离深度定义为：</w:t>
      </w:r>
    </w:p>
    <w:p>
      <w:pPr>
        <w:pStyle w:val="BodyText"/>
      </w:pPr>
      <m:oMathPara>
        <m:oMathParaPr>
          <m:jc m:val="center"/>
        </m:oMathParaPr>
        <m:oMath>
          <m:sSub>
            <m:e>
              <m:r>
                <m:t>h</m:t>
              </m:r>
            </m:e>
            <m:sub>
              <m:r>
                <m:rPr>
                  <m:sty m:val="p"/>
                </m:rPr>
                <m:t>i</m:t>
              </m:r>
              <m:r>
                <m:rPr>
                  <m:sty m:val="p"/>
                </m:rPr>
                <m:t>s</m:t>
              </m:r>
              <m:r>
                <m:rPr>
                  <m:sty m:val="p"/>
                </m:rPr>
                <m:t>o</m:t>
              </m:r>
            </m:sub>
          </m:sSub>
          <m:r>
            <m:rPr>
              <m:sty m:val="p"/>
            </m:rPr>
            <m:t>(</m:t>
          </m:r>
          <m:sSub>
            <m:e>
              <m:r>
                <m:t>s</m:t>
              </m:r>
            </m:e>
            <m:sub>
              <m:r>
                <m:t>t</m:t>
              </m:r>
            </m:sub>
          </m:sSub>
          <m:r>
            <m:rPr>
              <m:sty m:val="p"/>
            </m:rPr>
            <m:t>)</m:t>
          </m:r>
          <m:r>
            <m:rPr>
              <m:sty m:val="p"/>
            </m:rPr>
            <m:t>=</m:t>
          </m:r>
          <m:f>
            <m:fPr>
              <m:type m:val="bar"/>
            </m:fPr>
            <m:num>
              <m:r>
                <m:t>1</m:t>
              </m:r>
            </m:num>
            <m:den>
              <m:r>
                <m:t>ψ</m:t>
              </m:r>
            </m:den>
          </m:f>
          <m:nary>
            <m:naryPr>
              <m:chr m:val="∑"/>
              <m:limLoc m:val="undOvr"/>
              <m:subHide m:val="off"/>
              <m:supHide m:val="off"/>
            </m:naryPr>
            <m:sub>
              <m:r>
                <m:t>j</m:t>
              </m:r>
              <m:r>
                <m:rPr>
                  <m:sty m:val="p"/>
                </m:rPr>
                <m:t>=</m:t>
              </m:r>
              <m:r>
                <m:t>1</m:t>
              </m:r>
            </m:sub>
            <m:sup>
              <m:r>
                <m:t>ψ</m:t>
              </m:r>
            </m:sup>
            <m:e>
              <m:sSub>
                <m:e>
                  <m:r>
                    <m:t>h</m:t>
                  </m:r>
                </m:e>
                <m:sub>
                  <m:r>
                    <m:t>j</m:t>
                  </m:r>
                </m:sub>
              </m:sSub>
            </m:e>
          </m:nary>
          <m:r>
            <m:rPr>
              <m:sty m:val="p"/>
            </m:rPr>
            <m:t>(</m:t>
          </m:r>
          <m:sSub>
            <m:e>
              <m:r>
                <m:t>s</m:t>
              </m:r>
            </m:e>
            <m:sub>
              <m:r>
                <m:t>t</m:t>
              </m:r>
            </m:sub>
          </m:sSub>
          <m:r>
            <m:rPr>
              <m:sty m:val="p"/>
            </m:rPr>
            <m:t>)</m:t>
          </m:r>
        </m:oMath>
      </m:oMathPara>
    </w:p>
    <w:p>
      <w:pPr>
        <w:pStyle w:val="FirstParagraph"/>
      </w:pPr>
      <w:r>
        <w:rPr>
          <w:rFonts w:hint="eastAsia"/>
        </w:rPr>
        <w:t xml:space="preserve">进而转化为归一化的异常分数，其中</w:t>
      </w:r>
      <w:r>
        <w:t xml:space="preserve"> </w:t>
      </w:r>
      <m:oMath>
        <m:r>
          <m:t>m</m:t>
        </m:r>
      </m:oMath>
      <w:r>
        <w:t xml:space="preserve"> </w:t>
      </w:r>
      <w:r>
        <w:rPr>
          <w:rFonts w:hint="eastAsia"/>
        </w:rPr>
        <w:t xml:space="preserve">为参考集样本数，</w:t>
      </w:r>
      <m:oMath>
        <m:r>
          <m:t>C</m:t>
        </m:r>
        <m:r>
          <m:rPr>
            <m:sty m:val="p"/>
          </m:rPr>
          <m:t>(</m:t>
        </m:r>
        <m:r>
          <m:t>m</m:t>
        </m:r>
        <m:r>
          <m:rPr>
            <m:sty m:val="p"/>
          </m:rPr>
          <m:t>)</m:t>
        </m:r>
      </m:oMath>
      <w:r>
        <w:t xml:space="preserve"> </w:t>
      </w:r>
      <w:r>
        <w:rPr>
          <w:rFonts w:hint="eastAsia"/>
        </w:rPr>
        <w:t xml:space="preserve">为对应的平均路径长度基准：</w:t>
      </w:r>
    </w:p>
    <w:p>
      <w:pPr>
        <w:pStyle w:val="BodyText"/>
      </w:pPr>
      <m:oMathPara>
        <m:oMathParaPr>
          <m:jc m:val="center"/>
        </m:oMathParaPr>
        <m:oMath>
          <m:sSub>
            <m:e>
              <m:r>
                <m:t>A</m:t>
              </m:r>
            </m:e>
            <m:sub>
              <m:r>
                <m:rPr>
                  <m:sty m:val="p"/>
                </m:rPr>
                <m:t>i</m:t>
              </m:r>
              <m:r>
                <m:rPr>
                  <m:sty m:val="p"/>
                </m:rPr>
                <m:t>s</m:t>
              </m:r>
              <m:r>
                <m:rPr>
                  <m:sty m:val="p"/>
                </m:rPr>
                <m:t>o</m:t>
              </m:r>
            </m:sub>
          </m:sSub>
          <m:r>
            <m:rPr>
              <m:sty m:val="p"/>
            </m:rPr>
            <m:t>(</m:t>
          </m:r>
          <m:sSub>
            <m:e>
              <m:r>
                <m:t>s</m:t>
              </m:r>
            </m:e>
            <m:sub>
              <m:r>
                <m:t>t</m:t>
              </m:r>
            </m:sub>
          </m:sSub>
          <m:r>
            <m:rPr>
              <m:sty m:val="p"/>
            </m:rPr>
            <m:t>)</m:t>
          </m:r>
          <m:r>
            <m:rPr>
              <m:sty m:val="p"/>
            </m:rPr>
            <m:t>=</m:t>
          </m:r>
          <m:sSup>
            <m:e>
              <m:r>
                <m:t>2</m:t>
              </m:r>
            </m:e>
            <m:sup>
              <m:r>
                <m:rPr>
                  <m:sty m:val="p"/>
                </m:rPr>
                <m:t>−</m:t>
              </m:r>
              <m:f>
                <m:fPr>
                  <m:type m:val="bar"/>
                </m:fPr>
                <m:num>
                  <m:sSub>
                    <m:e>
                      <m:r>
                        <m:t>h</m:t>
                      </m:r>
                    </m:e>
                    <m:sub>
                      <m:r>
                        <m:rPr>
                          <m:sty m:val="p"/>
                        </m:rPr>
                        <m:t>i</m:t>
                      </m:r>
                      <m:r>
                        <m:rPr>
                          <m:sty m:val="p"/>
                        </m:rPr>
                        <m:t>s</m:t>
                      </m:r>
                      <m:r>
                        <m:rPr>
                          <m:sty m:val="p"/>
                        </m:rPr>
                        <m:t>o</m:t>
                      </m:r>
                    </m:sub>
                  </m:sSub>
                  <m:r>
                    <m:rPr>
                      <m:sty m:val="p"/>
                    </m:rPr>
                    <m:t>(</m:t>
                  </m:r>
                  <m:sSub>
                    <m:e>
                      <m:r>
                        <m:t>s</m:t>
                      </m:r>
                    </m:e>
                    <m:sub>
                      <m:r>
                        <m:t>t</m:t>
                      </m:r>
                    </m:sub>
                  </m:sSub>
                  <m:r>
                    <m:rPr>
                      <m:sty m:val="p"/>
                    </m:rPr>
                    <m:t>)</m:t>
                  </m:r>
                </m:num>
                <m:den>
                  <m:r>
                    <m:t>C</m:t>
                  </m:r>
                  <m:r>
                    <m:rPr>
                      <m:sty m:val="p"/>
                    </m:rPr>
                    <m:t>(</m:t>
                  </m:r>
                  <m:r>
                    <m:t>m</m:t>
                  </m:r>
                  <m:r>
                    <m:rPr>
                      <m:sty m:val="p"/>
                    </m:rPr>
                    <m:t>)</m:t>
                  </m:r>
                </m:den>
              </m:f>
            </m:sup>
          </m:sSup>
        </m:oMath>
      </m:oMathPara>
    </w:p>
    <w:p>
      <w:pPr>
        <w:pStyle w:val="FirstParagraph"/>
      </w:pPr>
      <w:r>
        <w:rPr>
          <w:rFonts w:hint="eastAsia"/>
        </w:rPr>
        <w:t xml:space="preserve">标准化常数计算为</w:t>
      </w:r>
      <w:r>
        <w:t xml:space="preserve"> </w:t>
      </w:r>
      <m:oMath>
        <m:r>
          <m:t>C</m:t>
        </m:r>
        <m:r>
          <m:rPr>
            <m:sty m:val="p"/>
          </m:rPr>
          <m:t>(</m:t>
        </m:r>
        <m:r>
          <m:t>m</m:t>
        </m:r>
        <m:r>
          <m:rPr>
            <m:sty m:val="p"/>
          </m:rPr>
          <m:t>)</m:t>
        </m:r>
        <m:r>
          <m:rPr>
            <m:sty m:val="p"/>
          </m:rPr>
          <m:t>=</m:t>
        </m:r>
        <m:r>
          <m:t>2</m:t>
        </m:r>
        <m:r>
          <m:t>H</m:t>
        </m:r>
        <m:r>
          <m:rPr>
            <m:sty m:val="p"/>
          </m:rPr>
          <m:t>(</m:t>
        </m:r>
        <m:r>
          <m:t>m</m:t>
        </m:r>
        <m:r>
          <m:rPr>
            <m:sty m:val="p"/>
          </m:rPr>
          <m:t>−</m:t>
        </m:r>
        <m:r>
          <m:t>1</m:t>
        </m:r>
        <m:r>
          <m:rPr>
            <m:sty m:val="p"/>
          </m:rPr>
          <m:t>)</m:t>
        </m:r>
        <m:r>
          <m:rPr>
            <m:sty m:val="p"/>
          </m:rPr>
          <m:t>−</m:t>
        </m:r>
        <m:r>
          <m:t>2</m:t>
        </m:r>
        <m:r>
          <m:rPr>
            <m:sty m:val="p"/>
          </m:rPr>
          <m:t>(</m:t>
        </m:r>
        <m:r>
          <m:t>m</m:t>
        </m:r>
        <m:r>
          <m:rPr>
            <m:sty m:val="p"/>
          </m:rPr>
          <m:t>−</m:t>
        </m:r>
        <m:r>
          <m:t>1</m:t>
        </m:r>
        <m:r>
          <m:rPr>
            <m:sty m:val="p"/>
          </m:rPr>
          <m:t>)</m:t>
        </m:r>
        <m:r>
          <m:rPr>
            <m:sty m:val="p"/>
          </m:rPr>
          <m:t>/</m:t>
        </m:r>
        <m:r>
          <m:t>m</m:t>
        </m:r>
      </m:oMath>
      <w:r>
        <w:rPr>
          <w:rFonts w:hint="eastAsia"/>
        </w:rPr>
        <w:t xml:space="preserve">，其中</w:t>
      </w:r>
      <w:r>
        <w:t xml:space="preserve"> </w:t>
      </w:r>
      <m:oMath>
        <m:r>
          <m:t>H</m:t>
        </m:r>
        <m:r>
          <m:rPr>
            <m:sty m:val="p"/>
          </m:rPr>
          <m:t>(</m:t>
        </m:r>
        <m:r>
          <m:t>m</m:t>
        </m:r>
        <m:r>
          <m:rPr>
            <m:sty m:val="p"/>
          </m:rPr>
          <m:t>−</m:t>
        </m:r>
        <m:r>
          <m:t>1</m:t>
        </m:r>
        <m:r>
          <m:rPr>
            <m:sty m:val="p"/>
          </m:rPr>
          <m:t>)</m:t>
        </m:r>
        <m:r>
          <m:rPr>
            <m:sty m:val="p"/>
          </m:rPr>
          <m:t>=</m:t>
        </m:r>
        <m:nary>
          <m:naryPr>
            <m:chr m:val="∑"/>
            <m:limLoc m:val="undOvr"/>
            <m:subHide m:val="off"/>
            <m:supHide m:val="off"/>
          </m:naryPr>
          <m:sub>
            <m:r>
              <m:t>i</m:t>
            </m:r>
            <m:r>
              <m:rPr>
                <m:sty m:val="p"/>
              </m:rPr>
              <m:t>=</m:t>
            </m:r>
            <m:r>
              <m:t>1</m:t>
            </m:r>
          </m:sub>
          <m:sup>
            <m:r>
              <m:t>m</m:t>
            </m:r>
            <m:r>
              <m:rPr>
                <m:sty m:val="p"/>
              </m:rPr>
              <m:t>−</m:t>
            </m:r>
            <m:r>
              <m:t>1</m:t>
            </m:r>
          </m:sup>
          <m:e>
            <m:f>
              <m:fPr>
                <m:type m:val="bar"/>
              </m:fPr>
              <m:num>
                <m:r>
                  <m:t>1</m:t>
                </m:r>
              </m:num>
              <m:den>
                <m:r>
                  <m:t>i</m:t>
                </m:r>
              </m:den>
            </m:f>
          </m:e>
        </m:nary>
      </m:oMath>
      <w:r>
        <w:t xml:space="preserve"> </w:t>
      </w:r>
      <w:r>
        <w:rPr>
          <w:rFonts w:hint="eastAsia"/>
        </w:rPr>
        <w:t xml:space="preserve">为调和级数。该形式将异常分数映射至</w:t>
      </w:r>
      <w:r>
        <w:t xml:space="preserve"> </w:t>
      </w:r>
      <m:oMath>
        <m:r>
          <m:rPr>
            <m:sty m:val="p"/>
          </m:rPr>
          <m:t>(</m:t>
        </m:r>
        <m:r>
          <m:t>0</m:t>
        </m:r>
        <m:r>
          <m:rPr>
            <m:sty m:val="p"/>
          </m:rPr>
          <m:t>,</m:t>
        </m:r>
        <m:r>
          <m:t>1</m:t>
        </m:r>
        <m:r>
          <m:rPr>
            <m:sty m:val="p"/>
          </m:rPr>
          <m:t>)</m:t>
        </m:r>
      </m:oMath>
      <w:r>
        <w:t xml:space="preserve"> </w:t>
      </w:r>
      <w:r>
        <w:rPr>
          <w:rFonts w:hint="eastAsia"/>
        </w:rPr>
        <w:t xml:space="preserve">区间：当数据点易被隔离时，路径较短，分数趋近于</w:t>
      </w:r>
      <w:r>
        <w:t xml:space="preserve"> </w:t>
      </w:r>
      <w:r>
        <w:rPr>
          <w:rFonts w:hint="eastAsia"/>
        </w:rPr>
        <w:t xml:space="preserve">1；当数据点难被隔离时，路径较长，分数趋近于</w:t>
      </w:r>
      <w:r>
        <w:t xml:space="preserve"> 0。</w:t>
      </w:r>
    </w:p>
    <w:p>
      <w:pPr>
        <w:pStyle w:val="BodyText"/>
      </w:pPr>
      <w:r>
        <w:rPr>
          <w:rFonts w:hint="eastAsia"/>
        </w:rPr>
        <w:t xml:space="preserve">为刻画不同时间尺度下的分布演化，算法维护三个不同规模的滑动参考窗口以生成多尺度动态参考集合。短时窗口</w:t>
      </w:r>
      <w:r>
        <w:t xml:space="preserve"> </w:t>
      </w:r>
      <m:oMath>
        <m:sSub>
          <m:e>
            <m:r>
              <m:rPr>
                <m:scr m:val="script"/>
                <m:sty m:val="p"/>
              </m:rPr>
              <m:t>W</m:t>
            </m:r>
          </m:e>
          <m:sub>
            <m:r>
              <m:rPr>
                <m:sty m:val="p"/>
              </m:rPr>
              <m:t>s</m:t>
            </m:r>
            <m:r>
              <m:rPr>
                <m:sty m:val="p"/>
              </m:rPr>
              <m:t>h</m:t>
            </m:r>
            <m:r>
              <m:rPr>
                <m:sty m:val="p"/>
              </m:rPr>
              <m:t>o</m:t>
            </m:r>
            <m:r>
              <m:rPr>
                <m:sty m:val="p"/>
              </m:rPr>
              <m:t>r</m:t>
            </m:r>
            <m:r>
              <m:rPr>
                <m:sty m:val="p"/>
              </m:rPr>
              <m:t>t</m:t>
            </m:r>
          </m:sub>
        </m:sSub>
      </m:oMath>
      <w:r>
        <w:t xml:space="preserve"> </w:t>
      </w:r>
      <w:r>
        <w:rPr>
          <w:rFonts w:hint="eastAsia"/>
        </w:rPr>
        <w:t xml:space="preserve">包含最近</w:t>
      </w:r>
      <w:r>
        <w:t xml:space="preserve"> </w:t>
      </w:r>
      <m:oMath>
        <m:sSub>
          <m:e>
            <m:r>
              <m:t>n</m:t>
            </m:r>
          </m:e>
          <m:sub>
            <m:r>
              <m:t>s</m:t>
            </m:r>
          </m:sub>
        </m:sSub>
      </m:oMath>
      <w:r>
        <w:t xml:space="preserve"> </w:t>
      </w:r>
      <w:r>
        <w:rPr>
          <w:rFonts w:hint="eastAsia"/>
        </w:rPr>
        <w:t xml:space="preserve">个数据点，用于捕捉高频波动；中时窗口</w:t>
      </w:r>
      <w:r>
        <w:t xml:space="preserve"> </w:t>
      </w:r>
      <m:oMath>
        <m:sSub>
          <m:e>
            <m:r>
              <m:rPr>
                <m:scr m:val="script"/>
                <m:sty m:val="p"/>
              </m:rPr>
              <m:t>W</m:t>
            </m:r>
          </m:e>
          <m:sub>
            <m:r>
              <m:rPr>
                <m:sty m:val="p"/>
              </m:rPr>
              <m:t>m</m:t>
            </m:r>
            <m:r>
              <m:rPr>
                <m:sty m:val="p"/>
              </m:rPr>
              <m:t>e</m:t>
            </m:r>
            <m:r>
              <m:rPr>
                <m:sty m:val="p"/>
              </m:rPr>
              <m:t>d</m:t>
            </m:r>
            <m:r>
              <m:rPr>
                <m:sty m:val="p"/>
              </m:rPr>
              <m:t>i</m:t>
            </m:r>
            <m:r>
              <m:rPr>
                <m:sty m:val="p"/>
              </m:rPr>
              <m:t>u</m:t>
            </m:r>
            <m:r>
              <m:rPr>
                <m:sty m:val="p"/>
              </m:rPr>
              <m:t>m</m:t>
            </m:r>
          </m:sub>
        </m:sSub>
      </m:oMath>
      <w:r>
        <w:t xml:space="preserve"> </w:t>
      </w:r>
      <w:r>
        <w:rPr>
          <w:rFonts w:hint="eastAsia"/>
        </w:rPr>
        <w:t xml:space="preserve">包含最近</w:t>
      </w:r>
      <w:r>
        <w:t xml:space="preserve"> </w:t>
      </w:r>
      <m:oMath>
        <m:sSub>
          <m:e>
            <m:r>
              <m:t>n</m:t>
            </m:r>
          </m:e>
          <m:sub>
            <m:r>
              <m:t>m</m:t>
            </m:r>
          </m:sub>
        </m:sSub>
      </m:oMath>
      <w:r>
        <w:t xml:space="preserve"> </w:t>
      </w:r>
      <w:r>
        <w:rPr>
          <w:rFonts w:hint="eastAsia"/>
        </w:rPr>
        <w:t xml:space="preserve">个数据点，用于表征日内周期；长时窗口</w:t>
      </w:r>
      <w:r>
        <w:t xml:space="preserve"> </w:t>
      </w:r>
      <m:oMath>
        <m:sSub>
          <m:e>
            <m:r>
              <m:rPr>
                <m:scr m:val="script"/>
                <m:sty m:val="p"/>
              </m:rPr>
              <m:t>W</m:t>
            </m:r>
          </m:e>
          <m:sub>
            <m:r>
              <m:rPr>
                <m:sty m:val="p"/>
              </m:rPr>
              <m:t>l</m:t>
            </m:r>
            <m:r>
              <m:rPr>
                <m:sty m:val="p"/>
              </m:rPr>
              <m:t>o</m:t>
            </m:r>
            <m:r>
              <m:rPr>
                <m:sty m:val="p"/>
              </m:rPr>
              <m:t>n</m:t>
            </m:r>
            <m:r>
              <m:rPr>
                <m:sty m:val="p"/>
              </m:rPr>
              <m:t>g</m:t>
            </m:r>
          </m:sub>
        </m:sSub>
      </m:oMath>
      <w:r>
        <w:t xml:space="preserve"> </w:t>
      </w:r>
      <w:r>
        <w:rPr>
          <w:rFonts w:hint="eastAsia"/>
        </w:rPr>
        <w:t xml:space="preserve">包含最近</w:t>
      </w:r>
      <w:r>
        <w:t xml:space="preserve"> </w:t>
      </w:r>
      <m:oMath>
        <m:sSub>
          <m:e>
            <m:r>
              <m:t>n</m:t>
            </m:r>
          </m:e>
          <m:sub>
            <m:r>
              <m:t>l</m:t>
            </m:r>
          </m:sub>
        </m:sSub>
      </m:oMath>
      <w:r>
        <w:t xml:space="preserve"> </w:t>
      </w:r>
      <w:r>
        <w:rPr>
          <w:rFonts w:hint="eastAsia"/>
        </w:rPr>
        <w:t xml:space="preserve">个数据点，用于描述季节性漂移，且参数满足</w:t>
      </w:r>
      <w:r>
        <w:t xml:space="preserve"> </w:t>
      </w:r>
      <m:oMath>
        <m:sSub>
          <m:e>
            <m:r>
              <m:t>n</m:t>
            </m:r>
          </m:e>
          <m:sub>
            <m:r>
              <m:t>s</m:t>
            </m:r>
          </m:sub>
        </m:sSub>
        <m:r>
          <m:rPr>
            <m:sty m:val="p"/>
          </m:rPr>
          <m:t>&lt;</m:t>
        </m:r>
        <m:sSub>
          <m:e>
            <m:r>
              <m:t>n</m:t>
            </m:r>
          </m:e>
          <m:sub>
            <m:r>
              <m:t>m</m:t>
            </m:r>
          </m:sub>
        </m:sSub>
        <m:r>
          <m:rPr>
            <m:sty m:val="p"/>
          </m:rPr>
          <m:t>&lt;</m:t>
        </m:r>
        <m:sSub>
          <m:e>
            <m:r>
              <m:t>n</m:t>
            </m:r>
          </m:e>
          <m:sub>
            <m:r>
              <m:t>l</m:t>
            </m:r>
          </m:sub>
        </m:sSub>
      </m:oMath>
      <w:r>
        <w:rPr>
          <w:rFonts w:hint="eastAsia"/>
        </w:rPr>
        <w:t xml:space="preserve">。在各窗口上独立应用隔离树算法，并在每个时刻输出对应尺度的异常分数。记</w:t>
      </w:r>
      <w:r>
        <w:t xml:space="preserve"> </w:t>
      </w:r>
      <m:oMath>
        <m:r>
          <m:t>κ</m:t>
        </m:r>
        <m:r>
          <m:rPr>
            <m:sty m:val="p"/>
          </m:rPr>
          <m:t>∈</m:t>
        </m:r>
        <m:r>
          <m:rPr>
            <m:sty m:val="p"/>
          </m:rPr>
          <m:t>{</m:t>
        </m:r>
        <m:r>
          <m:rPr>
            <m:sty m:val="p"/>
          </m:rPr>
          <m:t>s</m:t>
        </m:r>
        <m:r>
          <m:rPr>
            <m:sty m:val="p"/>
          </m:rPr>
          <m:t>h</m:t>
        </m:r>
        <m:r>
          <m:rPr>
            <m:sty m:val="p"/>
          </m:rPr>
          <m:t>o</m:t>
        </m:r>
        <m:r>
          <m:rPr>
            <m:sty m:val="p"/>
          </m:rPr>
          <m:t>r</m:t>
        </m:r>
        <m:r>
          <m:rPr>
            <m:sty m:val="p"/>
          </m:rPr>
          <m:t>t</m:t>
        </m:r>
        <m:r>
          <m:rPr>
            <m:sty m:val="p"/>
          </m:rPr>
          <m:t>,</m:t>
        </m:r>
        <m:r>
          <m:rPr>
            <m:sty m:val="p"/>
          </m:rPr>
          <m:t>m</m:t>
        </m:r>
        <m:r>
          <m:rPr>
            <m:sty m:val="p"/>
          </m:rPr>
          <m:t>e</m:t>
        </m:r>
        <m:r>
          <m:rPr>
            <m:sty m:val="p"/>
          </m:rPr>
          <m:t>d</m:t>
        </m:r>
        <m:r>
          <m:rPr>
            <m:sty m:val="p"/>
          </m:rPr>
          <m:t>i</m:t>
        </m:r>
        <m:r>
          <m:rPr>
            <m:sty m:val="p"/>
          </m:rPr>
          <m:t>u</m:t>
        </m:r>
        <m:r>
          <m:rPr>
            <m:sty m:val="p"/>
          </m:rPr>
          <m:t>m</m:t>
        </m:r>
        <m:r>
          <m:rPr>
            <m:sty m:val="p"/>
          </m:rPr>
          <m:t>,</m:t>
        </m:r>
        <m:r>
          <m:rPr>
            <m:sty m:val="p"/>
          </m:rPr>
          <m:t>l</m:t>
        </m:r>
        <m:r>
          <m:rPr>
            <m:sty m:val="p"/>
          </m:rPr>
          <m:t>o</m:t>
        </m:r>
        <m:r>
          <m:rPr>
            <m:sty m:val="p"/>
          </m:rPr>
          <m:t>n</m:t>
        </m:r>
        <m:r>
          <m:rPr>
            <m:sty m:val="p"/>
          </m:rPr>
          <m:t>g</m:t>
        </m:r>
        <m:r>
          <m:rPr>
            <m:sty m:val="p"/>
          </m:rPr>
          <m:t>}</m:t>
        </m:r>
      </m:oMath>
      <w:r>
        <w:rPr>
          <w:rFonts w:hint="eastAsia"/>
        </w:rPr>
        <w:t xml:space="preserve">，对应窗口规模记为</w:t>
      </w:r>
      <w:r>
        <w:t xml:space="preserve"> </w:t>
      </w:r>
      <m:oMath>
        <m:sSub>
          <m:e>
            <m:r>
              <m:t>n</m:t>
            </m:r>
          </m:e>
          <m:sub>
            <m:r>
              <m:t>κ</m:t>
            </m:r>
          </m:sub>
        </m:sSub>
      </m:oMath>
      <w:r>
        <w:rPr>
          <w:rFonts w:hint="eastAsia"/>
        </w:rPr>
        <w:t xml:space="preserve">，则有</w:t>
      </w:r>
    </w:p>
    <w:p>
      <w:pPr>
        <w:pStyle w:val="BodyText"/>
      </w:pPr>
      <m:oMathPara>
        <m:oMathParaPr>
          <m:jc m:val="center"/>
        </m:oMathParaPr>
        <m:oMath>
          <m:sSub>
            <m:e>
              <m:r>
                <m:t>A</m:t>
              </m:r>
            </m:e>
            <m:sub>
              <m:r>
                <m:t>κ</m:t>
              </m:r>
            </m:sub>
          </m:sSub>
          <m:r>
            <m:rPr>
              <m:sty m:val="p"/>
            </m:rPr>
            <m:t>(</m:t>
          </m:r>
          <m:sSub>
            <m:e>
              <m:r>
                <m:t>s</m:t>
              </m:r>
            </m:e>
            <m:sub>
              <m:r>
                <m:t>t</m:t>
              </m:r>
            </m:sub>
          </m:sSub>
          <m:r>
            <m:rPr>
              <m:sty m:val="p"/>
            </m:rPr>
            <m:t>)</m:t>
          </m:r>
          <m:r>
            <m:rPr>
              <m:sty m:val="p"/>
            </m:rPr>
            <m:t>=</m:t>
          </m:r>
          <m:sSup>
            <m:e>
              <m:r>
                <m:t>2</m:t>
              </m:r>
            </m:e>
            <m:sup>
              <m:r>
                <m:rPr>
                  <m:sty m:val="p"/>
                </m:rPr>
                <m:t>−</m:t>
              </m:r>
              <m:f>
                <m:fPr>
                  <m:type m:val="bar"/>
                </m:fPr>
                <m:num>
                  <m:sSubSup>
                    <m:e>
                      <m:r>
                        <m:t>h</m:t>
                      </m:r>
                    </m:e>
                    <m:sub>
                      <m:r>
                        <m:rPr>
                          <m:sty m:val="p"/>
                        </m:rPr>
                        <m:t>i</m:t>
                      </m:r>
                      <m:r>
                        <m:rPr>
                          <m:sty m:val="p"/>
                        </m:rPr>
                        <m:t>s</m:t>
                      </m:r>
                      <m:r>
                        <m:rPr>
                          <m:sty m:val="p"/>
                        </m:rPr>
                        <m:t>o</m:t>
                      </m:r>
                    </m:sub>
                    <m:sup>
                      <m:r>
                        <m:t>κ</m:t>
                      </m:r>
                    </m:sup>
                  </m:sSubSup>
                  <m:r>
                    <m:rPr>
                      <m:sty m:val="p"/>
                    </m:rPr>
                    <m:t>(</m:t>
                  </m:r>
                  <m:sSub>
                    <m:e>
                      <m:r>
                        <m:t>s</m:t>
                      </m:r>
                    </m:e>
                    <m:sub>
                      <m:r>
                        <m:t>t</m:t>
                      </m:r>
                    </m:sub>
                  </m:sSub>
                  <m:r>
                    <m:rPr>
                      <m:sty m:val="p"/>
                    </m:rPr>
                    <m:t>)</m:t>
                  </m:r>
                </m:num>
                <m:den>
                  <m:r>
                    <m:t>C</m:t>
                  </m:r>
                  <m:r>
                    <m:rPr>
                      <m:sty m:val="p"/>
                    </m:rPr>
                    <m:t>(</m:t>
                  </m:r>
                  <m:sSub>
                    <m:e>
                      <m:r>
                        <m:t>n</m:t>
                      </m:r>
                    </m:e>
                    <m:sub>
                      <m:r>
                        <m:t>κ</m:t>
                      </m:r>
                    </m:sub>
                  </m:sSub>
                  <m:r>
                    <m:rPr>
                      <m:sty m:val="p"/>
                    </m:rPr>
                    <m:t>)</m:t>
                  </m:r>
                </m:den>
              </m:f>
            </m:sup>
          </m:sSup>
        </m:oMath>
      </m:oMathPara>
    </w:p>
    <w:p>
      <w:pPr>
        <w:pStyle w:val="FirstParagraph"/>
      </w:pPr>
      <w:r>
        <w:rPr>
          <w:rFonts w:hint="eastAsia"/>
        </w:rPr>
        <w:t xml:space="preserve">各尺度分数均归一化至</w:t>
      </w:r>
      <w:r>
        <w:t xml:space="preserve"> </w:t>
      </w:r>
      <m:oMath>
        <m:r>
          <m:rPr>
            <m:sty m:val="p"/>
          </m:rPr>
          <m:t>[</m:t>
        </m:r>
        <m:r>
          <m:t>0</m:t>
        </m:r>
        <m:r>
          <m:rPr>
            <m:sty m:val="p"/>
          </m:rPr>
          <m:t>,</m:t>
        </m:r>
        <m:r>
          <m:t>1</m:t>
        </m:r>
        <m:r>
          <m:rPr>
            <m:sty m:val="p"/>
          </m:rPr>
          <m:t>]</m:t>
        </m:r>
      </m:oMath>
      <w:r>
        <w:t xml:space="preserve"> </w:t>
      </w:r>
      <w:r>
        <w:rPr>
          <w:rFonts w:hint="eastAsia"/>
        </w:rPr>
        <w:t xml:space="preserve">区间。综合异常分数定义为三类尺度分数的加权融合：</w:t>
      </w:r>
    </w:p>
    <w:p>
      <w:pPr>
        <w:pStyle w:val="BodyText"/>
      </w:pPr>
      <m:oMathPara>
        <m:oMathParaPr>
          <m:jc m:val="center"/>
        </m:oMathParaPr>
        <m:oMath>
          <m:r>
            <m:t>A</m:t>
          </m:r>
          <m:r>
            <m:rPr>
              <m:sty m:val="p"/>
            </m:rPr>
            <m:t>(</m:t>
          </m:r>
          <m:sSub>
            <m:e>
              <m:r>
                <m:t>s</m:t>
              </m:r>
            </m:e>
            <m:sub>
              <m:r>
                <m:t>t</m:t>
              </m:r>
            </m:sub>
          </m:sSub>
          <m:r>
            <m:rPr>
              <m:sty m:val="p"/>
            </m:rPr>
            <m:t>)</m:t>
          </m:r>
          <m:r>
            <m:rPr>
              <m:sty m:val="p"/>
            </m:rPr>
            <m:t>=</m:t>
          </m:r>
          <m:sSub>
            <m:e>
              <m:r>
                <m:t>w</m:t>
              </m:r>
            </m:e>
            <m:sub>
              <m:r>
                <m:rPr>
                  <m:sty m:val="p"/>
                </m:rPr>
                <m:t>s</m:t>
              </m:r>
            </m:sub>
          </m:sSub>
          <m:sSub>
            <m:e>
              <m:r>
                <m:t>A</m:t>
              </m:r>
            </m:e>
            <m:sub>
              <m:r>
                <m:rPr>
                  <m:sty m:val="p"/>
                </m:rPr>
                <m:t>s</m:t>
              </m:r>
              <m:r>
                <m:rPr>
                  <m:sty m:val="p"/>
                </m:rPr>
                <m:t>h</m:t>
              </m:r>
              <m:r>
                <m:rPr>
                  <m:sty m:val="p"/>
                </m:rPr>
                <m:t>o</m:t>
              </m:r>
              <m:r>
                <m:rPr>
                  <m:sty m:val="p"/>
                </m:rPr>
                <m:t>r</m:t>
              </m:r>
              <m:r>
                <m:rPr>
                  <m:sty m:val="p"/>
                </m:rPr>
                <m:t>t</m:t>
              </m:r>
            </m:sub>
          </m:sSub>
          <m:r>
            <m:rPr>
              <m:sty m:val="p"/>
            </m:rPr>
            <m:t>(</m:t>
          </m:r>
          <m:sSub>
            <m:e>
              <m:r>
                <m:t>s</m:t>
              </m:r>
            </m:e>
            <m:sub>
              <m:r>
                <m:t>t</m:t>
              </m:r>
            </m:sub>
          </m:sSub>
          <m:r>
            <m:rPr>
              <m:sty m:val="p"/>
            </m:rPr>
            <m:t>)</m:t>
          </m:r>
          <m:r>
            <m:rPr>
              <m:sty m:val="p"/>
            </m:rPr>
            <m:t>+</m:t>
          </m:r>
          <m:sSub>
            <m:e>
              <m:r>
                <m:t>w</m:t>
              </m:r>
            </m:e>
            <m:sub>
              <m:r>
                <m:rPr>
                  <m:sty m:val="p"/>
                </m:rPr>
                <m:t>m</m:t>
              </m:r>
            </m:sub>
          </m:sSub>
          <m:sSub>
            <m:e>
              <m:r>
                <m:t>A</m:t>
              </m:r>
            </m:e>
            <m:sub>
              <m:r>
                <m:rPr>
                  <m:sty m:val="p"/>
                </m:rPr>
                <m:t>m</m:t>
              </m:r>
              <m:r>
                <m:rPr>
                  <m:sty m:val="p"/>
                </m:rPr>
                <m:t>e</m:t>
              </m:r>
              <m:r>
                <m:rPr>
                  <m:sty m:val="p"/>
                </m:rPr>
                <m:t>d</m:t>
              </m:r>
              <m:r>
                <m:rPr>
                  <m:sty m:val="p"/>
                </m:rPr>
                <m:t>i</m:t>
              </m:r>
              <m:r>
                <m:rPr>
                  <m:sty m:val="p"/>
                </m:rPr>
                <m:t>u</m:t>
              </m:r>
              <m:r>
                <m:rPr>
                  <m:sty m:val="p"/>
                </m:rPr>
                <m:t>m</m:t>
              </m:r>
            </m:sub>
          </m:sSub>
          <m:r>
            <m:rPr>
              <m:sty m:val="p"/>
            </m:rPr>
            <m:t>(</m:t>
          </m:r>
          <m:sSub>
            <m:e>
              <m:r>
                <m:t>s</m:t>
              </m:r>
            </m:e>
            <m:sub>
              <m:r>
                <m:t>t</m:t>
              </m:r>
            </m:sub>
          </m:sSub>
          <m:r>
            <m:rPr>
              <m:sty m:val="p"/>
            </m:rPr>
            <m:t>)</m:t>
          </m:r>
          <m:r>
            <m:rPr>
              <m:sty m:val="p"/>
            </m:rPr>
            <m:t>+</m:t>
          </m:r>
          <m:sSub>
            <m:e>
              <m:r>
                <m:t>w</m:t>
              </m:r>
            </m:e>
            <m:sub>
              <m:r>
                <m:rPr>
                  <m:sty m:val="p"/>
                </m:rPr>
                <m:t>l</m:t>
              </m:r>
            </m:sub>
          </m:sSub>
          <m:sSub>
            <m:e>
              <m:r>
                <m:t>A</m:t>
              </m:r>
            </m:e>
            <m:sub>
              <m:r>
                <m:rPr>
                  <m:sty m:val="p"/>
                </m:rPr>
                <m:t>l</m:t>
              </m:r>
              <m:r>
                <m:rPr>
                  <m:sty m:val="p"/>
                </m:rPr>
                <m:t>o</m:t>
              </m:r>
              <m:r>
                <m:rPr>
                  <m:sty m:val="p"/>
                </m:rPr>
                <m:t>n</m:t>
              </m:r>
              <m:r>
                <m:rPr>
                  <m:sty m:val="p"/>
                </m:rPr>
                <m:t>g</m:t>
              </m:r>
            </m:sub>
          </m:sSub>
          <m:r>
            <m:rPr>
              <m:sty m:val="p"/>
            </m:rPr>
            <m:t>(</m:t>
          </m:r>
          <m:sSub>
            <m:e>
              <m:r>
                <m:t>s</m:t>
              </m:r>
            </m:e>
            <m:sub>
              <m:r>
                <m:t>t</m:t>
              </m:r>
            </m:sub>
          </m:sSub>
          <m:r>
            <m:rPr>
              <m:sty m:val="p"/>
            </m:rPr>
            <m:t>)</m:t>
          </m:r>
        </m:oMath>
      </m:oMathPara>
    </w:p>
    <w:p>
      <w:pPr>
        <w:pStyle w:val="FirstParagraph"/>
      </w:pPr>
      <w:r>
        <w:rPr>
          <w:rFonts w:hint="eastAsia"/>
        </w:rPr>
        <w:t xml:space="preserve">其中</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0</m:t>
        </m:r>
      </m:oMath>
      <w:r>
        <w:t xml:space="preserve"> </w:t>
      </w:r>
      <w:r>
        <w:rPr>
          <w:rFonts w:hint="eastAsia"/>
        </w:rPr>
        <w:t xml:space="preserve">且</w:t>
      </w:r>
      <w:r>
        <w:t xml:space="preserve"> </w:t>
      </w:r>
      <m:oMath>
        <m:sSub>
          <m:e>
            <m:r>
              <m:t>w</m:t>
            </m:r>
          </m:e>
          <m:sub>
            <m:r>
              <m:rPr>
                <m:sty m:val="p"/>
              </m:rPr>
              <m:t>s</m:t>
            </m:r>
          </m:sub>
        </m:sSub>
        <m:r>
          <m:rPr>
            <m:sty m:val="p"/>
          </m:rPr>
          <m:t>+</m:t>
        </m:r>
        <m:sSub>
          <m:e>
            <m:r>
              <m:t>w</m:t>
            </m:r>
          </m:e>
          <m:sub>
            <m:r>
              <m:rPr>
                <m:sty m:val="p"/>
              </m:rPr>
              <m:t>m</m:t>
            </m:r>
          </m:sub>
        </m:sSub>
        <m:r>
          <m:rPr>
            <m:sty m:val="p"/>
          </m:rPr>
          <m:t>+</m:t>
        </m:r>
        <m:sSub>
          <m:e>
            <m:r>
              <m:t>w</m:t>
            </m:r>
          </m:e>
          <m:sub>
            <m:r>
              <m:rPr>
                <m:sty m:val="p"/>
              </m:rPr>
              <m:t>l</m:t>
            </m:r>
          </m:sub>
        </m:sSub>
        <m:r>
          <m:rPr>
            <m:sty m:val="p"/>
          </m:rPr>
          <m:t>=</m:t>
        </m:r>
        <m:r>
          <m:t>1</m:t>
        </m:r>
      </m:oMath>
      <w:r>
        <w:t xml:space="preserve"> </w:t>
      </w:r>
      <w:r>
        <w:rPr>
          <w:rFonts w:hint="eastAsia"/>
        </w:rPr>
        <w:t xml:space="preserve">分别代表对应时间尺度的融合权重。</w:t>
      </w:r>
    </w:p>
    <w:p>
      <w:pPr>
        <w:pStyle w:val="BodyText"/>
      </w:pPr>
      <w:r>
        <w:rPr>
          <w:rFonts w:hint="eastAsia"/>
        </w:rPr>
        <w:t xml:space="preserve">采用多尺度融合的原因在于，建筑</w:t>
      </w:r>
      <w:r>
        <w:t xml:space="preserve"> HVAC </w:t>
      </w:r>
      <w:r>
        <w:rPr>
          <w:rFonts w:hint="eastAsia"/>
        </w:rPr>
        <w:t xml:space="preserve">系统通常同时受到短时扰动、日内周期变化和长期慢变漂移的共同影响。若仅依赖短时分数，门控机制虽能快速响应人员聚集、设备启停等局部突变，但更容易受到传感器高频噪声或正常瞬态波动的干扰，进而导致触发频率偏高。若仅依赖长时分数，虽然能够提供更稳健的历史参考基线，但对突发热扰动的响应可能不足。若仅结合短时与中时分数，则难以刻画季节更替、设备老化或结构热阻漂移引起的慢变过程。基于此，本文通过短、中、长三个时间尺度的加权融合，同时兼顾突发扰动感知、周期规律表征与长期基线跟踪，从而提高门控机制在非平稳场景下的适应性与鲁棒性。</w:t>
      </w:r>
    </w:p>
    <w:p>
      <w:pPr>
        <w:pStyle w:val="Compact"/>
        <w:numPr>
          <w:ilvl w:val="0"/>
          <w:numId w:val="1005"/>
        </w:numPr>
      </w:pPr>
      <w:r>
        <w:rPr>
          <w:rFonts w:hint="eastAsia"/>
        </w:rPr>
        <w:t xml:space="preserve">流式双层自适应阈值优化</w:t>
      </w:r>
    </w:p>
    <w:p>
      <w:pPr>
        <w:pStyle w:val="FirstParagraph"/>
      </w:pPr>
      <w:r>
        <w:rPr>
          <w:rFonts w:hint="eastAsia"/>
        </w:rPr>
        <w:t xml:space="preserve">为将连续异常分数转化为稳健的控制触发判定，本文构建了包含局部阈值与全局阈值的双层自适应动态门限机制。若仅依托固定阈值或单一更新速率的自适应阈值，门控系统容易面临灵敏度与稳定性的权衡困境。更新过快会导致阈值被近期异常数据严重干扰，从而自身发生剧烈震荡并掩盖后续的真实异常；更新过慢则会在系统面临工作区间发生整体跃变时持续越限，进而导致频繁误触发和计算资源的无效损耗。为突破此类局限，本文引入了局部快变与全局慢变双阈值相耦合的自适应监控架构。</w:t>
      </w:r>
    </w:p>
    <w:p>
      <w:pPr>
        <w:pStyle w:val="BodyText"/>
      </w:pPr>
      <w:r>
        <w:rPr>
          <w:rFonts w:hint="eastAsia"/>
        </w:rPr>
        <w:t xml:space="preserve">设最近</w:t>
      </w:r>
      <w:r>
        <w:t xml:space="preserve"> </w:t>
      </w:r>
      <m:oMath>
        <m:r>
          <m:t>W</m:t>
        </m:r>
      </m:oMath>
      <w:r>
        <w:t xml:space="preserve"> </w:t>
      </w:r>
      <w:r>
        <w:rPr>
          <w:rFonts w:hint="eastAsia"/>
        </w:rPr>
        <w:t xml:space="preserve">个异常分数组成滑动历史窗口集合</w:t>
      </w:r>
      <w:r>
        <w:t xml:space="preserve"> </w:t>
      </w:r>
      <m:oMath>
        <m:sSub>
          <m:e>
            <m:r>
              <m:rPr>
                <m:scr m:val="script"/>
                <m:sty m:val="p"/>
              </m:rPr>
              <m:t>A</m:t>
            </m:r>
          </m:e>
          <m:sub>
            <m:r>
              <m:t>t</m:t>
            </m:r>
          </m:sub>
        </m:sSub>
        <m:r>
          <m:rPr>
            <m:sty m:val="p"/>
          </m:rPr>
          <m:t>=</m:t>
        </m:r>
        <m:r>
          <m:rPr>
            <m:sty m:val="p"/>
          </m:rPr>
          <m:t>{</m:t>
        </m:r>
        <m:r>
          <m:t>A</m:t>
        </m:r>
        <m:r>
          <m:rPr>
            <m:sty m:val="p"/>
          </m:rPr>
          <m:t>(</m:t>
        </m:r>
        <m:sSub>
          <m:e>
            <m:r>
              <m:t>s</m:t>
            </m:r>
          </m:e>
          <m:sub>
            <m:r>
              <m:t>t</m:t>
            </m:r>
            <m:r>
              <m:rPr>
                <m:sty m:val="p"/>
              </m:rPr>
              <m:t>−</m:t>
            </m:r>
            <m:r>
              <m:t>W</m:t>
            </m:r>
            <m:r>
              <m:rPr>
                <m:sty m:val="p"/>
              </m:rPr>
              <m:t>+</m:t>
            </m:r>
            <m:r>
              <m:t>1</m:t>
            </m:r>
          </m:sub>
        </m:sSub>
        <m:r>
          <m:rPr>
            <m:sty m:val="p"/>
          </m:rPr>
          <m:t>)</m:t>
        </m:r>
        <m:r>
          <m:rPr>
            <m:sty m:val="p"/>
          </m:rPr>
          <m:t>,</m:t>
        </m:r>
        <m:r>
          <m:rPr>
            <m:sty m:val="p"/>
          </m:rPr>
          <m:t>…</m:t>
        </m:r>
        <m:r>
          <m:rPr>
            <m:sty m:val="p"/>
          </m:rPr>
          <m:t>,</m:t>
        </m:r>
        <m:r>
          <m:t>A</m:t>
        </m:r>
        <m:r>
          <m:rPr>
            <m:sty m:val="p"/>
          </m:rPr>
          <m:t>(</m:t>
        </m:r>
        <m:sSub>
          <m:e>
            <m:r>
              <m:t>s</m:t>
            </m:r>
          </m:e>
          <m:sub>
            <m:r>
              <m:t>t</m:t>
            </m:r>
          </m:sub>
        </m:sSub>
        <m:r>
          <m:rPr>
            <m:sty m:val="p"/>
          </m:rPr>
          <m:t>)</m:t>
        </m:r>
        <m:r>
          <m:rPr>
            <m:sty m:val="p"/>
          </m:rPr>
          <m:t>}</m:t>
        </m:r>
      </m:oMath>
      <w:r>
        <w:rPr>
          <w:rFonts w:hint="eastAsia"/>
        </w:rPr>
        <w:t xml:space="preserve">。阈值估计的核心目标是在含噪非平稳流式数据中持续提取稳定且可迁移的判别基线。相较于易受异常离群点影响的传统均值和标准差，本模块优先提取反映非参数分布特性的稳健分位数阈值与鲁棒统计阈值：</w:t>
      </w:r>
    </w:p>
    <w:p>
      <w:pPr>
        <w:pStyle w:val="BodyText"/>
      </w:pPr>
      <m:oMathPara>
        <m:oMathParaPr>
          <m:jc m:val="center"/>
        </m:oMathParaPr>
        <m:oMath>
          <m:sSubSup>
            <m:e>
              <m:r>
                <m:t>τ</m:t>
              </m:r>
            </m:e>
            <m:sub>
              <m:r>
                <m:t>q</m:t>
              </m:r>
            </m:sub>
            <m:sup>
              <m:r>
                <m:rPr>
                  <m:sty m:val="p"/>
                </m:rPr>
                <m:t>(</m:t>
              </m:r>
              <m:r>
                <m:t>t</m:t>
              </m:r>
              <m:r>
                <m:rPr>
                  <m:sty m:val="p"/>
                </m:rPr>
                <m:t>)</m:t>
              </m:r>
            </m:sup>
          </m:sSubSup>
          <m:r>
            <m:rPr>
              <m:sty m:val="p"/>
            </m:rPr>
            <m:t>=</m:t>
          </m:r>
          <m:sSub>
            <m:e>
              <m:r>
                <m:t>Q</m:t>
              </m:r>
            </m:e>
            <m:sub>
              <m:r>
                <m:t>q</m:t>
              </m:r>
            </m:sub>
          </m:sSub>
          <m:r>
            <m:rPr>
              <m:sty m:val="p"/>
            </m:rPr>
            <m:t>(</m:t>
          </m:r>
          <m:sSub>
            <m:e>
              <m:r>
                <m:rPr>
                  <m:scr m:val="script"/>
                  <m:sty m:val="p"/>
                </m:rPr>
                <m:t>A</m:t>
              </m:r>
            </m:e>
            <m:sub>
              <m:r>
                <m:t>t</m:t>
              </m:r>
            </m:sub>
          </m:sSub>
          <m:r>
            <m:rPr>
              <m:sty m:val="p"/>
            </m:rPr>
            <m:t>)</m:t>
          </m:r>
          <m:r>
            <m:rPr>
              <m:sty m:val="p"/>
            </m:rPr>
            <m:t>,</m:t>
          </m:r>
          <m:r>
            <m:t> </m:t>
          </m:r>
          <m:sSubSup>
            <m:e>
              <m:r>
                <m:t>τ</m:t>
              </m:r>
            </m:e>
            <m:sub>
              <m:r>
                <m:rPr>
                  <m:sty m:val="p"/>
                </m:rPr>
                <m:t>m</m:t>
              </m:r>
              <m:r>
                <m:rPr>
                  <m:sty m:val="p"/>
                </m:rPr>
                <m:t>a</m:t>
              </m:r>
              <m:r>
                <m:rPr>
                  <m:sty m:val="p"/>
                </m:rPr>
                <m:t>d</m:t>
              </m:r>
            </m:sub>
            <m:sup>
              <m:r>
                <m:rPr>
                  <m:sty m:val="p"/>
                </m:rPr>
                <m:t>(</m:t>
              </m:r>
              <m:r>
                <m:t>t</m:t>
              </m:r>
              <m:r>
                <m:rPr>
                  <m:sty m:val="p"/>
                </m:rPr>
                <m:t>)</m:t>
              </m:r>
            </m:sup>
          </m:sSubSup>
          <m:r>
            <m:rPr>
              <m:sty m:val="p"/>
            </m:rPr>
            <m:t>=</m:t>
          </m:r>
          <m:r>
            <m:rPr>
              <m:sty m:val="p"/>
            </m:rPr>
            <m:t>med</m:t>
          </m:r>
          <m:r>
            <m:rPr>
              <m:sty m:val="p"/>
            </m:rPr>
            <m:t>(</m:t>
          </m:r>
          <m:sSub>
            <m:e>
              <m:r>
                <m:rPr>
                  <m:scr m:val="script"/>
                  <m:sty m:val="p"/>
                </m:rPr>
                <m:t>A</m:t>
              </m:r>
            </m:e>
            <m:sub>
              <m:r>
                <m:t>t</m:t>
              </m:r>
            </m:sub>
          </m:sSub>
          <m:r>
            <m:rPr>
              <m:sty m:val="p"/>
            </m:rPr>
            <m:t>)</m:t>
          </m:r>
          <m:r>
            <m:rPr>
              <m:sty m:val="p"/>
            </m:rPr>
            <m:t>+</m:t>
          </m:r>
          <m:r>
            <m:t>κ</m:t>
          </m:r>
          <m:r>
            <m:rPr>
              <m:sty m:val="p"/>
            </m:rPr>
            <m:t>⋅</m:t>
          </m:r>
          <m:r>
            <m:t>c</m:t>
          </m:r>
          <m:r>
            <m:rPr>
              <m:sty m:val="p"/>
            </m:rPr>
            <m:t>⋅</m:t>
          </m:r>
          <m:r>
            <m:rPr>
              <m:sty m:val="p"/>
            </m:rPr>
            <m:t>MAD</m:t>
          </m:r>
          <m:r>
            <m:rPr>
              <m:sty m:val="p"/>
            </m:rPr>
            <m:t>(</m:t>
          </m:r>
          <m:sSub>
            <m:e>
              <m:r>
                <m:rPr>
                  <m:scr m:val="script"/>
                  <m:sty m:val="p"/>
                </m:rPr>
                <m:t>A</m:t>
              </m:r>
            </m:e>
            <m:sub>
              <m:r>
                <m:t>t</m:t>
              </m:r>
            </m:sub>
          </m:sSub>
          <m:r>
            <m:rPr>
              <m:sty m:val="p"/>
            </m:rPr>
            <m:t>)</m:t>
          </m:r>
        </m:oMath>
      </m:oMathPara>
    </w:p>
    <w:p>
      <w:pPr>
        <w:pStyle w:val="FirstParagraph"/>
      </w:pPr>
      <m:oMathPara>
        <m:oMathParaPr>
          <m:jc m:val="center"/>
        </m:oMathParaPr>
        <m:oMath>
          <m:r>
            <m:rPr>
              <m:sty m:val="p"/>
            </m:rPr>
            <m:t>MAD</m:t>
          </m:r>
          <m:r>
            <m:rPr>
              <m:sty m:val="p"/>
            </m:rPr>
            <m:t>(</m:t>
          </m:r>
          <m:sSub>
            <m:e>
              <m:r>
                <m:rPr>
                  <m:scr m:val="script"/>
                  <m:sty m:val="p"/>
                </m:rPr>
                <m:t>A</m:t>
              </m:r>
            </m:e>
            <m:sub>
              <m:r>
                <m:t>t</m:t>
              </m:r>
            </m:sub>
          </m:sSub>
          <m:r>
            <m:rPr>
              <m:sty m:val="p"/>
            </m:rPr>
            <m:t>)</m:t>
          </m:r>
          <m:r>
            <m:rPr>
              <m:sty m:val="p"/>
            </m:rPr>
            <m:t>=</m:t>
          </m:r>
          <m:r>
            <m:rPr>
              <m:sty m:val="p"/>
            </m:rPr>
            <m:t>med</m:t>
          </m:r>
          <m:d>
            <m:dPr>
              <m:begChr m:val="("/>
              <m:sepChr m:val=""/>
              <m:endChr m:val=")"/>
              <m:grow/>
            </m:dPr>
            <m:e>
              <m:d>
                <m:dPr>
                  <m:begChr m:val="|"/>
                  <m:sepChr m:val=""/>
                  <m:endChr m:val="|"/>
                  <m:grow/>
                </m:dPr>
                <m:e>
                  <m:r>
                    <m:t>a</m:t>
                  </m:r>
                  <m:r>
                    <m:rPr>
                      <m:sty m:val="p"/>
                    </m:rPr>
                    <m:t>−</m:t>
                  </m:r>
                  <m:r>
                    <m:rPr>
                      <m:sty m:val="p"/>
                    </m:rPr>
                    <m:t>med</m:t>
                  </m:r>
                  <m:r>
                    <m:rPr>
                      <m:sty m:val="p"/>
                    </m:rPr>
                    <m:t>(</m:t>
                  </m:r>
                  <m:sSub>
                    <m:e>
                      <m:r>
                        <m:rPr>
                          <m:scr m:val="script"/>
                          <m:sty m:val="p"/>
                        </m:rPr>
                        <m:t>A</m:t>
                      </m:r>
                    </m:e>
                    <m:sub>
                      <m:r>
                        <m:t>t</m:t>
                      </m:r>
                    </m:sub>
                  </m:sSub>
                  <m:r>
                    <m:rPr>
                      <m:sty m:val="p"/>
                    </m:rPr>
                    <m:t>)</m:t>
                  </m:r>
                </m:e>
              </m:d>
            </m:e>
          </m:d>
          <m:r>
            <m:rPr>
              <m:sty m:val="p"/>
            </m:rPr>
            <m:t>,</m:t>
          </m:r>
          <m:r>
            <m:t> </m:t>
          </m:r>
          <m:r>
            <m:t>a</m:t>
          </m:r>
          <m:r>
            <m:rPr>
              <m:sty m:val="p"/>
            </m:rPr>
            <m:t>∈</m:t>
          </m:r>
          <m:sSub>
            <m:e>
              <m:r>
                <m:rPr>
                  <m:scr m:val="script"/>
                  <m:sty m:val="p"/>
                </m:rPr>
                <m:t>A</m:t>
              </m:r>
            </m:e>
            <m:sub>
              <m:r>
                <m:t>t</m:t>
              </m:r>
            </m:sub>
          </m:sSub>
        </m:oMath>
      </m:oMathPara>
    </w:p>
    <w:p>
      <w:pPr>
        <w:pStyle w:val="FirstParagraph"/>
      </w:pPr>
      <w:r>
        <w:rPr>
          <w:rFonts w:hint="eastAsia"/>
        </w:rPr>
        <w:t xml:space="preserve">其中，</w:t>
      </w:r>
      <m:oMath>
        <m:sSub>
          <m:e>
            <m:r>
              <m:t>Q</m:t>
            </m:r>
          </m:e>
          <m:sub>
            <m:r>
              <m:t>q</m:t>
            </m:r>
          </m:sub>
        </m:sSub>
        <m:r>
          <m:rPr>
            <m:sty m:val="p"/>
          </m:rPr>
          <m:t>(</m:t>
        </m:r>
        <m:r>
          <m:rPr>
            <m:sty m:val="p"/>
          </m:rPr>
          <m:t>⋅</m:t>
        </m:r>
        <m:r>
          <m:rPr>
            <m:sty m:val="p"/>
          </m:rPr>
          <m:t>)</m:t>
        </m:r>
      </m:oMath>
      <w:r>
        <w:t xml:space="preserve"> </w:t>
      </w:r>
      <w:r>
        <w:rPr>
          <w:rFonts w:hint="eastAsia"/>
        </w:rPr>
        <w:t xml:space="preserve">表示集合的高分位点；</w:t>
      </w:r>
      <m:oMath>
        <m:r>
          <m:rPr>
            <m:sty m:val="p"/>
          </m:rPr>
          <m:t>med</m:t>
        </m:r>
        <m:r>
          <m:rPr>
            <m:sty m:val="p"/>
          </m:rPr>
          <m:t>(</m:t>
        </m:r>
        <m:r>
          <m:rPr>
            <m:sty m:val="p"/>
          </m:rPr>
          <m:t>⋅</m:t>
        </m:r>
        <m:r>
          <m:rPr>
            <m:sty m:val="p"/>
          </m:rPr>
          <m:t>)</m:t>
        </m:r>
      </m:oMath>
      <w:r>
        <w:t xml:space="preserve"> </w:t>
      </w:r>
      <w:r>
        <w:rPr>
          <w:rFonts w:hint="eastAsia"/>
        </w:rPr>
        <w:t xml:space="preserve">为中位数函数；绝对中位差（</w:t>
      </w:r>
      <m:oMath>
        <m:r>
          <m:rPr>
            <m:sty m:val="p"/>
          </m:rPr>
          <m:t>MAD</m:t>
        </m:r>
      </m:oMath>
      <w:r>
        <w:rPr>
          <w:rFonts w:hint="eastAsia"/>
        </w:rPr>
        <w:t xml:space="preserve">）的作用在于消除潜在持续型异常对系统离散程度估计的偏差干扰，以维持真实的稳健基线；</w:t>
      </w:r>
      <m:oMath>
        <m:r>
          <m:t>κ</m:t>
        </m:r>
      </m:oMath>
      <w:r>
        <w:t xml:space="preserve"> </w:t>
      </w:r>
      <w:r>
        <w:rPr>
          <w:rFonts w:hint="eastAsia"/>
        </w:rPr>
        <w:t xml:space="preserve">为灵敏度调节系数，</w:t>
      </w:r>
      <m:oMath>
        <m:r>
          <m:t>c</m:t>
        </m:r>
        <m:r>
          <m:rPr>
            <m:sty m:val="p"/>
          </m:rPr>
          <m:t>≈</m:t>
        </m:r>
        <m:r>
          <m:t>1.4826</m:t>
        </m:r>
      </m:oMath>
      <w:r>
        <w:t xml:space="preserve"> </w:t>
      </w:r>
      <w:r>
        <w:rPr>
          <w:rFonts w:hint="eastAsia"/>
        </w:rPr>
        <w:t xml:space="preserve">为保证渐近无偏估计的分布一致性常数。上述构造的理论依据在于：分位数估计主要提供阈值位置的鲁棒锚点，而</w:t>
      </w:r>
      <w:r>
        <w:t xml:space="preserve"> </w:t>
      </w:r>
      <m:oMath>
        <m:r>
          <m:rPr>
            <m:sty m:val="p"/>
          </m:rPr>
          <m:t>MAD</m:t>
        </m:r>
      </m:oMath>
      <w:r>
        <w:t xml:space="preserve"> </w:t>
      </w:r>
      <w:r>
        <w:rPr>
          <w:rFonts w:hint="eastAsia"/>
        </w:rPr>
        <w:t xml:space="preserve">提供尺度层面的鲁棒校正，两者融合可同时约束位置漂移与尺度膨胀带来的阈值失真。基于此，局部候选阈值由二者加权融合得到：</w:t>
      </w:r>
    </w:p>
    <w:p>
      <w:pPr>
        <w:pStyle w:val="BodyText"/>
      </w:pPr>
      <m:oMathPara>
        <m:oMathParaPr>
          <m:jc m:val="center"/>
        </m:oMathParaPr>
        <m:oMath>
          <m:sSubSup>
            <m:e>
              <m:r>
                <m:t>τ</m:t>
              </m:r>
            </m:e>
            <m:sub>
              <m:r>
                <m:rPr>
                  <m:sty m:val="p"/>
                </m:rPr>
                <m:t>c</m:t>
              </m:r>
              <m:r>
                <m:rPr>
                  <m:sty m:val="p"/>
                </m:rPr>
                <m:t>a</m:t>
              </m:r>
              <m:r>
                <m:rPr>
                  <m:sty m:val="p"/>
                </m:rPr>
                <m:t>n</m:t>
              </m:r>
              <m:r>
                <m:rPr>
                  <m:sty m:val="p"/>
                </m:rPr>
                <m:t>d</m:t>
              </m:r>
            </m:sub>
            <m:sup>
              <m:r>
                <m:rPr>
                  <m:sty m:val="p"/>
                </m:rPr>
                <m:t>(</m:t>
              </m:r>
              <m:r>
                <m:t>t</m:t>
              </m:r>
              <m:r>
                <m:rPr>
                  <m:sty m:val="p"/>
                </m:rPr>
                <m:t>)</m:t>
              </m:r>
            </m:sup>
          </m:sSubSup>
          <m:r>
            <m:rPr>
              <m:sty m:val="p"/>
            </m:rPr>
            <m:t>=</m:t>
          </m:r>
          <m:sSub>
            <m:e>
              <m:r>
                <m:t>ω</m:t>
              </m:r>
            </m:e>
            <m:sub>
              <m:r>
                <m:t>q</m:t>
              </m:r>
            </m:sub>
          </m:sSub>
          <m:sSubSup>
            <m:e>
              <m:r>
                <m:t>τ</m:t>
              </m:r>
            </m:e>
            <m:sub>
              <m:r>
                <m:t>q</m:t>
              </m:r>
            </m:sub>
            <m:sup>
              <m:r>
                <m:rPr>
                  <m:sty m:val="p"/>
                </m:rPr>
                <m:t>(</m:t>
              </m:r>
              <m:r>
                <m:t>t</m:t>
              </m:r>
              <m:r>
                <m:rPr>
                  <m:sty m:val="p"/>
                </m:rPr>
                <m:t>)</m:t>
              </m:r>
            </m:sup>
          </m:sSubSup>
          <m:r>
            <m:rPr>
              <m:sty m:val="p"/>
            </m:rPr>
            <m:t>+</m:t>
          </m:r>
          <m:r>
            <m:rPr>
              <m:sty m:val="p"/>
            </m:rPr>
            <m:t>(</m:t>
          </m:r>
          <m:r>
            <m:t>1</m:t>
          </m:r>
          <m:r>
            <m:rPr>
              <m:sty m:val="p"/>
            </m:rPr>
            <m:t>−</m:t>
          </m:r>
          <m:sSub>
            <m:e>
              <m:r>
                <m:t>ω</m:t>
              </m:r>
            </m:e>
            <m:sub>
              <m:r>
                <m:t>q</m:t>
              </m:r>
            </m:sub>
          </m:sSub>
          <m:r>
            <m:rPr>
              <m:sty m:val="p"/>
            </m:rPr>
            <m:t>)</m:t>
          </m:r>
          <m:sSubSup>
            <m:e>
              <m:r>
                <m:t>τ</m:t>
              </m:r>
            </m:e>
            <m:sub>
              <m:r>
                <m:rPr>
                  <m:sty m:val="p"/>
                </m:rPr>
                <m:t>m</m:t>
              </m:r>
              <m:r>
                <m:rPr>
                  <m:sty m:val="p"/>
                </m:rPr>
                <m:t>a</m:t>
              </m:r>
              <m:r>
                <m:rPr>
                  <m:sty m:val="p"/>
                </m:rPr>
                <m:t>d</m:t>
              </m:r>
            </m:sub>
            <m:sup>
              <m:r>
                <m:rPr>
                  <m:sty m:val="p"/>
                </m:rPr>
                <m:t>(</m:t>
              </m:r>
              <m:r>
                <m:t>t</m:t>
              </m:r>
              <m:r>
                <m:rPr>
                  <m:sty m:val="p"/>
                </m:rPr>
                <m:t>)</m:t>
              </m:r>
            </m:sup>
          </m:sSubSup>
        </m:oMath>
      </m:oMathPara>
    </w:p>
    <w:p>
      <w:pPr>
        <w:pStyle w:val="FirstParagraph"/>
      </w:pPr>
      <w:r>
        <w:rPr>
          <w:rFonts w:hint="eastAsia"/>
        </w:rPr>
        <w:t xml:space="preserve">其中，</w:t>
      </w:r>
      <m:oMath>
        <m:sSub>
          <m:e>
            <m:r>
              <m:t>ω</m:t>
            </m:r>
          </m:e>
          <m:sub>
            <m:r>
              <m:t>q</m:t>
            </m:r>
          </m:sub>
        </m:sSub>
        <m:r>
          <m:rPr>
            <m:sty m:val="p"/>
          </m:rPr>
          <m:t>∈</m:t>
        </m:r>
        <m:r>
          <m:rPr>
            <m:sty m:val="p"/>
          </m:rPr>
          <m:t>[</m:t>
        </m:r>
        <m:r>
          <m:t>0</m:t>
        </m:r>
        <m:r>
          <m:rPr>
            <m:sty m:val="p"/>
          </m:rPr>
          <m:t>,</m:t>
        </m:r>
        <m:r>
          <m:t>1</m:t>
        </m:r>
        <m:r>
          <m:rPr>
            <m:sty m:val="p"/>
          </m:rPr>
          <m:t>]</m:t>
        </m:r>
      </m:oMath>
      <w:r>
        <w:t xml:space="preserve"> </w:t>
      </w:r>
      <w:r>
        <w:rPr>
          <w:rFonts w:hint="eastAsia"/>
        </w:rPr>
        <w:t xml:space="preserve">为加权系数。该系数本质上控制分位数主导与尺度修正主导之间的权衡：</w:t>
      </w:r>
      <m:oMath>
        <m:sSub>
          <m:e>
            <m:r>
              <m:t>ω</m:t>
            </m:r>
          </m:e>
          <m:sub>
            <m:r>
              <m:t>q</m:t>
            </m:r>
          </m:sub>
        </m:sSub>
      </m:oMath>
      <w:r>
        <w:t xml:space="preserve"> </w:t>
      </w:r>
      <w:r>
        <w:rPr>
          <w:rFonts w:hint="eastAsia"/>
        </w:rPr>
        <w:t xml:space="preserve">增大时阈值更侧重位置稳健性，</w:t>
      </w:r>
      <m:oMath>
        <m:sSub>
          <m:e>
            <m:r>
              <m:t>ω</m:t>
            </m:r>
          </m:e>
          <m:sub>
            <m:r>
              <m:t>q</m:t>
            </m:r>
          </m:sub>
        </m:sSub>
      </m:oMath>
      <w:r>
        <w:t xml:space="preserve"> </w:t>
      </w:r>
      <w:r>
        <w:rPr>
          <w:rFonts w:hint="eastAsia"/>
        </w:rPr>
        <w:t xml:space="preserve">减小时阈值更敏感于离散程度变化。考虑到单步工况跳变可能带来的高频瞬态波动，系统不直接采纳单次候选值，而是引入一阶离散低通滤波对其进行局部平滑：</w:t>
      </w:r>
    </w:p>
    <w:p>
      <w:pPr>
        <w:pStyle w:val="BodyText"/>
      </w:pPr>
      <m:oMathPara>
        <m:oMathParaPr>
          <m:jc m:val="center"/>
        </m:oMathParaPr>
        <m:oMath>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l</m:t>
              </m:r>
              <m:r>
                <m:rPr>
                  <m:sty m:val="p"/>
                </m:rPr>
                <m:t>o</m:t>
              </m:r>
              <m:r>
                <m:rPr>
                  <m:sty m:val="p"/>
                </m:rPr>
                <m:t>c</m:t>
              </m:r>
              <m:r>
                <m:rPr>
                  <m:sty m:val="p"/>
                </m:rPr>
                <m:t>a</m:t>
              </m:r>
              <m:r>
                <m:rPr>
                  <m:sty m:val="p"/>
                </m:rPr>
                <m:t>l</m:t>
              </m:r>
            </m:sub>
          </m:sSub>
          <m:sSubSup>
            <m:e>
              <m:r>
                <m:t>τ</m:t>
              </m:r>
            </m:e>
            <m:sub>
              <m:r>
                <m:rPr>
                  <m:sty m:val="p"/>
                </m:rPr>
                <m:t>c</m:t>
              </m:r>
              <m:r>
                <m:rPr>
                  <m:sty m:val="p"/>
                </m:rPr>
                <m:t>a</m:t>
              </m:r>
              <m:r>
                <m:rPr>
                  <m:sty m:val="p"/>
                </m:rPr>
                <m:t>n</m:t>
              </m:r>
              <m:r>
                <m:rPr>
                  <m:sty m:val="p"/>
                </m:rPr>
                <m:t>d</m:t>
              </m:r>
            </m:sub>
            <m:sup>
              <m:r>
                <m:rPr>
                  <m:sty m:val="p"/>
                </m:rPr>
                <m:t>(</m:t>
              </m:r>
              <m:r>
                <m:t>t</m:t>
              </m:r>
              <m:r>
                <m:rPr>
                  <m:sty m:val="p"/>
                </m:rPr>
                <m:t>)</m:t>
              </m:r>
            </m:sup>
          </m:sSubSup>
        </m:oMath>
      </m:oMathPara>
    </w:p>
    <w:p>
      <w:pPr>
        <w:pStyle w:val="FirstParagraph"/>
      </w:pPr>
      <w:r>
        <w:rPr>
          <w:rFonts w:hint="eastAsia"/>
        </w:rPr>
        <w:t xml:space="preserve">式中，局部平滑更新率</w:t>
      </w:r>
      <w:r>
        <w:t xml:space="preserve"> </w:t>
      </w:r>
      <m:oMath>
        <m:sSub>
          <m:e>
            <m:r>
              <m:t>λ</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能够在抑制短时噪声震荡的同时，使快变阈值保持对工况模式切换的快速跟踪。较大的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对新样本赋予更高权重，有利于缩短阈值跟踪时滞；较小的</w:t>
      </w:r>
      <w:r>
        <w:t xml:space="preserve"> </w:t>
      </w:r>
      <m:oMath>
        <m:sSub>
          <m:e>
            <m:r>
              <m:t>λ</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则可增强对短时脉冲噪声的抑制能力。由此，局部阈值承担快速适配当前工况的功能。在局部阈值基础上，全局阈值作为历史稳态参考面，通过更强的迟滞效应进行指数移动跟踪：</w:t>
      </w:r>
    </w:p>
    <w:p>
      <w:pPr>
        <w:pStyle w:val="BodyText"/>
      </w:pPr>
      <m:oMathPara>
        <m:oMathParaPr>
          <m:jc m:val="center"/>
        </m:oMathParaPr>
        <m:oMath>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λ</m:t>
              </m:r>
            </m:e>
            <m:sub>
              <m:r>
                <m:rPr>
                  <m:sty m:val="p"/>
                </m:rPr>
                <m:t>g</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r>
                <m:t>1</m:t>
              </m:r>
              <m:r>
                <m:rPr>
                  <m:sty m:val="p"/>
                </m:rPr>
                <m:t>)</m:t>
              </m:r>
            </m:sup>
          </m:sSubSup>
          <m:r>
            <m:rPr>
              <m:sty m:val="p"/>
            </m:rPr>
            <m:t>+</m:t>
          </m:r>
          <m:sSub>
            <m:e>
              <m:r>
                <m:t>λ</m:t>
              </m:r>
            </m:e>
            <m:sub>
              <m:r>
                <m:rPr>
                  <m:sty m:val="p"/>
                </m:rPr>
                <m:t>g</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oMath>
      </m:oMathPara>
    </w:p>
    <w:p>
      <w:pPr>
        <w:pStyle w:val="FirstParagraph"/>
      </w:pPr>
      <w:r>
        <w:rPr>
          <w:rFonts w:hint="eastAsia"/>
        </w:rPr>
        <w:t xml:space="preserve">这里设定</w:t>
      </w:r>
      <w:r>
        <w:t xml:space="preserve"> </w:t>
      </w:r>
      <m:oMath>
        <m:sSub>
          <m:e>
            <m:r>
              <m:t>λ</m:t>
            </m:r>
          </m:e>
          <m:sub>
            <m:r>
              <m:rPr>
                <m:sty m:val="p"/>
              </m:rPr>
              <m:t>g</m:t>
            </m:r>
          </m:sub>
        </m:sSub>
        <m:r>
          <m:rPr>
            <m:sty m:val="p"/>
          </m:rPr>
          <m:t>≪</m:t>
        </m:r>
        <m:sSub>
          <m:e>
            <m:r>
              <m:t>λ</m:t>
            </m:r>
          </m:e>
          <m:sub>
            <m:r>
              <m:rPr>
                <m:sty m:val="p"/>
              </m:rPr>
              <m:t>l</m:t>
            </m:r>
            <m:r>
              <m:rPr>
                <m:sty m:val="p"/>
              </m:rPr>
              <m:t>o</m:t>
            </m:r>
            <m:r>
              <m:rPr>
                <m:sty m:val="p"/>
              </m:rPr>
              <m:t>c</m:t>
            </m:r>
            <m:r>
              <m:rPr>
                <m:sty m:val="p"/>
              </m:rPr>
              <m:t>a</m:t>
            </m:r>
            <m:r>
              <m:rPr>
                <m:sty m:val="p"/>
              </m:rPr>
              <m:t>l</m:t>
            </m:r>
          </m:sub>
        </m:sSub>
      </m:oMath>
      <w:r>
        <w:rPr>
          <w:rFonts w:hint="eastAsia"/>
        </w:rPr>
        <w:t xml:space="preserve">，赋予全局阈值显著的迟滞平滑特性。这种双时间常数级联设计使其在局部特征随工况剧变时充当平滑缓冲，从而稳定跟踪由长期设备老化与季节迁移导致的系统深层演变趋势，并降低阈值被短时异常片段牵引的风险。</w:t>
      </w:r>
    </w:p>
    <w:p>
      <w:pPr>
        <w:pStyle w:val="BodyText"/>
      </w:pPr>
      <w:r>
        <w:rPr>
          <w:rFonts w:hint="eastAsia"/>
        </w:rPr>
        <w:t xml:space="preserve">最终，基础自适应门控阈值由双层信号的耦合构建而成：</w:t>
      </w:r>
    </w:p>
    <w:p>
      <w:pPr>
        <w:pStyle w:val="BodyText"/>
      </w:pPr>
      <m:oMathPara>
        <m:oMathParaPr>
          <m:jc m:val="center"/>
        </m:oMathParaPr>
        <m:oMath>
          <m:sSub>
            <m:e>
              <m:acc>
                <m:accPr>
                  <m:chr m:val="̃"/>
                </m:accPr>
                <m:e>
                  <m:r>
                    <m:t>τ</m:t>
                  </m:r>
                </m:e>
              </m:acc>
            </m:e>
            <m:sub>
              <m:r>
                <m:t>t</m:t>
              </m:r>
            </m:sub>
          </m:sSub>
          <m:r>
            <m:rPr>
              <m:sty m:val="p"/>
            </m:rPr>
            <m:t>=</m:t>
          </m:r>
          <m:sSub>
            <m:e>
              <m:r>
                <m:t>α</m:t>
              </m:r>
            </m:e>
            <m:sub>
              <m:r>
                <m:rPr>
                  <m:sty m:val="p"/>
                </m:rPr>
                <m:t>l</m:t>
              </m:r>
              <m:r>
                <m:rPr>
                  <m:sty m:val="p"/>
                </m:rPr>
                <m:t>o</m:t>
              </m:r>
              <m:r>
                <m:rPr>
                  <m:sty m:val="p"/>
                </m:rPr>
                <m:t>c</m:t>
              </m:r>
              <m:r>
                <m:rPr>
                  <m:sty m:val="p"/>
                </m:rPr>
                <m:t>a</m:t>
              </m:r>
              <m:r>
                <m:rPr>
                  <m:sty m:val="p"/>
                </m:rPr>
                <m:t>l</m:t>
              </m:r>
            </m:sub>
          </m:sSub>
          <m:sSubSup>
            <m:e>
              <m:r>
                <m:t>τ</m:t>
              </m:r>
            </m:e>
            <m:sub>
              <m:r>
                <m:rPr>
                  <m:sty m:val="p"/>
                </m:rPr>
                <m:t>l</m:t>
              </m:r>
              <m:r>
                <m:rPr>
                  <m:sty m:val="p"/>
                </m:rPr>
                <m:t>o</m:t>
              </m:r>
              <m:r>
                <m:rPr>
                  <m:sty m:val="p"/>
                </m:rPr>
                <m:t>c</m:t>
              </m:r>
              <m:r>
                <m:rPr>
                  <m:sty m:val="p"/>
                </m:rPr>
                <m:t>a</m:t>
              </m:r>
              <m:r>
                <m:rPr>
                  <m:sty m:val="p"/>
                </m:rPr>
                <m:t>l</m:t>
              </m:r>
            </m:sub>
            <m:sup>
              <m:r>
                <m:rPr>
                  <m:sty m:val="p"/>
                </m:rPr>
                <m:t>(</m:t>
              </m:r>
              <m:r>
                <m:t>t</m:t>
              </m:r>
              <m:r>
                <m:rPr>
                  <m:sty m:val="p"/>
                </m:rPr>
                <m:t>)</m:t>
              </m:r>
            </m:sup>
          </m:sSubSup>
          <m:r>
            <m:rPr>
              <m:sty m:val="p"/>
            </m:rPr>
            <m:t>+</m:t>
          </m:r>
          <m:r>
            <m:rPr>
              <m:sty m:val="p"/>
            </m:rPr>
            <m:t>(</m:t>
          </m:r>
          <m:r>
            <m:t>1</m:t>
          </m:r>
          <m:r>
            <m:rPr>
              <m:sty m:val="p"/>
            </m:rPr>
            <m:t>−</m:t>
          </m:r>
          <m:sSub>
            <m:e>
              <m:r>
                <m:t>α</m:t>
              </m:r>
            </m:e>
            <m:sub>
              <m:r>
                <m:rPr>
                  <m:sty m:val="p"/>
                </m:rPr>
                <m:t>l</m:t>
              </m:r>
              <m:r>
                <m:rPr>
                  <m:sty m:val="p"/>
                </m:rPr>
                <m:t>o</m:t>
              </m:r>
              <m:r>
                <m:rPr>
                  <m:sty m:val="p"/>
                </m:rPr>
                <m:t>c</m:t>
              </m:r>
              <m:r>
                <m:rPr>
                  <m:sty m:val="p"/>
                </m:rPr>
                <m:t>a</m:t>
              </m:r>
              <m:r>
                <m:rPr>
                  <m:sty m:val="p"/>
                </m:rPr>
                <m:t>l</m:t>
              </m:r>
            </m:sub>
          </m:sSub>
          <m:r>
            <m:rPr>
              <m:sty m:val="p"/>
            </m:rPr>
            <m:t>)</m:t>
          </m:r>
          <m:sSubSup>
            <m:e>
              <m:r>
                <m:t>τ</m:t>
              </m:r>
            </m:e>
            <m:sub>
              <m:r>
                <m:rPr>
                  <m:sty m:val="p"/>
                </m:rPr>
                <m:t>g</m:t>
              </m:r>
              <m:r>
                <m:rPr>
                  <m:sty m:val="p"/>
                </m:rPr>
                <m:t>l</m:t>
              </m:r>
              <m:r>
                <m:rPr>
                  <m:sty m:val="p"/>
                </m:rPr>
                <m:t>o</m:t>
              </m:r>
              <m:r>
                <m:rPr>
                  <m:sty m:val="p"/>
                </m:rPr>
                <m:t>b</m:t>
              </m:r>
              <m:r>
                <m:rPr>
                  <m:sty m:val="p"/>
                </m:rPr>
                <m:t>a</m:t>
              </m:r>
              <m:r>
                <m:rPr>
                  <m:sty m:val="p"/>
                </m:rPr>
                <m:t>l</m:t>
              </m:r>
            </m:sub>
            <m:sup>
              <m:r>
                <m:rPr>
                  <m:sty m:val="p"/>
                </m:rPr>
                <m:t>(</m:t>
              </m:r>
              <m:r>
                <m:t>t</m:t>
              </m:r>
              <m:r>
                <m:rPr>
                  <m:sty m:val="p"/>
                </m:rPr>
                <m:t>)</m:t>
              </m:r>
            </m:sup>
          </m:sSubSup>
          <m:r>
            <m:rPr>
              <m:sty m:val="p"/>
            </m:rPr>
            <m:t>+</m:t>
          </m:r>
          <m:sSub>
            <m:e>
              <m:r>
                <m:t>b</m:t>
              </m:r>
            </m:e>
            <m:sub>
              <m:r>
                <m:rPr>
                  <m:sty m:val="p"/>
                </m:rPr>
                <m:t>b</m:t>
              </m:r>
              <m:r>
                <m:rPr>
                  <m:sty m:val="p"/>
                </m:rPr>
                <m:t>i</m:t>
              </m:r>
              <m:r>
                <m:rPr>
                  <m:sty m:val="p"/>
                </m:rPr>
                <m:t>a</m:t>
              </m:r>
              <m:r>
                <m:rPr>
                  <m:sty m:val="p"/>
                </m:rPr>
                <m:t>s</m:t>
              </m:r>
            </m:sub>
          </m:sSub>
        </m:oMath>
      </m:oMathPara>
    </w:p>
    <w:p>
      <w:pPr>
        <w:pStyle w:val="FirstParagraph"/>
      </w:pPr>
      <w:r>
        <w:rPr>
          <w:rFonts w:hint="eastAsia"/>
        </w:rPr>
        <w:t xml:space="preserve">其中，权重</w:t>
      </w:r>
      <w:r>
        <w:t xml:space="preserve"> </w:t>
      </w:r>
      <m:oMath>
        <m:sSub>
          <m:e>
            <m:r>
              <m:t>α</m:t>
            </m:r>
          </m:e>
          <m:sub>
            <m:r>
              <m:rPr>
                <m:sty m:val="p"/>
              </m:rPr>
              <m:t>l</m:t>
            </m:r>
            <m:r>
              <m:rPr>
                <m:sty m:val="p"/>
              </m:rPr>
              <m:t>o</m:t>
            </m:r>
            <m:r>
              <m:rPr>
                <m:sty m:val="p"/>
              </m:rPr>
              <m:t>c</m:t>
            </m:r>
            <m:r>
              <m:rPr>
                <m:sty m:val="p"/>
              </m:rPr>
              <m:t>a</m:t>
            </m:r>
            <m:r>
              <m:rPr>
                <m:sty m:val="p"/>
              </m:rPr>
              <m:t>l</m:t>
            </m:r>
          </m:sub>
        </m:sSub>
        <m:r>
          <m:rPr>
            <m:sty m:val="p"/>
          </m:rPr>
          <m:t>∈</m:t>
        </m:r>
        <m:r>
          <m:rPr>
            <m:sty m:val="p"/>
          </m:rPr>
          <m:t>[</m:t>
        </m:r>
        <m:r>
          <m:t>0</m:t>
        </m:r>
        <m:r>
          <m:rPr>
            <m:sty m:val="p"/>
          </m:rPr>
          <m:t>,</m:t>
        </m:r>
        <m:r>
          <m:t>1</m:t>
        </m:r>
        <m:r>
          <m:rPr>
            <m:sty m:val="p"/>
          </m:rPr>
          <m:t>]</m:t>
        </m:r>
      </m:oMath>
      <w:r>
        <w:t xml:space="preserve"> </w:t>
      </w:r>
      <w:r>
        <w:rPr>
          <w:rFonts w:hint="eastAsia"/>
        </w:rPr>
        <w:t xml:space="preserve">用于调节局部阈值与全局阈值之间的融合比例。当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增大时，系统更强调对局部工况变化的快速响应；当</w:t>
      </w:r>
      <w:r>
        <w:t xml:space="preserve"> </w:t>
      </w:r>
      <m:oMath>
        <m:sSub>
          <m:e>
            <m:r>
              <m:t>α</m:t>
            </m:r>
          </m:e>
          <m:sub>
            <m:r>
              <m:rPr>
                <m:sty m:val="p"/>
              </m:rPr>
              <m:t>l</m:t>
            </m:r>
            <m:r>
              <m:rPr>
                <m:sty m:val="p"/>
              </m:rPr>
              <m:t>o</m:t>
            </m:r>
            <m:r>
              <m:rPr>
                <m:sty m:val="p"/>
              </m:rPr>
              <m:t>c</m:t>
            </m:r>
            <m:r>
              <m:rPr>
                <m:sty m:val="p"/>
              </m:rPr>
              <m:t>a</m:t>
            </m:r>
            <m:r>
              <m:rPr>
                <m:sty m:val="p"/>
              </m:rPr>
              <m:t>l</m:t>
            </m:r>
          </m:sub>
        </m:sSub>
      </m:oMath>
      <w:r>
        <w:t xml:space="preserve"> </w:t>
      </w:r>
      <w:r>
        <w:rPr>
          <w:rFonts w:hint="eastAsia"/>
        </w:rPr>
        <w:t xml:space="preserve">减小时，系统更强调长期基线的一致性与触发稳定性。</w:t>
      </w:r>
      <m:oMath>
        <m:sSub>
          <m:e>
            <m:r>
              <m:t>b</m:t>
            </m:r>
          </m:e>
          <m:sub>
            <m:r>
              <m:rPr>
                <m:sty m:val="p"/>
              </m:rPr>
              <m:t>b</m:t>
            </m:r>
            <m:r>
              <m:rPr>
                <m:sty m:val="p"/>
              </m:rPr>
              <m:t>i</m:t>
            </m:r>
            <m:r>
              <m:rPr>
                <m:sty m:val="p"/>
              </m:rPr>
              <m:t>a</m:t>
            </m:r>
            <m:r>
              <m:rPr>
                <m:sty m:val="p"/>
              </m:rPr>
              <m:t>s</m:t>
            </m:r>
          </m:sub>
        </m:sSub>
      </m:oMath>
      <w:r>
        <w:t xml:space="preserve"> </w:t>
      </w:r>
      <w:r>
        <w:rPr>
          <w:rFonts w:hint="eastAsia"/>
        </w:rPr>
        <w:t xml:space="preserve">为偏置项。在运行状态高度平稳的阶段，例如夜间低负荷时段，系统方差与绝对中位差可能收敛至较小数值，导致阈值过度收缩。引入偏置项为系统设置绝对了触发下限，从而避免因阈值过小而产生高频误触发。</w:t>
      </w:r>
    </w:p>
    <w:bookmarkEnd w:id="13"/>
    <w:bookmarkStart w:id="14" w:name="在线流式事件门控模块构建"/>
    <w:p>
      <w:pPr>
        <w:pStyle w:val="Heading2"/>
      </w:pPr>
      <w:r>
        <w:t xml:space="preserve">3.3 </w:t>
      </w:r>
      <w:r>
        <w:rPr>
          <w:rFonts w:hint="eastAsia"/>
        </w:rPr>
        <w:t xml:space="preserve">在线流式事件门控模块构建</w:t>
      </w:r>
    </w:p>
    <w:p>
      <w:pPr>
        <w:pStyle w:val="FirstParagraph"/>
      </w:pPr>
      <w:r>
        <w:rPr>
          <w:rFonts w:hint="eastAsia"/>
        </w:rPr>
        <w:t xml:space="preserve">与传统固定阈值与单条件越限触发策略不同，本模块采用异常强度判别与时间约束抑振的联合判定形式，其设计目标是在保证关键扰动覆盖率的同时抑制边界附近的抖振触发。前者通过比较</w:t>
      </w:r>
      <w:r>
        <w:t xml:space="preserve"> </w:t>
      </w:r>
      <m:oMath>
        <m:r>
          <m:t>A</m:t>
        </m:r>
        <m:r>
          <m:rPr>
            <m:sty m:val="p"/>
          </m:rPr>
          <m:t>(</m:t>
        </m:r>
        <m:sSub>
          <m:e>
            <m:r>
              <m:t>s</m:t>
            </m:r>
          </m:e>
          <m:sub>
            <m:r>
              <m:t>t</m:t>
            </m:r>
          </m:sub>
        </m:sSub>
        <m:r>
          <m:rPr>
            <m:sty m:val="p"/>
          </m:rPr>
          <m:t>)</m:t>
        </m:r>
      </m:oMath>
      <w:r>
        <w:t xml:space="preserve"> </w:t>
      </w:r>
      <w:r>
        <w:rPr>
          <w:rFonts w:hint="eastAsia"/>
        </w:rPr>
        <w:t xml:space="preserve">与自适应阈值实现对当前状态偏离程度的统计检验，后者通过最小触发间隔约束显式控制动作更新频率，避免在短时高频波动期间出现连续触发导致的执行器过度切换。</w:t>
      </w:r>
    </w:p>
    <w:p>
      <w:pPr>
        <w:pStyle w:val="BodyText"/>
      </w:pPr>
      <w:r>
        <w:rPr>
          <w:rFonts w:hint="eastAsia"/>
        </w:rPr>
        <w:t xml:space="preserve">在每个控制时刻，门控模块接收当前门控特征</w:t>
      </w:r>
      <w:r>
        <w:t xml:space="preserve"> </w:t>
      </w:r>
      <m:oMath>
        <m:sSub>
          <m:e>
            <m:r>
              <m:t>s</m:t>
            </m:r>
          </m:e>
          <m:sub>
            <m:r>
              <m:t>t</m:t>
            </m:r>
          </m:sub>
        </m:sSub>
      </m:oMath>
      <w:r>
        <w:rPr>
          <w:rFonts w:hint="eastAsia"/>
        </w:rPr>
        <w:t xml:space="preserve">，计算异常分数</w:t>
      </w:r>
      <w:r>
        <w:t xml:space="preserve"> </w:t>
      </w:r>
      <m:oMath>
        <m:r>
          <m:t>A</m:t>
        </m:r>
        <m:r>
          <m:rPr>
            <m:sty m:val="p"/>
          </m:rPr>
          <m:t>(</m:t>
        </m:r>
        <m:sSub>
          <m:e>
            <m:r>
              <m:t>s</m:t>
            </m:r>
          </m:e>
          <m:sub>
            <m:r>
              <m:t>t</m:t>
            </m:r>
          </m:sub>
        </m:sSub>
        <m:r>
          <m:rPr>
            <m:sty m:val="p"/>
          </m:rPr>
          <m:t>)</m:t>
        </m:r>
      </m:oMath>
      <w:r>
        <w:t xml:space="preserve"> </w:t>
      </w:r>
      <w:r>
        <w:rPr>
          <w:rFonts w:hint="eastAsia"/>
        </w:rPr>
        <w:t xml:space="preserve">并执行二值触发检验：</w:t>
      </w:r>
    </w:p>
    <w:p>
      <w:pPr>
        <w:pStyle w:val="BodyText"/>
      </w:pPr>
      <m:oMathPara>
        <m:oMathParaPr>
          <m:jc m:val="center"/>
        </m:oMathParaPr>
        <m:oMath>
          <m:sSubSup>
            <m:e>
              <m:r>
                <m:t>τ</m:t>
              </m:r>
            </m:e>
            <m:sub>
              <m:r>
                <m:t>t</m:t>
              </m:r>
            </m:sub>
            <m:sup>
              <m:r>
                <m:rPr>
                  <m:sty m:val="p"/>
                </m:rPr>
                <m:t>*</m:t>
              </m:r>
            </m:sup>
          </m:sSubSup>
          <m:r>
            <m:rPr>
              <m:sty m:val="p"/>
            </m:rPr>
            <m:t>=</m:t>
          </m:r>
          <m:r>
            <m:rPr>
              <m:sty m:val="p"/>
            </m:rPr>
            <m:t>clip</m:t>
          </m:r>
          <m:r>
            <m:rPr>
              <m:sty m:val="p"/>
            </m:rPr>
            <m:t>(</m:t>
          </m:r>
          <m:sSub>
            <m:e>
              <m:acc>
                <m:accPr>
                  <m:chr m:val="̃"/>
                </m:accPr>
                <m:e>
                  <m:r>
                    <m:t>τ</m:t>
                  </m:r>
                </m:e>
              </m:acc>
            </m:e>
            <m:sub>
              <m:r>
                <m:t>t</m:t>
              </m:r>
            </m:sub>
          </m:sSub>
          <m:r>
            <m:rPr>
              <m:sty m:val="p"/>
            </m:rPr>
            <m:t>+</m:t>
          </m:r>
          <m:sSub>
            <m:e>
              <m:r>
                <m:t>m</m:t>
              </m:r>
            </m:e>
            <m:sub>
              <m:r>
                <m:rPr>
                  <m:sty m:val="p"/>
                </m:rPr>
                <m:t>h</m:t>
              </m:r>
              <m:r>
                <m:rPr>
                  <m:sty m:val="p"/>
                </m:rPr>
                <m:t>y</m:t>
              </m:r>
              <m:r>
                <m:rPr>
                  <m:sty m:val="p"/>
                </m:rPr>
                <m:t>s</m:t>
              </m:r>
            </m:sub>
          </m:sSub>
          <m:r>
            <m:rPr>
              <m:sty m:val="p"/>
            </m:rPr>
            <m:t>,</m:t>
          </m:r>
          <m:r>
            <m:t>0</m:t>
          </m:r>
          <m:r>
            <m:rPr>
              <m:sty m:val="p"/>
            </m:rPr>
            <m:t>,</m:t>
          </m:r>
          <m:r>
            <m:t>1</m:t>
          </m:r>
          <m:r>
            <m:rPr>
              <m:sty m:val="p"/>
            </m:rPr>
            <m:t>)</m:t>
          </m:r>
        </m:oMath>
      </m:oMathPara>
    </w:p>
    <w:p>
      <w:pPr>
        <w:pStyle w:val="FirstParagraph"/>
      </w:pPr>
      <m:oMathPara>
        <m:oMathParaPr>
          <m:jc m:val="center"/>
        </m:oMathParaP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rPr>
              <m:scr m:val="double-struck"/>
              <m:sty m:val="p"/>
            </m:rPr>
            <m:t>I</m:t>
          </m:r>
          <m:d>
            <m:dPr>
              <m:begChr m:val="("/>
              <m:sepChr m:val=""/>
              <m:endChr m:val=")"/>
              <m:grow/>
            </m:dPr>
            <m:e>
              <m:r>
                <m:t>A</m:t>
              </m:r>
              <m:r>
                <m:rPr>
                  <m:sty m:val="p"/>
                </m:rPr>
                <m:t>(</m:t>
              </m:r>
              <m:sSub>
                <m:e>
                  <m:r>
                    <m:t>s</m:t>
                  </m:r>
                </m:e>
                <m:sub>
                  <m:r>
                    <m:t>t</m:t>
                  </m:r>
                </m:sub>
              </m:sSub>
              <m:r>
                <m:rPr>
                  <m:sty m:val="p"/>
                </m:rPr>
                <m:t>)</m:t>
              </m:r>
              <m:r>
                <m:rPr>
                  <m:sty m:val="p"/>
                </m:rPr>
                <m:t>&gt;</m:t>
              </m:r>
              <m:sSubSup>
                <m:e>
                  <m:r>
                    <m:t>τ</m:t>
                  </m:r>
                </m:e>
                <m:sub>
                  <m:r>
                    <m:t>t</m:t>
                  </m:r>
                </m:sub>
                <m:sup>
                  <m:r>
                    <m:rPr>
                      <m:sty m:val="p"/>
                    </m:rPr>
                    <m:t>*</m:t>
                  </m:r>
                </m:sup>
              </m:sSubSup>
            </m:e>
          </m:d>
          <m:r>
            <m:rPr>
              <m:sty m:val="p"/>
            </m:rPr>
            <m:t>∧</m:t>
          </m:r>
          <m:r>
            <m:rPr>
              <m:scr m:val="double-struck"/>
              <m:sty m:val="p"/>
            </m:rPr>
            <m:t>I</m:t>
          </m:r>
          <m:d>
            <m:dPr>
              <m:begChr m:val="("/>
              <m:sepChr m:val=""/>
              <m:endChr m:val=")"/>
              <m:grow/>
            </m:dPr>
            <m:e>
              <m:r>
                <m:t>t</m:t>
              </m:r>
              <m:r>
                <m:rPr>
                  <m:sty m:val="p"/>
                </m:rPr>
                <m:t>−</m:t>
              </m:r>
              <m:sSub>
                <m:e>
                  <m:r>
                    <m:t>t</m:t>
                  </m:r>
                </m:e>
                <m:sub>
                  <m:r>
                    <m:rPr>
                      <m:sty m:val="p"/>
                    </m:rPr>
                    <m:t>l</m:t>
                  </m:r>
                  <m:r>
                    <m:rPr>
                      <m:sty m:val="p"/>
                    </m:rPr>
                    <m:t>a</m:t>
                  </m:r>
                  <m:r>
                    <m:rPr>
                      <m:sty m:val="p"/>
                    </m:rPr>
                    <m:t>s</m:t>
                  </m:r>
                  <m:r>
                    <m:rPr>
                      <m:sty m:val="p"/>
                    </m:rPr>
                    <m:t>t</m:t>
                  </m:r>
                </m:sub>
              </m:sSub>
              <m:r>
                <m:rPr>
                  <m:sty m:val="p"/>
                </m:rPr>
                <m:t>&gt;</m:t>
              </m:r>
              <m:sSub>
                <m:e>
                  <m:r>
                    <m:rPr>
                      <m:sty m:val="p"/>
                    </m:rPr>
                    <m:t>Δ</m:t>
                  </m:r>
                </m:e>
                <m:sub>
                  <m:r>
                    <m:rPr>
                      <m:sty m:val="p"/>
                    </m:rPr>
                    <m:t>min</m:t>
                  </m:r>
                </m:sub>
              </m:sSub>
            </m:e>
          </m:d>
        </m:oMath>
      </m:oMathPara>
    </w:p>
    <w:p>
      <w:pPr>
        <w:pStyle w:val="FirstParagraph"/>
      </w:pPr>
      <w:r>
        <w:rPr>
          <w:rFonts w:hint="eastAsia"/>
        </w:rPr>
        <w:t xml:space="preserve">上式中，</w:t>
      </w:r>
      <m:oMath>
        <m:r>
          <m:rPr>
            <m:sty m:val="p"/>
          </m:rPr>
          <m:t>clip</m:t>
        </m:r>
        <m:r>
          <m:rPr>
            <m:sty m:val="p"/>
          </m:rPr>
          <m:t>(</m:t>
        </m:r>
        <m:r>
          <m:rPr>
            <m:sty m:val="p"/>
          </m:rPr>
          <m:t>⋅</m:t>
        </m:r>
        <m:r>
          <m:rPr>
            <m:sty m:val="p"/>
          </m:rPr>
          <m:t>,</m:t>
        </m:r>
        <m:r>
          <m:t>0</m:t>
        </m:r>
        <m:r>
          <m:rPr>
            <m:sty m:val="p"/>
          </m:rPr>
          <m:t>,</m:t>
        </m:r>
        <m:r>
          <m:t>1</m:t>
        </m:r>
        <m:r>
          <m:rPr>
            <m:sty m:val="p"/>
          </m:rPr>
          <m:t>)</m:t>
        </m:r>
      </m:oMath>
      <w:r>
        <w:t xml:space="preserve"> </w:t>
      </w:r>
      <w:r>
        <w:rPr>
          <w:rFonts w:hint="eastAsia"/>
        </w:rPr>
        <w:t xml:space="preserve">表示将输入值约束在</w:t>
      </w:r>
      <w:r>
        <w:t xml:space="preserve"> 0 </w:t>
      </w:r>
      <w:r>
        <w:rPr>
          <w:rFonts w:hint="eastAsia"/>
        </w:rPr>
        <w:t xml:space="preserve">到</w:t>
      </w:r>
      <w:r>
        <w:t xml:space="preserve"> 1 </w:t>
      </w:r>
      <w:r>
        <w:rPr>
          <w:rFonts w:hint="eastAsia"/>
        </w:rPr>
        <w:t xml:space="preserve">区间内的截断函数；</w:t>
      </w:r>
      <m:oMath>
        <m:sSub>
          <m:e>
            <m:r>
              <m:t>m</m:t>
            </m:r>
          </m:e>
          <m:sub>
            <m:r>
              <m:rPr>
                <m:sty m:val="p"/>
              </m:rPr>
              <m:t>h</m:t>
            </m:r>
            <m:r>
              <m:rPr>
                <m:sty m:val="p"/>
              </m:rPr>
              <m:t>y</m:t>
            </m:r>
            <m:r>
              <m:rPr>
                <m:sty m:val="p"/>
              </m:rPr>
              <m:t>s</m:t>
            </m:r>
          </m:sub>
        </m:sSub>
      </m:oMath>
      <w:r>
        <w:t xml:space="preserve"> </w:t>
      </w:r>
      <w:r>
        <w:rPr>
          <w:rFonts w:hint="eastAsia"/>
        </w:rPr>
        <w:t xml:space="preserve">为防止边界震荡的滞回容差；</w:t>
      </w:r>
      <m:oMath>
        <m:r>
          <m:rPr>
            <m:scr m:val="double-struck"/>
            <m:sty m:val="p"/>
          </m:rPr>
          <m:t>I</m:t>
        </m:r>
        <m:r>
          <m:rPr>
            <m:sty m:val="p"/>
          </m:rPr>
          <m:t>(</m:t>
        </m:r>
        <m:r>
          <m:rPr>
            <m:sty m:val="p"/>
          </m:rPr>
          <m:t>⋅</m:t>
        </m:r>
        <m:r>
          <m:rPr>
            <m:sty m:val="p"/>
          </m:rPr>
          <m:t>)</m:t>
        </m:r>
      </m:oMath>
      <w:r>
        <w:t xml:space="preserve"> </w:t>
      </w:r>
      <w:r>
        <w:rPr>
          <w:rFonts w:hint="eastAsia"/>
        </w:rPr>
        <w:t xml:space="preserve">为逻辑指示函数，当括号内条件成立时取</w:t>
      </w:r>
      <w:r>
        <w:t xml:space="preserve"> </w:t>
      </w:r>
      <w:r>
        <w:rPr>
          <w:rFonts w:hint="eastAsia"/>
        </w:rPr>
        <w:t xml:space="preserve">1，否则取</w:t>
      </w:r>
      <w:r>
        <w:t xml:space="preserve"> </w:t>
      </w:r>
      <w:r>
        <w:rPr>
          <w:rFonts w:hint="eastAsia"/>
        </w:rPr>
        <w:t xml:space="preserve">0；</w:t>
      </w:r>
      <m:oMath>
        <m:sSub>
          <m:e>
            <m:r>
              <m:t>t</m:t>
            </m:r>
          </m:e>
          <m:sub>
            <m:r>
              <m:rPr>
                <m:sty m:val="p"/>
              </m:rPr>
              <m:t>l</m:t>
            </m:r>
            <m:r>
              <m:rPr>
                <m:sty m:val="p"/>
              </m:rPr>
              <m:t>a</m:t>
            </m:r>
            <m:r>
              <m:rPr>
                <m:sty m:val="p"/>
              </m:rPr>
              <m:t>s</m:t>
            </m:r>
            <m:r>
              <m:rPr>
                <m:sty m:val="p"/>
              </m:rPr>
              <m:t>t</m:t>
            </m:r>
          </m:sub>
        </m:sSub>
      </m:oMath>
      <w:r>
        <w:t xml:space="preserve"> </w:t>
      </w:r>
      <w:r>
        <w:rPr>
          <w:rFonts w:hint="eastAsia"/>
        </w:rPr>
        <w:t xml:space="preserve">记录系统上一次触发更新的时间步；</w:t>
      </w:r>
      <m:oMath>
        <m:sSub>
          <m:e>
            <m:r>
              <m:rPr>
                <m:sty m:val="p"/>
              </m:rPr>
              <m:t>Δ</m:t>
            </m:r>
          </m:e>
          <m:sub>
            <m:r>
              <m:rPr>
                <m:sty m:val="p"/>
              </m:rPr>
              <m:t>min</m:t>
            </m:r>
          </m:sub>
        </m:sSub>
      </m:oMath>
      <w:r>
        <w:t xml:space="preserve"> </w:t>
      </w:r>
      <w:r>
        <w:rPr>
          <w:rFonts w:hint="eastAsia"/>
        </w:rPr>
        <w:t xml:space="preserve">为设定的最小触发间隔。</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表示当前时刻触发控制更新，</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表示维持上一时刻控制动作。</w:t>
      </w:r>
    </w:p>
    <w:p>
      <w:pPr>
        <w:pStyle w:val="BodyText"/>
      </w:pPr>
      <w:r>
        <w:rPr>
          <w:rFonts w:hint="eastAsia"/>
        </w:rPr>
        <w:t xml:space="preserve">为保证门控与控制策略在在线部署中的一致性，模块在每一时刻遵循先判定、后执行、再更新的时序协议：首先使用时刻</w:t>
      </w:r>
      <w:r>
        <w:t xml:space="preserve"> </w:t>
      </w:r>
      <m:oMath>
        <m:r>
          <m:t>t</m:t>
        </m:r>
      </m:oMath>
      <w:r>
        <w:t xml:space="preserve"> </w:t>
      </w:r>
      <w:r>
        <w:rPr>
          <w:rFonts w:hint="eastAsia"/>
        </w:rPr>
        <w:t xml:space="preserve">的统计量计算触发结果并决定是否调用策略网络；随后将动作</w:t>
      </w:r>
      <w:r>
        <w:t xml:space="preserve"> </w:t>
      </w:r>
      <m:oMath>
        <m:sSub>
          <m:e>
            <m:r>
              <m:t>u</m:t>
            </m:r>
          </m:e>
          <m:sub>
            <m:r>
              <m:t>t</m:t>
            </m:r>
          </m:sub>
        </m:sSub>
      </m:oMath>
      <w:r>
        <w:t xml:space="preserve"> </w:t>
      </w:r>
      <w:r>
        <w:rPr>
          <w:rFonts w:hint="eastAsia"/>
        </w:rPr>
        <w:t xml:space="preserve">下发至执行层；最后将</w:t>
      </w:r>
      <w:r>
        <w:t xml:space="preserve"> </w:t>
      </w:r>
      <m:oMath>
        <m:r>
          <m:t>A</m:t>
        </m:r>
        <m:r>
          <m:rPr>
            <m:sty m:val="p"/>
          </m:rPr>
          <m:t>(</m:t>
        </m:r>
        <m:sSub>
          <m:e>
            <m:r>
              <m:t>s</m:t>
            </m:r>
          </m:e>
          <m:sub>
            <m:r>
              <m:t>t</m:t>
            </m:r>
          </m:sub>
        </m:sSub>
        <m:r>
          <m:rPr>
            <m:sty m:val="p"/>
          </m:rPr>
          <m:t>)</m:t>
        </m:r>
      </m:oMath>
      <w:r>
        <w:t xml:space="preserve"> </w:t>
      </w:r>
      <w:r>
        <w:rPr>
          <w:rFonts w:hint="eastAsia"/>
        </w:rPr>
        <w:t xml:space="preserve">与相关统计量写入窗口，用于时刻</w:t>
      </w:r>
      <w:r>
        <w:t xml:space="preserve"> </w:t>
      </w:r>
      <m:oMath>
        <m:r>
          <m:t>t</m:t>
        </m:r>
        <m:r>
          <m:rPr>
            <m:sty m:val="p"/>
          </m:rPr>
          <m:t>+</m:t>
        </m:r>
        <m:r>
          <m:t>1</m:t>
        </m:r>
      </m:oMath>
      <w:r>
        <w:t xml:space="preserve"> </w:t>
      </w:r>
      <w:r>
        <w:rPr>
          <w:rFonts w:hint="eastAsia"/>
        </w:rPr>
        <w:t xml:space="preserve">的阈值更新。该协议可避免同一步内先更新阈值再判定导致的判据前视偏差，确保门控逻辑满足严格因果性。</w:t>
      </w:r>
    </w:p>
    <w:p>
      <w:pPr>
        <w:pStyle w:val="BodyText"/>
      </w:pPr>
      <w:r>
        <w:rPr>
          <w:rFonts w:hint="eastAsia"/>
        </w:rPr>
        <w:t xml:space="preserve">从工程部署角度看，该门控模块的额外开销主要来自标量统计更新与一次二值逻辑判定，不引入额外的大规模神经网络推理。在非触发时段，系统仅执行轻量级统计运算并保持上一控制指令，因此整体计算负载与动作切换频率可随触发率下降而同步降低。</w:t>
      </w:r>
    </w:p>
    <w:bookmarkEnd w:id="14"/>
    <w:bookmarkStart w:id="15" w:name="基于动态阈值事件触发的预测型强化学习控制算法"/>
    <w:p>
      <w:pPr>
        <w:pStyle w:val="Heading2"/>
      </w:pPr>
      <w:r>
        <w:t xml:space="preserve">3.4 </w:t>
      </w:r>
      <w:r>
        <w:rPr>
          <w:rFonts w:hint="eastAsia"/>
        </w:rPr>
        <w:t xml:space="preserve">基于动态阈值事件触发的预测型强化学习控制算法</w:t>
      </w:r>
    </w:p>
    <w:p>
      <w:pPr>
        <w:pStyle w:val="FirstParagraph"/>
      </w:pPr>
      <w:r>
        <w:rPr>
          <w:rFonts w:hint="eastAsia"/>
        </w:rPr>
        <w:t xml:space="preserve">在所提事件驱动控制框架中，全局控制器负责在判定为关键时刻，即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oMath>
      <w:r>
        <w:t xml:space="preserve"> </w:t>
      </w:r>
      <w:r>
        <w:rPr>
          <w:rFonts w:hint="eastAsia"/>
        </w:rPr>
        <w:t xml:space="preserve">时，被激活并输出能效优化动作；而在平稳期或非关键时刻，即</w:t>
      </w:r>
      <w:r>
        <w:t xml:space="preserve"> </w:t>
      </w:r>
      <m:oMath>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oMath>
      <w:r>
        <w:t xml:space="preserve"> </w:t>
      </w:r>
      <w:r>
        <w:rPr>
          <w:rFonts w:hint="eastAsia"/>
        </w:rPr>
        <w:t xml:space="preserve">时，则不进行推理计算，而是由底层控制系统通过零阶保持器维持先前的控制指令。</w:t>
      </w:r>
    </w:p>
    <w:p>
      <w:pPr>
        <w:pStyle w:val="BodyText"/>
      </w:pPr>
      <w:r>
        <w:rPr>
          <w:rFonts w:hint="eastAsia"/>
        </w:rPr>
        <w:t xml:space="preserve">为兼顾控制性能与边缘设备的部署开销，本文构建结合短期负荷预测信息的轻量级</w:t>
      </w:r>
      <w:r>
        <w:t xml:space="preserve"> </w:t>
      </w:r>
      <w:r>
        <w:rPr>
          <w:rFonts w:hint="eastAsia"/>
        </w:rPr>
        <w:t xml:space="preserve">DQN（Deep</w:t>
      </w:r>
      <w:r>
        <w:t xml:space="preserve"> </w:t>
      </w:r>
      <w:r>
        <w:rPr>
          <w:rFonts w:hint="eastAsia"/>
        </w:rPr>
        <w:t xml:space="preserve">Q-Network）智能体。全局强化学习控制器在触发时刻接收状态向量</w:t>
      </w:r>
      <w:r>
        <w:t xml:space="preserve"> </w:t>
      </w:r>
      <m:oMath>
        <m:sSub>
          <m:e>
            <m:r>
              <m:t>s</m:t>
            </m:r>
          </m:e>
          <m:sub>
            <m:r>
              <m:t>t</m:t>
            </m:r>
          </m:sub>
        </m:sSub>
      </m:oMath>
      <w:r>
        <w:rPr>
          <w:rFonts w:hint="eastAsia"/>
        </w:rPr>
        <w:t xml:space="preserve">，并以降低能耗与保持温控性能为目标构建综合奖励函数，从而输出高层优化设定值，例如冷冻水供水温度设定点。同时，该模块采用分层执行策略，将高层无模型优化决策与底层设备的物理安全约束解耦，以保证生成动作在实际部署中的可行性与安全性。</w:t>
      </w:r>
    </w:p>
    <w:p>
      <w:pPr>
        <w:pStyle w:val="Compact"/>
        <w:numPr>
          <w:ilvl w:val="0"/>
          <w:numId w:val="1006"/>
        </w:numPr>
      </w:pPr>
      <w:r>
        <w:rPr>
          <w:rFonts w:hint="eastAsia"/>
        </w:rPr>
        <w:t xml:space="preserve">任务建模与问题定义</w:t>
      </w:r>
    </w:p>
    <w:p>
      <w:pPr>
        <w:pStyle w:val="FirstParagraph"/>
      </w:pPr>
      <w:r>
        <w:rPr>
          <w:rFonts w:hint="eastAsia"/>
        </w:rPr>
        <w:t xml:space="preserve">针对楼宇控制场景中状态高维、样本相关性强的问题，本文构建紧凑离散时间马尔可夫决策过程（MDP）模型</w:t>
      </w:r>
      <w:r>
        <w:t xml:space="preserve"> </w:t>
      </w:r>
      <m:oMath>
        <m:r>
          <m:rPr>
            <m:sty m:val="p"/>
          </m:rPr>
          <m:t>⟨</m:t>
        </m:r>
        <m:r>
          <m:rPr>
            <m:scr m:val="script"/>
            <m:sty m:val="p"/>
          </m:rPr>
          <m:t>S</m:t>
        </m:r>
        <m:r>
          <m:rPr>
            <m:sty m:val="p"/>
          </m:rPr>
          <m:t>,</m:t>
        </m:r>
        <m:r>
          <m:rPr>
            <m:scr m:val="script"/>
            <m:sty m:val="p"/>
          </m:rPr>
          <m:t>A</m:t>
        </m:r>
        <m:r>
          <m:rPr>
            <m:sty m:val="p"/>
          </m:rPr>
          <m:t>,</m:t>
        </m:r>
        <m:r>
          <m:rPr>
            <m:scr m:val="script"/>
            <m:sty m:val="p"/>
          </m:rPr>
          <m:t>P</m:t>
        </m:r>
        <m:r>
          <m:rPr>
            <m:sty m:val="p"/>
          </m:rPr>
          <m:t>,</m:t>
        </m:r>
        <m:r>
          <m:rPr>
            <m:scr m:val="script"/>
            <m:sty m:val="p"/>
          </m:rPr>
          <m:t>R</m:t>
        </m:r>
        <m:r>
          <m:rPr>
            <m:sty m:val="p"/>
          </m:rPr>
          <m:t>,</m:t>
        </m:r>
        <m:r>
          <m:t>γ</m:t>
        </m:r>
        <m:r>
          <m:rPr>
            <m:sty m:val="p"/>
          </m:rPr>
          <m:t>⟩</m:t>
        </m:r>
      </m:oMath>
      <w:r>
        <w:rPr>
          <w:rFonts w:hint="eastAsia"/>
        </w:rPr>
        <w:t xml:space="preserve">。环境状态空间定义为：</w:t>
      </w:r>
    </w:p>
    <w:p>
      <w:pPr>
        <w:pStyle w:val="BodyText"/>
      </w:pPr>
      <m:oMathPara>
        <m:oMathParaPr>
          <m:jc m:val="center"/>
        </m:oMathParaPr>
        <m:oMath>
          <m:sSub>
            <m:e>
              <m:r>
                <m:t>s</m:t>
              </m:r>
            </m:e>
            <m:sub>
              <m:r>
                <m:t>t</m:t>
              </m:r>
            </m:sub>
          </m:sSub>
          <m:r>
            <m:rPr>
              <m:sty m:val="p"/>
            </m:rPr>
            <m:t>=</m:t>
          </m:r>
          <m:r>
            <m:rPr>
              <m:sty m:val="p"/>
            </m:rPr>
            <m:t>[</m:t>
          </m:r>
          <m:sSubSup>
            <m:e>
              <m:r>
                <m:t>Q</m:t>
              </m:r>
            </m:e>
            <m:sub>
              <m:r>
                <m:t>l</m:t>
              </m:r>
              <m:r>
                <m:t>o</m:t>
              </m:r>
              <m:r>
                <m:t>a</m:t>
              </m:r>
              <m:r>
                <m:t>d</m:t>
              </m:r>
            </m:sub>
            <m:sup>
              <m:r>
                <m:t>t</m:t>
              </m:r>
            </m:sup>
          </m:sSubSup>
          <m:r>
            <m:rPr>
              <m:sty m:val="p"/>
            </m:rPr>
            <m:t>,</m:t>
          </m:r>
          <m:sSubSup>
            <m:e>
              <m:r>
                <m:t>T</m:t>
              </m:r>
            </m:e>
            <m:sub>
              <m:r>
                <m:t>w</m:t>
              </m:r>
              <m:r>
                <m:t>b</m:t>
              </m:r>
            </m:sub>
            <m:sup>
              <m:r>
                <m:t>t</m:t>
              </m:r>
            </m:sup>
          </m:sSubSup>
          <m:r>
            <m:rPr>
              <m:sty m:val="p"/>
            </m:rPr>
            <m:t>,</m:t>
          </m:r>
          <m:sSubSup>
            <m:e>
              <m:acc>
                <m:accPr>
                  <m:chr m:val="̂"/>
                </m:accPr>
                <m:e>
                  <m:r>
                    <m:t>Q</m:t>
                  </m:r>
                </m:e>
              </m:acc>
            </m:e>
            <m:sub>
              <m:r>
                <m:t>l</m:t>
              </m:r>
              <m:r>
                <m:t>o</m:t>
              </m:r>
              <m:r>
                <m:t>a</m:t>
              </m:r>
              <m:r>
                <m:t>d</m:t>
              </m:r>
            </m:sub>
            <m:sup>
              <m:r>
                <m:t>t</m:t>
              </m:r>
              <m:r>
                <m:rPr>
                  <m:sty m:val="p"/>
                </m:rPr>
                <m:t>+</m:t>
              </m:r>
              <m:r>
                <m:t>1</m:t>
              </m:r>
            </m:sup>
          </m:sSubSup>
          <m:r>
            <m:rPr>
              <m:sty m:val="p"/>
            </m:rPr>
            <m:t>]</m:t>
          </m:r>
        </m:oMath>
      </m:oMathPara>
    </w:p>
    <w:p>
      <w:pPr>
        <w:pStyle w:val="FirstParagraph"/>
      </w:pPr>
      <w:r>
        <w:rPr>
          <w:rFonts w:hint="eastAsia"/>
        </w:rPr>
        <w:t xml:space="preserve">此处状态定义</w:t>
      </w:r>
      <w:r>
        <w:t xml:space="preserve"> </w:t>
      </w:r>
      <m:oMath>
        <m:sSub>
          <m:e>
            <m:r>
              <m:t>s</m:t>
            </m:r>
          </m:e>
          <m:sub>
            <m:r>
              <m:t>t</m:t>
            </m:r>
          </m:sub>
        </m:sSub>
      </m:oMath>
      <w:r>
        <w:t xml:space="preserve"> </w:t>
      </w:r>
      <w:r>
        <w:rPr>
          <w:rFonts w:hint="eastAsia"/>
        </w:rPr>
        <w:t xml:space="preserve">与前文所述的门控输入特征在物理信息层面上保持严格一致，包含当前冷负荷</w:t>
      </w:r>
      <w:r>
        <w:t xml:space="preserve"> </w:t>
      </w:r>
      <m:oMath>
        <m:sSubSup>
          <m:e>
            <m:r>
              <m:t>Q</m:t>
            </m:r>
          </m:e>
          <m:sub>
            <m:r>
              <m:t>l</m:t>
            </m:r>
            <m:r>
              <m:t>o</m:t>
            </m:r>
            <m:r>
              <m:t>a</m:t>
            </m:r>
            <m:r>
              <m:t>d</m:t>
            </m:r>
          </m:sub>
          <m:sup>
            <m:r>
              <m:t>t</m:t>
            </m:r>
          </m:sup>
        </m:sSubSup>
      </m:oMath>
      <w:r>
        <w:rPr>
          <w:rFonts w:hint="eastAsia"/>
        </w:rPr>
        <w:t xml:space="preserve">、室外湿球温度</w:t>
      </w:r>
      <w:r>
        <w:t xml:space="preserve"> </w:t>
      </w:r>
      <m:oMath>
        <m:sSubSup>
          <m:e>
            <m:r>
              <m:t>T</m:t>
            </m:r>
          </m:e>
          <m:sub>
            <m:r>
              <m:t>w</m:t>
            </m:r>
            <m:r>
              <m:t>b</m:t>
            </m:r>
          </m:sub>
          <m:sup>
            <m:r>
              <m:t>t</m:t>
            </m:r>
          </m:sup>
        </m:sSubSup>
      </m:oMath>
      <w:r>
        <w:t xml:space="preserve"> </w:t>
      </w:r>
      <w:r>
        <w:rPr>
          <w:rFonts w:hint="eastAsia"/>
        </w:rPr>
        <w:t xml:space="preserve">以及下一时刻冷负荷预测值</w:t>
      </w:r>
      <w:r>
        <w:t xml:space="preserve"> </w:t>
      </w:r>
      <m:oMath>
        <m:sSubSup>
          <m:e>
            <m:acc>
              <m:accPr>
                <m:chr m:val="̂"/>
              </m:accPr>
              <m:e>
                <m:r>
                  <m:t>Q</m:t>
                </m:r>
              </m:e>
            </m:acc>
          </m:e>
          <m:sub>
            <m:r>
              <m:t>l</m:t>
            </m:r>
            <m:r>
              <m:t>o</m:t>
            </m:r>
            <m:r>
              <m:t>a</m:t>
            </m:r>
            <m:r>
              <m:t>d</m:t>
            </m:r>
          </m:sub>
          <m:sup>
            <m:r>
              <m:t>t</m:t>
            </m:r>
            <m:r>
              <m:rPr>
                <m:sty m:val="p"/>
              </m:rPr>
              <m:t>+</m:t>
            </m:r>
            <m:r>
              <m:t>1</m:t>
            </m:r>
          </m:sup>
        </m:sSubSup>
      </m:oMath>
      <w:r>
        <w:rPr>
          <w:rFonts w:hint="eastAsia"/>
        </w:rPr>
        <w:t xml:space="preserve">。引入预测项可在不显式扩展长历史序列窗口的前提下有效提升策略的前瞻性。</w:t>
      </w:r>
    </w:p>
    <w:p>
      <w:pPr>
        <w:pStyle w:val="BodyText"/>
      </w:pPr>
      <w:r>
        <w:rPr>
          <w:rFonts w:hint="eastAsia"/>
        </w:rPr>
        <w:t xml:space="preserve">动作空间</w:t>
      </w:r>
      <w:r>
        <w:t xml:space="preserve"> </w:t>
      </w:r>
      <m:oMath>
        <m:r>
          <m:rPr>
            <m:scr m:val="script"/>
            <m:sty m:val="p"/>
          </m:rPr>
          <m:t>A</m:t>
        </m:r>
      </m:oMath>
      <w:r>
        <w:t xml:space="preserve"> </w:t>
      </w:r>
      <w:r>
        <w:rPr>
          <w:rFonts w:hint="eastAsia"/>
        </w:rPr>
        <w:t xml:space="preserve">设定为离散化供水温度设定点集合，智能体在时刻</w:t>
      </w:r>
      <w:r>
        <w:t xml:space="preserve"> </w:t>
      </w:r>
      <m:oMath>
        <m:r>
          <m:t>t</m:t>
        </m:r>
      </m:oMath>
      <w:r>
        <w:t xml:space="preserve"> </w:t>
      </w:r>
      <w:r>
        <w:rPr>
          <w:rFonts w:hint="eastAsia"/>
        </w:rPr>
        <w:t xml:space="preserve">输出动作</w:t>
      </w:r>
      <w:r>
        <w:t xml:space="preserve"> </w:t>
      </w:r>
      <m:oMath>
        <m:sSub>
          <m:e>
            <m:r>
              <m:t>a</m:t>
            </m:r>
          </m:e>
          <m:sub>
            <m:r>
              <m:t>t</m:t>
            </m:r>
          </m:sub>
        </m:sSub>
        <m:r>
          <m:rPr>
            <m:sty m:val="p"/>
          </m:rPr>
          <m:t>∈</m:t>
        </m:r>
        <m:r>
          <m:rPr>
            <m:scr m:val="script"/>
            <m:sty m:val="p"/>
          </m:rPr>
          <m:t>A</m:t>
        </m:r>
      </m:oMath>
      <w:r>
        <w:rPr>
          <w:rFonts w:hint="eastAsia"/>
        </w:rPr>
        <w:t xml:space="preserve">。为保证执行安全性，控制架构采用分层策略：高层强化学习模块负责设定点优化，底层规则模块负责机组启停及最小运行时长等约束执行。</w:t>
      </w:r>
    </w:p>
    <w:p>
      <w:pPr>
        <w:pStyle w:val="BodyText"/>
      </w:pPr>
      <w:r>
        <w:rPr>
          <w:rFonts w:hint="eastAsia"/>
        </w:rPr>
        <w:t xml:space="preserve">奖励函数采用归一化加权形式：</w:t>
      </w:r>
    </w:p>
    <w:p>
      <w:pPr>
        <w:pStyle w:val="BodyText"/>
      </w:pPr>
      <m:oMathPara>
        <m:oMathParaPr>
          <m:jc m:val="center"/>
        </m:oMathParaPr>
        <m:oMath>
          <m:sSub>
            <m:e>
              <m:r>
                <m:t>r</m:t>
              </m:r>
            </m:e>
            <m:sub>
              <m:r>
                <m:t>t</m:t>
              </m:r>
            </m:sub>
          </m:sSub>
          <m:r>
            <m:rPr>
              <m:sty m:val="p"/>
            </m:rPr>
            <m:t>=</m:t>
          </m:r>
          <m:sSub>
            <m:e>
              <m:r>
                <m:t>ω</m:t>
              </m:r>
            </m:e>
            <m:sub>
              <m:r>
                <m:t>η</m:t>
              </m:r>
            </m:sub>
          </m:sSub>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sSub>
            <m:e>
              <m:r>
                <m:t>ω</m:t>
              </m:r>
            </m:e>
            <m:sub>
              <m:r>
                <m:t>τ</m:t>
              </m:r>
            </m:sub>
          </m:sSub>
          <m:sSubSup>
            <m:e>
              <m:r>
                <m:t>r</m:t>
              </m:r>
            </m:e>
            <m:sub>
              <m:r>
                <m:t>t</m:t>
              </m:r>
            </m:sub>
            <m:sup>
              <m:r>
                <m:rPr>
                  <m:sty m:val="p"/>
                </m:rPr>
                <m:t>t</m:t>
              </m:r>
              <m:r>
                <m:rPr>
                  <m:sty m:val="p"/>
                </m:rPr>
                <m:t>r</m:t>
              </m:r>
              <m:r>
                <m:rPr>
                  <m:sty m:val="p"/>
                </m:rPr>
                <m:t>a</m:t>
              </m:r>
              <m:r>
                <m:rPr>
                  <m:sty m:val="p"/>
                </m:rPr>
                <m:t>c</m:t>
              </m:r>
              <m:r>
                <m:rPr>
                  <m:sty m:val="p"/>
                </m:rPr>
                <m:t>k</m:t>
              </m:r>
            </m:sup>
          </m:sSubSup>
        </m:oMath>
      </m:oMathPara>
    </w:p>
    <w:p>
      <w:pPr>
        <w:pStyle w:val="FirstParagraph"/>
      </w:pPr>
      <w:r>
        <w:rPr>
          <w:rFonts w:hint="eastAsia"/>
        </w:rPr>
        <w:t xml:space="preserve">其中</w:t>
      </w:r>
      <w:r>
        <w:t xml:space="preserve"> </w:t>
      </w:r>
      <m:oMath>
        <m:sSub>
          <m:e>
            <m:r>
              <m:t>ω</m:t>
            </m:r>
          </m:e>
          <m:sub>
            <m:r>
              <m:t>η</m:t>
            </m:r>
          </m:sub>
        </m:sSub>
        <m:r>
          <m:rPr>
            <m:sty m:val="p"/>
          </m:rPr>
          <m:t>,</m:t>
        </m:r>
        <m:sSub>
          <m:e>
            <m:r>
              <m:t>ω</m:t>
            </m:r>
          </m:e>
          <m:sub>
            <m:r>
              <m:t>τ</m:t>
            </m:r>
          </m:sub>
        </m:sSub>
        <m:r>
          <m:rPr>
            <m:sty m:val="p"/>
          </m:rPr>
          <m:t>≥</m:t>
        </m:r>
        <m:r>
          <m:t>0</m:t>
        </m:r>
      </m:oMath>
      <w:r>
        <w:t xml:space="preserve"> </w:t>
      </w:r>
      <w:r>
        <w:rPr>
          <w:rFonts w:hint="eastAsia"/>
        </w:rPr>
        <w:t xml:space="preserve">且</w:t>
      </w:r>
      <w:r>
        <w:t xml:space="preserve"> </w:t>
      </w:r>
      <m:oMath>
        <m:sSub>
          <m:e>
            <m:r>
              <m:t>ω</m:t>
            </m:r>
          </m:e>
          <m:sub>
            <m:r>
              <m:t>η</m:t>
            </m:r>
          </m:sub>
        </m:sSub>
        <m:r>
          <m:rPr>
            <m:sty m:val="p"/>
          </m:rPr>
          <m:t>+</m:t>
        </m:r>
        <m:sSub>
          <m:e>
            <m:r>
              <m:t>ω</m:t>
            </m:r>
          </m:e>
          <m:sub>
            <m:r>
              <m:t>τ</m:t>
            </m:r>
          </m:sub>
        </m:sSub>
        <m:r>
          <m:rPr>
            <m:sty m:val="p"/>
          </m:rPr>
          <m:t>=</m:t>
        </m:r>
        <m:r>
          <m:t>1</m:t>
        </m:r>
      </m:oMath>
      <w:r>
        <w:rPr>
          <w:rFonts w:hint="eastAsia"/>
        </w:rPr>
        <w:t xml:space="preserve">。能效项定义为：</w:t>
      </w:r>
    </w:p>
    <w:p>
      <w:pPr>
        <w:pStyle w:val="BodyText"/>
      </w:pPr>
      <m:oMathPara>
        <m:oMathParaPr>
          <m:jc m:val="center"/>
        </m:oMathParaPr>
        <m:oMath>
          <m:sSubSup>
            <m:e>
              <m:r>
                <m:t>r</m:t>
              </m:r>
            </m:e>
            <m:sub>
              <m:r>
                <m:t>t</m:t>
              </m:r>
            </m:sub>
            <m:sup>
              <m:r>
                <m:rPr>
                  <m:sty m:val="p"/>
                </m:rPr>
                <m:t>e</m:t>
              </m:r>
              <m:r>
                <m:rPr>
                  <m:sty m:val="p"/>
                </m:rPr>
                <m:t>n</m:t>
              </m:r>
              <m:r>
                <m:rPr>
                  <m:sty m:val="p"/>
                </m:rPr>
                <m:t>e</m:t>
              </m:r>
              <m:r>
                <m:rPr>
                  <m:sty m:val="p"/>
                </m:rPr>
                <m:t>r</m:t>
              </m:r>
              <m:r>
                <m:rPr>
                  <m:sty m:val="p"/>
                </m:rPr>
                <m:t>g</m:t>
              </m:r>
              <m:r>
                <m:rPr>
                  <m:sty m:val="p"/>
                </m:rPr>
                <m:t>y</m:t>
              </m:r>
            </m:sup>
          </m:sSubSup>
          <m:r>
            <m:rPr>
              <m:sty m:val="p"/>
            </m:rPr>
            <m:t>=</m:t>
          </m:r>
          <m:r>
            <m:t>1</m:t>
          </m:r>
          <m:r>
            <m:rPr>
              <m:sty m:val="p"/>
            </m:rPr>
            <m:t>−</m:t>
          </m:r>
          <m:f>
            <m:fPr>
              <m:type m:val="bar"/>
            </m:fPr>
            <m:num>
              <m:sSub>
                <m:e>
                  <m:r>
                    <m:t>P</m:t>
                  </m:r>
                </m:e>
                <m:sub>
                  <m:r>
                    <m:t>t</m:t>
                  </m:r>
                </m:sub>
              </m:sSub>
            </m:num>
            <m:den>
              <m:sSub>
                <m:e>
                  <m:r>
                    <m:t>P</m:t>
                  </m:r>
                </m:e>
                <m:sub>
                  <m:r>
                    <m:rPr>
                      <m:sty m:val="p"/>
                    </m:rPr>
                    <m:t>r</m:t>
                  </m:r>
                  <m:r>
                    <m:rPr>
                      <m:sty m:val="p"/>
                    </m:rPr>
                    <m:t>e</m:t>
                  </m:r>
                  <m:r>
                    <m:rPr>
                      <m:sty m:val="p"/>
                    </m:rPr>
                    <m:t>f</m:t>
                  </m:r>
                </m:sub>
              </m:sSub>
            </m:den>
          </m:f>
        </m:oMath>
      </m:oMathPara>
    </w:p>
    <w:p>
      <w:pPr>
        <w:pStyle w:val="FirstParagraph"/>
      </w:pPr>
      <w:r>
        <w:rPr>
          <w:rFonts w:hint="eastAsia"/>
        </w:rPr>
        <w:t xml:space="preserve">其中</w:t>
      </w:r>
      <w:r>
        <w:t xml:space="preserve"> </w:t>
      </w:r>
      <m:oMath>
        <m:sSub>
          <m:e>
            <m:r>
              <m:t>P</m:t>
            </m:r>
          </m:e>
          <m:sub>
            <m:r>
              <m:t>t</m:t>
            </m:r>
          </m:sub>
        </m:sSub>
      </m:oMath>
      <w:r>
        <w:t xml:space="preserve"> </w:t>
      </w:r>
      <w:r>
        <w:rPr>
          <w:rFonts w:hint="eastAsia"/>
        </w:rPr>
        <w:t xml:space="preserve">为机组实时功率，</w:t>
      </w:r>
      <m:oMath>
        <m:sSub>
          <m:e>
            <m:r>
              <m:t>P</m:t>
            </m:r>
          </m:e>
          <m:sub>
            <m:r>
              <m:rPr>
                <m:sty m:val="p"/>
              </m:rPr>
              <m:t>r</m:t>
            </m:r>
            <m:r>
              <m:rPr>
                <m:sty m:val="p"/>
              </m:rPr>
              <m:t>e</m:t>
            </m:r>
            <m:r>
              <m:rPr>
                <m:sty m:val="p"/>
              </m:rPr>
              <m:t>f</m:t>
            </m:r>
          </m:sub>
        </m:sSub>
      </m:oMath>
      <w:r>
        <w:t xml:space="preserve"> </w:t>
      </w:r>
      <w:r>
        <w:rPr>
          <w:rFonts w:hint="eastAsia"/>
        </w:rPr>
        <w:t xml:space="preserve">为额定参考功率。温控跟踪项采用高斯径向基形式进行连续平滑评估：</w:t>
      </w:r>
    </w:p>
    <w:p>
      <w:pPr>
        <w:pStyle w:val="BodyText"/>
      </w:pPr>
      <m:oMathPara>
        <m:oMathParaPr>
          <m:jc m:val="center"/>
        </m:oMathParaPr>
        <m:oMath>
          <m:sSubSup>
            <m:e>
              <m:r>
                <m:t>r</m:t>
              </m:r>
            </m:e>
            <m:sub>
              <m:r>
                <m:t>t</m:t>
              </m:r>
            </m:sub>
            <m:sup>
              <m:r>
                <m:rPr>
                  <m:sty m:val="p"/>
                </m:rPr>
                <m:t>t</m:t>
              </m:r>
              <m:r>
                <m:rPr>
                  <m:sty m:val="p"/>
                </m:rPr>
                <m:t>r</m:t>
              </m:r>
              <m:r>
                <m:rPr>
                  <m:sty m:val="p"/>
                </m:rPr>
                <m:t>a</m:t>
              </m:r>
              <m:r>
                <m:rPr>
                  <m:sty m:val="p"/>
                </m:rPr>
                <m:t>c</m:t>
              </m:r>
              <m:r>
                <m:rPr>
                  <m:sty m:val="p"/>
                </m:rPr>
                <m:t>k</m:t>
              </m:r>
            </m:sup>
          </m:sSubSup>
          <m:r>
            <m:rPr>
              <m:sty m:val="p"/>
            </m:rPr>
            <m:t>=</m:t>
          </m:r>
          <m:r>
            <m:rPr>
              <m:sty m:val="p"/>
            </m:rPr>
            <m:t>exp</m:t>
          </m:r>
          <m:d>
            <m:dPr>
              <m:begChr m:val="("/>
              <m:sepChr m:val=""/>
              <m:endChr m:val=")"/>
              <m:grow/>
            </m:dPr>
            <m:e>
              <m:r>
                <m:rPr>
                  <m:sty m:val="p"/>
                </m:rPr>
                <m:t>−</m:t>
              </m:r>
              <m:f>
                <m:fPr>
                  <m:type m:val="bar"/>
                </m:fPr>
                <m:num>
                  <m:r>
                    <m:t>1</m:t>
                  </m:r>
                </m:num>
                <m:den>
                  <m:r>
                    <m:t>2</m:t>
                  </m:r>
                </m:den>
              </m:f>
              <m:sSup>
                <m:e>
                  <m:d>
                    <m:dPr>
                      <m:begChr m:val="("/>
                      <m:sepChr m:val=""/>
                      <m:endChr m:val=")"/>
                      <m:grow/>
                    </m:dPr>
                    <m:e>
                      <m:f>
                        <m:fPr>
                          <m:type m:val="bar"/>
                        </m:fPr>
                        <m:num>
                          <m:sSub>
                            <m:e>
                              <m:r>
                                <m:t>T</m:t>
                              </m:r>
                            </m:e>
                            <m:sub>
                              <m:r>
                                <m:t>t</m:t>
                              </m:r>
                            </m:sub>
                          </m:sSub>
                          <m:r>
                            <m:rPr>
                              <m:sty m:val="p"/>
                            </m:rPr>
                            <m:t>−</m:t>
                          </m:r>
                          <m:sSub>
                            <m:e>
                              <m:r>
                                <m:t>T</m:t>
                              </m:r>
                            </m:e>
                            <m:sub>
                              <m:r>
                                <m:rPr>
                                  <m:sty m:val="p"/>
                                </m:rPr>
                                <m:t>s</m:t>
                              </m:r>
                              <m:r>
                                <m:rPr>
                                  <m:sty m:val="p"/>
                                </m:rPr>
                                <m:t>e</m:t>
                              </m:r>
                              <m:r>
                                <m:rPr>
                                  <m:sty m:val="p"/>
                                </m:rPr>
                                <m:t>t</m:t>
                              </m:r>
                            </m:sub>
                          </m:sSub>
                        </m:num>
                        <m:den>
                          <m:r>
                            <m:t>σ</m:t>
                          </m:r>
                        </m:den>
                      </m:f>
                    </m:e>
                  </m:d>
                </m:e>
                <m:sup>
                  <m:r>
                    <m:t>2</m:t>
                  </m:r>
                </m:sup>
              </m:sSup>
            </m:e>
          </m:d>
        </m:oMath>
      </m:oMathPara>
    </w:p>
    <w:p>
      <w:pPr>
        <w:pStyle w:val="FirstParagraph"/>
      </w:pPr>
      <w:r>
        <w:rPr>
          <w:rFonts w:hint="eastAsia"/>
        </w:rPr>
        <w:t xml:space="preserve">其中</w:t>
      </w:r>
      <w:r>
        <w:t xml:space="preserve"> </w:t>
      </w:r>
      <m:oMath>
        <m:sSub>
          <m:e>
            <m:r>
              <m:t>T</m:t>
            </m:r>
          </m:e>
          <m:sub>
            <m:r>
              <m:t>t</m:t>
            </m:r>
          </m:sub>
        </m:sSub>
      </m:oMath>
      <w:r>
        <w:t xml:space="preserve"> </w:t>
      </w:r>
      <w:r>
        <w:rPr>
          <w:rFonts w:hint="eastAsia"/>
        </w:rPr>
        <w:t xml:space="preserve">为实际供水温度，</w:t>
      </w:r>
      <m:oMath>
        <m:sSub>
          <m:e>
            <m:r>
              <m:t>T</m:t>
            </m:r>
          </m:e>
          <m:sub>
            <m:r>
              <m:rPr>
                <m:sty m:val="p"/>
              </m:rPr>
              <m:t>s</m:t>
            </m:r>
            <m:r>
              <m:rPr>
                <m:sty m:val="p"/>
              </m:rPr>
              <m:t>e</m:t>
            </m:r>
            <m:r>
              <m:rPr>
                <m:sty m:val="p"/>
              </m:rPr>
              <m:t>t</m:t>
            </m:r>
          </m:sub>
        </m:sSub>
      </m:oMath>
      <w:r>
        <w:t xml:space="preserve"> </w:t>
      </w:r>
      <w:r>
        <w:rPr>
          <w:rFonts w:hint="eastAsia"/>
        </w:rPr>
        <w:t xml:space="preserve">为目标设定温度，</w:t>
      </w:r>
      <m:oMath>
        <m:r>
          <m:t>σ</m:t>
        </m:r>
      </m:oMath>
      <w:r>
        <w:t xml:space="preserve"> </w:t>
      </w:r>
      <w:r>
        <w:rPr>
          <w:rFonts w:hint="eastAsia"/>
        </w:rPr>
        <w:t xml:space="preserve">为温控跟踪敏感度参数。</w:t>
      </w:r>
    </w:p>
    <w:p>
      <w:pPr>
        <w:pStyle w:val="Compact"/>
        <w:numPr>
          <w:ilvl w:val="0"/>
          <w:numId w:val="1007"/>
        </w:numPr>
      </w:pPr>
      <w:r>
        <w:rPr>
          <w:rFonts w:hint="eastAsia"/>
        </w:rPr>
        <w:t xml:space="preserve">预测型强化学习决策机制</w:t>
      </w:r>
    </w:p>
    <w:p>
      <w:pPr>
        <w:pStyle w:val="FirstParagraph"/>
      </w:pPr>
      <w:r>
        <w:rPr>
          <w:rFonts w:hint="eastAsia"/>
        </w:rPr>
        <w:t xml:space="preserve">考虑状态维度已压缩至关键特征子集，本文采用多层感知机构建轻量级</w:t>
      </w:r>
      <w:r>
        <w:t xml:space="preserve"> DQN </w:t>
      </w:r>
      <w:r>
        <w:rPr>
          <w:rFonts w:hint="eastAsia"/>
        </w:rPr>
        <w:t xml:space="preserve">主体网络，以降低边缘部署场景下的推理延迟与存储开销。在算法实现层面，训练阶段遵循标准</w:t>
      </w:r>
      <w:r>
        <w:t xml:space="preserve"> DQN </w:t>
      </w:r>
      <w:r>
        <w:rPr>
          <w:rFonts w:hint="eastAsia"/>
        </w:rPr>
        <w:t xml:space="preserve">的逐步交互流程：智能体在每个时间步执行动作选择、环境步进、经验回放写入与网络参数更新。其一步时序差分目标可写为：</w:t>
      </w:r>
    </w:p>
    <w:p>
      <w:pPr>
        <w:pStyle w:val="BodyText"/>
      </w:pPr>
      <m:oMathPara>
        <m:oMathParaPr>
          <m:jc m:val="center"/>
        </m:oMathParaPr>
        <m:oMath>
          <m:sSub>
            <m:e>
              <m:r>
                <m:t>y</m:t>
              </m:r>
            </m:e>
            <m:sub>
              <m:r>
                <m:t>t</m:t>
              </m:r>
            </m:sub>
          </m:sSub>
          <m:r>
            <m:rPr>
              <m:sty m:val="p"/>
            </m:rPr>
            <m:t>=</m:t>
          </m:r>
          <m:sSub>
            <m:e>
              <m:r>
                <m:t>r</m:t>
              </m:r>
            </m:e>
            <m:sub>
              <m:r>
                <m:t>t</m:t>
              </m:r>
            </m:sub>
          </m:sSub>
          <m:r>
            <m:rPr>
              <m:sty m:val="p"/>
            </m:rPr>
            <m:t>+</m:t>
          </m:r>
          <m:r>
            <m:t>γ</m:t>
          </m:r>
          <m:r>
            <m:rPr>
              <m:sty m:val="p"/>
            </m:rPr>
            <m:t>(</m:t>
          </m:r>
          <m:r>
            <m:t>1</m:t>
          </m:r>
          <m:r>
            <m:rPr>
              <m:sty m:val="p"/>
            </m:rPr>
            <m:t>−</m:t>
          </m:r>
          <m:sSub>
            <m:e>
              <m:r>
                <m:t>d</m:t>
              </m:r>
            </m:e>
            <m:sub>
              <m:r>
                <m:t>t</m:t>
              </m:r>
            </m:sub>
          </m:sSub>
          <m:r>
            <m:rPr>
              <m:sty m:val="p"/>
            </m:rPr>
            <m:t>)</m:t>
          </m:r>
          <m:limLow>
            <m:e>
              <m:r>
                <m:rPr>
                  <m:sty m:val="p"/>
                </m:rPr>
                <m:t>max</m:t>
              </m:r>
            </m:e>
            <m:lim>
              <m:sSup>
                <m:e>
                  <m:r>
                    <m:t>a</m:t>
                  </m:r>
                </m:e>
                <m:sup>
                  <m:r>
                    <m:rPr>
                      <m:sty m:val="p"/>
                    </m:rPr>
                    <m:t>′</m:t>
                  </m:r>
                </m:sup>
              </m:sSup>
              <m:r>
                <m:rPr>
                  <m:sty m:val="p"/>
                </m:rPr>
                <m:t>∈</m:t>
              </m:r>
              <m:r>
                <m:rPr>
                  <m:scr m:val="script"/>
                  <m:sty m:val="p"/>
                </m:rPr>
                <m:t>A</m:t>
              </m:r>
            </m:lim>
          </m:limLow>
          <m:sSub>
            <m:e>
              <m:r>
                <m:t>Q</m:t>
              </m:r>
            </m:e>
            <m:sub>
              <m:sSup>
                <m:e>
                  <m:r>
                    <m:t>θ</m:t>
                  </m:r>
                </m:e>
                <m:sup>
                  <m:r>
                    <m:rPr>
                      <m:sty m:val="p"/>
                    </m:rPr>
                    <m:t>−</m:t>
                  </m:r>
                </m:sup>
              </m:sSup>
            </m:sub>
          </m:sSub>
          <m:r>
            <m:rPr>
              <m:sty m:val="p"/>
            </m:rPr>
            <m:t>(</m:t>
          </m:r>
          <m:sSub>
            <m:e>
              <m:r>
                <m:t>s</m:t>
              </m:r>
            </m:e>
            <m:sub>
              <m:r>
                <m:t>t</m:t>
              </m:r>
              <m:r>
                <m:rPr>
                  <m:sty m:val="p"/>
                </m:rPr>
                <m:t>+</m:t>
              </m:r>
              <m:r>
                <m:t>1</m:t>
              </m:r>
            </m:sub>
          </m:sSub>
          <m:r>
            <m:rPr>
              <m:sty m:val="p"/>
            </m:rPr>
            <m:t>,</m:t>
          </m:r>
          <m:sSup>
            <m:e>
              <m:r>
                <m:t>a</m:t>
              </m:r>
            </m:e>
            <m:sup>
              <m:r>
                <m:rPr>
                  <m:sty m:val="p"/>
                </m:rPr>
                <m:t>′</m:t>
              </m:r>
            </m:sup>
          </m:sSup>
          <m:r>
            <m:rPr>
              <m:sty m:val="p"/>
            </m:rPr>
            <m:t>)</m:t>
          </m:r>
        </m:oMath>
      </m:oMathPara>
    </w:p>
    <w:p>
      <w:pPr>
        <w:pStyle w:val="FirstParagraph"/>
      </w:pPr>
      <w:r>
        <w:rPr>
          <w:rFonts w:hint="eastAsia"/>
        </w:rPr>
        <w:t xml:space="preserve">其中</w:t>
      </w:r>
      <w:r>
        <w:t xml:space="preserve"> </w:t>
      </w:r>
      <m:oMath>
        <m:r>
          <m:t>θ</m:t>
        </m:r>
      </m:oMath>
      <w:r>
        <w:t xml:space="preserve"> </w:t>
      </w:r>
      <w:r>
        <w:rPr>
          <w:rFonts w:hint="eastAsia"/>
        </w:rPr>
        <w:t xml:space="preserve">为在线网络参数，</w:t>
      </w:r>
      <m:oMath>
        <m:sSup>
          <m:e>
            <m:r>
              <m:t>θ</m:t>
            </m:r>
          </m:e>
          <m:sup>
            <m:r>
              <m:rPr>
                <m:sty m:val="p"/>
              </m:rPr>
              <m:t>−</m:t>
            </m:r>
          </m:sup>
        </m:sSup>
      </m:oMath>
      <w:r>
        <w:t xml:space="preserve"> </w:t>
      </w:r>
      <w:r>
        <w:rPr>
          <w:rFonts w:hint="eastAsia"/>
        </w:rPr>
        <w:t xml:space="preserve">为目标网络参数，</w:t>
      </w:r>
      <m:oMath>
        <m:sSub>
          <m:e>
            <m:r>
              <m:t>d</m:t>
            </m:r>
          </m:e>
          <m:sub>
            <m:r>
              <m:t>t</m:t>
            </m:r>
          </m:sub>
        </m:sSub>
        <m:r>
          <m:rPr>
            <m:sty m:val="p"/>
          </m:rPr>
          <m:t>∈</m:t>
        </m:r>
        <m:r>
          <m:rPr>
            <m:sty m:val="p"/>
          </m:rPr>
          <m:t>{</m:t>
        </m:r>
        <m:r>
          <m:t>0</m:t>
        </m:r>
        <m:r>
          <m:rPr>
            <m:sty m:val="p"/>
          </m:rPr>
          <m:t>,</m:t>
        </m:r>
        <m:r>
          <m:t>1</m:t>
        </m:r>
        <m:r>
          <m:rPr>
            <m:sty m:val="p"/>
          </m:rPr>
          <m:t>}</m:t>
        </m:r>
      </m:oMath>
      <w:r>
        <w:t xml:space="preserve"> </w:t>
      </w:r>
      <w:r>
        <w:rPr>
          <w:rFonts w:hint="eastAsia"/>
        </w:rPr>
        <w:t xml:space="preserve">为终止标记。网络优化采用均方误差损失：</w:t>
      </w:r>
    </w:p>
    <w:p>
      <w:pPr>
        <w:pStyle w:val="BodyText"/>
      </w:pPr>
      <m:oMathPara>
        <m:oMathParaPr>
          <m:jc m:val="center"/>
        </m:oMathParaPr>
        <m:oMath>
          <m:r>
            <m:rPr>
              <m:scr m:val="script"/>
              <m:sty m:val="p"/>
            </m:rPr>
            <m:t>L</m:t>
          </m:r>
          <m:r>
            <m:rPr>
              <m:sty m:val="p"/>
            </m:rPr>
            <m:t>(</m:t>
          </m:r>
          <m:r>
            <m:t>θ</m:t>
          </m:r>
          <m:r>
            <m:rPr>
              <m:sty m:val="p"/>
            </m:rPr>
            <m:t>)</m:t>
          </m:r>
          <m:r>
            <m:rPr>
              <m:sty m:val="p"/>
            </m:rPr>
            <m:t>=</m:t>
          </m:r>
          <m:sSub>
            <m:e>
              <m:r>
                <m:rPr>
                  <m:scr m:val="double-struck"/>
                  <m:sty m:val="p"/>
                </m:rPr>
                <m:t>E</m:t>
              </m:r>
            </m:e>
            <m:sub>
              <m:r>
                <m:rPr>
                  <m:sty m:val="p"/>
                </m:rPr>
                <m:t>(</m:t>
              </m:r>
              <m:sSub>
                <m:e>
                  <m:r>
                    <m:t>s</m:t>
                  </m:r>
                </m:e>
                <m:sub>
                  <m:r>
                    <m:t>t</m:t>
                  </m:r>
                </m:sub>
              </m:sSub>
              <m:r>
                <m:rPr>
                  <m:sty m:val="p"/>
                </m:rPr>
                <m:t>,</m:t>
              </m:r>
              <m:sSub>
                <m:e>
                  <m:r>
                    <m:t>a</m:t>
                  </m:r>
                </m:e>
                <m:sub>
                  <m:r>
                    <m:t>t</m:t>
                  </m:r>
                </m:sub>
              </m:sSub>
              <m:r>
                <m:rPr>
                  <m:sty m:val="p"/>
                </m:rPr>
                <m:t>,</m:t>
              </m:r>
              <m:sSub>
                <m:e>
                  <m:r>
                    <m:t>r</m:t>
                  </m:r>
                </m:e>
                <m:sub>
                  <m:r>
                    <m:t>t</m:t>
                  </m:r>
                </m:sub>
              </m:sSub>
              <m:r>
                <m:rPr>
                  <m:sty m:val="p"/>
                </m:rPr>
                <m:t>,</m:t>
              </m:r>
              <m:sSub>
                <m:e>
                  <m:r>
                    <m:t>s</m:t>
                  </m:r>
                </m:e>
                <m:sub>
                  <m:r>
                    <m:t>t</m:t>
                  </m:r>
                  <m:r>
                    <m:rPr>
                      <m:sty m:val="p"/>
                    </m:rPr>
                    <m:t>+</m:t>
                  </m:r>
                  <m:r>
                    <m:t>1</m:t>
                  </m:r>
                </m:sub>
              </m:sSub>
              <m:r>
                <m:rPr>
                  <m:sty m:val="p"/>
                </m:rPr>
                <m:t>)</m:t>
              </m:r>
              <m:r>
                <m:rPr>
                  <m:sty m:val="p"/>
                </m:rPr>
                <m:t>∼</m:t>
              </m:r>
              <m:r>
                <m:rPr>
                  <m:scr m:val="script"/>
                  <m:sty m:val="p"/>
                </m:rPr>
                <m:t>D</m:t>
              </m:r>
            </m:sub>
          </m:sSub>
          <m:d>
            <m:dPr>
              <m:begChr m:val="["/>
              <m:sepChr m:val=""/>
              <m:endChr m:val="]"/>
              <m:grow/>
            </m:dPr>
            <m:e>
              <m:sSup>
                <m:e>
                  <m:d>
                    <m:dPr>
                      <m:begChr m:val="("/>
                      <m:sepChr m:val=""/>
                      <m:endChr m:val=")"/>
                      <m:grow/>
                    </m:dPr>
                    <m:e>
                      <m:sSub>
                        <m:e>
                          <m:r>
                            <m:t>y</m:t>
                          </m:r>
                        </m:e>
                        <m:sub>
                          <m:r>
                            <m:t>t</m:t>
                          </m:r>
                        </m:sub>
                      </m:sSub>
                      <m:r>
                        <m:rPr>
                          <m:sty m:val="p"/>
                        </m:rPr>
                        <m:t>−</m:t>
                      </m:r>
                      <m:sSub>
                        <m:e>
                          <m:r>
                            <m:t>Q</m:t>
                          </m:r>
                        </m:e>
                        <m:sub>
                          <m:r>
                            <m:t>θ</m:t>
                          </m:r>
                        </m:sub>
                      </m:sSub>
                      <m:r>
                        <m:rPr>
                          <m:sty m:val="p"/>
                        </m:rPr>
                        <m:t>(</m:t>
                      </m:r>
                      <m:sSub>
                        <m:e>
                          <m:r>
                            <m:t>s</m:t>
                          </m:r>
                        </m:e>
                        <m:sub>
                          <m:r>
                            <m:t>t</m:t>
                          </m:r>
                        </m:sub>
                      </m:sSub>
                      <m:r>
                        <m:rPr>
                          <m:sty m:val="p"/>
                        </m:rPr>
                        <m:t>,</m:t>
                      </m:r>
                      <m:sSub>
                        <m:e>
                          <m:r>
                            <m:t>a</m:t>
                          </m:r>
                        </m:e>
                        <m:sub>
                          <m:r>
                            <m:t>t</m:t>
                          </m:r>
                        </m:sub>
                      </m:sSub>
                      <m:r>
                        <m:rPr>
                          <m:sty m:val="p"/>
                        </m:rPr>
                        <m:t>)</m:t>
                      </m:r>
                    </m:e>
                  </m:d>
                </m:e>
                <m:sup>
                  <m:r>
                    <m:t>2</m:t>
                  </m:r>
                </m:sup>
              </m:sSup>
            </m:e>
          </m:d>
        </m:oMath>
      </m:oMathPara>
    </w:p>
    <w:p>
      <w:pPr>
        <w:pStyle w:val="FirstParagraph"/>
      </w:pPr>
      <w:r>
        <w:rPr>
          <w:rFonts w:hint="eastAsia"/>
        </w:rPr>
        <w:t xml:space="preserve">其中</w:t>
      </w:r>
      <w:r>
        <w:t xml:space="preserve"> </w:t>
      </w:r>
      <m:oMath>
        <m:r>
          <m:rPr>
            <m:scr m:val="script"/>
            <m:sty m:val="p"/>
          </m:rPr>
          <m:t>D</m:t>
        </m:r>
      </m:oMath>
      <w:r>
        <w:t xml:space="preserve"> </w:t>
      </w:r>
      <w:r>
        <w:rPr>
          <w:rFonts w:hint="eastAsia"/>
        </w:rPr>
        <w:t xml:space="preserve">为经验回放缓冲区。该训练机制通过打破样本时序相关性并延迟目标值更新，提升了价值学习过程的数值稳定性。</w:t>
      </w:r>
    </w:p>
    <w:p>
      <w:pPr>
        <w:pStyle w:val="BodyText"/>
      </w:pPr>
      <w:r>
        <w:rPr>
          <w:rFonts w:hint="eastAsia"/>
        </w:rPr>
        <w:t xml:space="preserve">训练阶段采用固定步长交互，主要基于两点考虑：其一，若仅在触发时采样，经验分布会过度集中于突发工况，从而削弱价值函数在平稳工况下的估计一致性；其二，固定步长能够维持状态</w:t>
      </w:r>
      <w:r>
        <w:t xml:space="preserve"> - </w:t>
      </w:r>
      <w:r>
        <w:rPr>
          <w:rFonts w:hint="eastAsia"/>
        </w:rPr>
        <w:t xml:space="preserve">动作覆盖的连续性，提升经验回放与目标网络更新的数值稳定性。这种设计使策略网络在训练期间充分覆盖状态</w:t>
      </w:r>
      <w:r>
        <w:t xml:space="preserve"> - </w:t>
      </w:r>
      <w:r>
        <w:rPr>
          <w:rFonts w:hint="eastAsia"/>
        </w:rPr>
        <w:t xml:space="preserve">动作空间，部署时再借助门控机制实现动作更新的稀疏化。</w:t>
      </w:r>
    </w:p>
    <w:p>
      <w:pPr>
        <w:pStyle w:val="Compact"/>
        <w:numPr>
          <w:ilvl w:val="0"/>
          <w:numId w:val="1008"/>
        </w:numPr>
      </w:pPr>
      <w:r>
        <w:rPr>
          <w:rFonts w:hint="eastAsia"/>
        </w:rPr>
        <w:t xml:space="preserve">事件驱动在线执行算法</w:t>
      </w:r>
    </w:p>
    <w:p>
      <w:pPr>
        <w:pStyle w:val="FirstParagraph"/>
      </w:pPr>
      <w:r>
        <w:rPr>
          <w:rFonts w:hint="eastAsia"/>
        </w:rPr>
        <w:t xml:space="preserve">在在线运行阶段，系统按固定时钟步长完成特征采样，但通过事件驱动机制决定是否更新控制动作。具体流程如下：首先将提取的门控特征</w:t>
      </w:r>
      <w:r>
        <w:t xml:space="preserve"> </w:t>
      </w:r>
      <m:oMath>
        <m:sSub>
          <m:e>
            <m:r>
              <m:t>s</m:t>
            </m:r>
          </m:e>
          <m:sub>
            <m:r>
              <m:t>t</m:t>
            </m:r>
          </m:sub>
        </m:sSub>
      </m:oMath>
      <w:r>
        <w:t xml:space="preserve"> </w:t>
      </w:r>
      <w:r>
        <w:rPr>
          <w:rFonts w:hint="eastAsia"/>
        </w:rPr>
        <w:t xml:space="preserve">传递至流式门控模块，获得布尔型门控信号，并据此生成动作更新标志。当满足触发条件时，系统调用</w:t>
      </w:r>
      <w:r>
        <w:t xml:space="preserve"> DQN </w:t>
      </w:r>
      <w:r>
        <w:rPr>
          <w:rFonts w:hint="eastAsia"/>
        </w:rPr>
        <w:t xml:space="preserve">策略网络前向推理输出新的控制设定点；当未满足触发条件时，系统采用零阶保持器维持上一时刻的控制指令。其执行律表述为：</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π</m:t>
                        </m:r>
                      </m:e>
                      <m:sub>
                        <m:r>
                          <m:rPr>
                            <m:sty m:val="p"/>
                          </m:rPr>
                          <m:t>D</m:t>
                        </m:r>
                        <m:r>
                          <m:rPr>
                            <m:sty m:val="p"/>
                          </m:rPr>
                          <m:t>Q</m:t>
                        </m:r>
                        <m:r>
                          <m:rPr>
                            <m:sty m:val="p"/>
                          </m:rPr>
                          <m:t>N</m:t>
                        </m:r>
                      </m:sub>
                    </m:sSub>
                    <m:r>
                      <m:rPr>
                        <m:sty m:val="p"/>
                      </m:rPr>
                      <m:t>(</m:t>
                    </m:r>
                    <m:sSub>
                      <m:e>
                        <m:r>
                          <m:t>s</m:t>
                        </m:r>
                      </m:e>
                      <m:sub>
                        <m:r>
                          <m:t>t</m:t>
                        </m:r>
                      </m:sub>
                    </m:sSub>
                    <m:r>
                      <m:rPr>
                        <m:sty m:val="p"/>
                      </m:rPr>
                      <m:t>)</m:t>
                    </m:r>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1</m:t>
                    </m:r>
                  </m:e>
                </m:mr>
                <m:mr>
                  <m:e>
                    <m:sSub>
                      <m:e>
                        <m:r>
                          <m:t>u</m:t>
                        </m:r>
                      </m:e>
                      <m:sub>
                        <m:r>
                          <m:t>t</m:t>
                        </m:r>
                        <m:r>
                          <m:rPr>
                            <m:sty m:val="p"/>
                          </m:rPr>
                          <m:t>−</m:t>
                        </m:r>
                        <m:r>
                          <m:t>1</m:t>
                        </m:r>
                      </m:sub>
                    </m:sSub>
                    <m:r>
                      <m:rPr>
                        <m:sty m:val="p"/>
                      </m:rPr>
                      <m:t>,</m:t>
                    </m:r>
                  </m:e>
                  <m:e>
                    <m:r>
                      <m:rPr>
                        <m:nor/>
                        <m:sty m:val="p"/>
                      </m:rPr>
                      <m:t>if </m:t>
                    </m:r>
                    <m:r>
                      <m:rPr>
                        <m:sty m:val="p"/>
                      </m:rPr>
                      <m:t>T</m:t>
                    </m:r>
                    <m:r>
                      <m:rPr>
                        <m:sty m:val="p"/>
                      </m:rPr>
                      <m:t>r</m:t>
                    </m:r>
                    <m:r>
                      <m:rPr>
                        <m:sty m:val="p"/>
                      </m:rPr>
                      <m:t>i</m:t>
                    </m:r>
                    <m:r>
                      <m:rPr>
                        <m:sty m:val="p"/>
                      </m:rPr>
                      <m:t>g</m:t>
                    </m:r>
                    <m:r>
                      <m:rPr>
                        <m:sty m:val="p"/>
                      </m:rPr>
                      <m:t>g</m:t>
                    </m:r>
                    <m:r>
                      <m:rPr>
                        <m:sty m:val="p"/>
                      </m:rPr>
                      <m:t>e</m:t>
                    </m:r>
                    <m:r>
                      <m:rPr>
                        <m:sty m:val="p"/>
                      </m:rPr>
                      <m:t>r</m:t>
                    </m:r>
                    <m:r>
                      <m:rPr>
                        <m:sty m:val="p"/>
                      </m:rPr>
                      <m:t>(</m:t>
                    </m:r>
                    <m:sSub>
                      <m:e>
                        <m:r>
                          <m:t>s</m:t>
                        </m:r>
                      </m:e>
                      <m:sub>
                        <m:r>
                          <m:t>t</m:t>
                        </m:r>
                      </m:sub>
                    </m:sSub>
                    <m:r>
                      <m:rPr>
                        <m:sty m:val="p"/>
                      </m:rPr>
                      <m:t>)</m:t>
                    </m:r>
                    <m:r>
                      <m:rPr>
                        <m:sty m:val="p"/>
                      </m:rPr>
                      <m:t>=</m:t>
                    </m:r>
                    <m:r>
                      <m:t>0</m:t>
                    </m:r>
                  </m:e>
                </m:mr>
              </m:m>
            </m:e>
          </m:d>
        </m:oMath>
      </m:oMathPara>
    </w:p>
    <w:p>
      <w:pPr>
        <w:pStyle w:val="FirstParagraph"/>
      </w:pPr>
      <w:r>
        <w:rPr>
          <w:rFonts w:hint="eastAsia"/>
        </w:rPr>
        <w:t xml:space="preserve">最终的在线执行流程如下：</w:t>
      </w:r>
    </w:p>
    <w:p>
      <w:pPr>
        <w:pStyle w:val="BodyText"/>
      </w:pPr>
      <w:r>
        <w:rPr>
          <w:b/>
          <w:bCs/>
        </w:rPr>
        <w:t xml:space="preserve">Algorithm 1.</w:t>
      </w:r>
      <w:r>
        <w:t xml:space="preserve"> </w:t>
      </w:r>
      <w:r>
        <w:t xml:space="preserve">Event-Triggered Predictive RL (ET-PRL) Online Control Procedure</w:t>
      </w:r>
    </w:p>
    <w:p>
      <w:pPr>
        <w:pStyle w:val="SourceCode"/>
      </w:pPr>
      <w:r>
        <w:rPr>
          <w:rStyle w:val="VerbatimChar"/>
        </w:rPr>
        <w:t xml:space="preserve">Require: Trained policy network π_DQN, gate parameters Ω, min trigger interval Δ_min, total steps T</w:t>
      </w:r>
      <w:r>
        <w:br/>
      </w:r>
      <w:r>
        <w:rPr>
          <w:rStyle w:val="VerbatimChar"/>
        </w:rPr>
        <w:t xml:space="preserve">Require: Initial action u_0, last trigger time t_last ← −∞, anomaly score window A_0</w:t>
      </w:r>
      <w:r>
        <w:br/>
      </w:r>
      <w:r>
        <w:rPr>
          <w:rStyle w:val="VerbatimChar"/>
        </w:rPr>
        <w:t xml:space="preserve">1: for t = 1 to T do</w:t>
      </w:r>
      <w:r>
        <w:br/>
      </w:r>
      <w:r>
        <w:rPr>
          <w:rStyle w:val="VerbatimChar"/>
        </w:rPr>
        <w:t xml:space="preserve">2:     Collect Q_load^t, T_wb^t, Q̂_load^(t+1), form state s_t = [Q_load^t, T_wb^t, Q̂_load^(t+1)]</w:t>
      </w:r>
      <w:r>
        <w:br/>
      </w:r>
      <w:r>
        <w:rPr>
          <w:rStyle w:val="VerbatimChar"/>
        </w:rPr>
        <w:t xml:space="preserve">3:     Compute anomaly scores A_short(s_t), A_medium(s_t), A_long(s_t) on short/medium/long windows</w:t>
      </w:r>
      <w:r>
        <w:br/>
      </w:r>
      <w:r>
        <w:rPr>
          <w:rStyle w:val="VerbatimChar"/>
        </w:rPr>
        <w:t xml:space="preserve">4:     Fuse to obtain overall anomaly score:</w:t>
      </w:r>
      <w:r>
        <w:br/>
      </w:r>
      <w:r>
        <w:rPr>
          <w:rStyle w:val="VerbatimChar"/>
        </w:rPr>
        <w:t xml:space="preserve">5:     A(s_t) = w_s·A_short(s_t) + w_m·A_medium(s_t) + w_l·A_long(s_t)</w:t>
      </w:r>
      <w:r>
        <w:br/>
      </w:r>
      <w:r>
        <w:rPr>
          <w:rStyle w:val="VerbatimChar"/>
        </w:rPr>
        <w:t xml:space="preserve">6:     Compute candidate local threshold from window A_t:</w:t>
      </w:r>
      <w:r>
        <w:br/>
      </w:r>
      <w:r>
        <w:rPr>
          <w:rStyle w:val="VerbatimChar"/>
        </w:rPr>
        <w:t xml:space="preserve">7:     τ_cand^(t) = ω_q·τ_q^(t) + (1−ω_q)·τ_mad^(t)</w:t>
      </w:r>
      <w:r>
        <w:br/>
      </w:r>
      <w:r>
        <w:rPr>
          <w:rStyle w:val="VerbatimChar"/>
        </w:rPr>
        <w:t xml:space="preserve">8:     Update local threshold: τ_local^(t) = (1−λ_local)·τ_local^(t−1) + λ_local·τ_cand^(t)</w:t>
      </w:r>
      <w:r>
        <w:br/>
      </w:r>
      <w:r>
        <w:rPr>
          <w:rStyle w:val="VerbatimChar"/>
        </w:rPr>
        <w:t xml:space="preserve">9:     Update global threshold: τ_global^(t) = (1−λ_g)·τ_global^(t−1) + λ_g·τ_local^(t)</w:t>
      </w:r>
      <w:r>
        <w:br/>
      </w:r>
      <w:r>
        <w:rPr>
          <w:rStyle w:val="VerbatimChar"/>
        </w:rPr>
        <w:t xml:space="preserve">10:    τ̃_t = α_local·τ_local^(t) + (1−α_local)·τ_global^(t) + b_bias</w:t>
      </w:r>
      <w:r>
        <w:br/>
      </w:r>
      <w:r>
        <w:rPr>
          <w:rStyle w:val="VerbatimChar"/>
        </w:rPr>
        <w:t xml:space="preserve">11:    τ_t^* = clip(τ̃_t + m_hys, 0, 1)</w:t>
      </w:r>
      <w:r>
        <w:br/>
      </w:r>
      <w:r>
        <w:rPr>
          <w:rStyle w:val="VerbatimChar"/>
        </w:rPr>
        <w:t xml:space="preserve">12:    if A(s_t) &gt; τ_t^* and (t − t_last) &gt; Δ_min then</w:t>
      </w:r>
      <w:r>
        <w:br/>
      </w:r>
      <w:r>
        <w:rPr>
          <w:rStyle w:val="VerbatimChar"/>
        </w:rPr>
        <w:t xml:space="preserve">13:        u_t ← π_DQN(s_t); t_last ← t</w:t>
      </w:r>
      <w:r>
        <w:br/>
      </w:r>
      <w:r>
        <w:rPr>
          <w:rStyle w:val="VerbatimChar"/>
        </w:rPr>
        <w:t xml:space="preserve">14:    else</w:t>
      </w:r>
      <w:r>
        <w:br/>
      </w:r>
      <w:r>
        <w:rPr>
          <w:rStyle w:val="VerbatimChar"/>
        </w:rPr>
        <w:t xml:space="preserve">15:        u_t ← u_(t−1)    ⟹  ZOH hold</w:t>
      </w:r>
      <w:r>
        <w:br/>
      </w:r>
      <w:r>
        <w:rPr>
          <w:rStyle w:val="VerbatimChar"/>
        </w:rPr>
        <w:t xml:space="preserve">16:    end if</w:t>
      </w:r>
      <w:r>
        <w:br/>
      </w:r>
      <w:r>
        <w:rPr>
          <w:rStyle w:val="VerbatimChar"/>
        </w:rPr>
        <w:t xml:space="preserve">17:    Execute u_t; append A(s_t) to window for t+1 threshold update</w:t>
      </w:r>
      <w:r>
        <w:br/>
      </w:r>
      <w:r>
        <w:rPr>
          <w:rStyle w:val="VerbatimChar"/>
        </w:rPr>
        <w:t xml:space="preserve">18: end for</w:t>
      </w:r>
    </w:p>
    <w:bookmarkEnd w:id="15"/>
    <w:bookmarkEnd w:id="16"/>
    <w:bookmarkStart w:id="19" w:name="案例系统与仿真环境"/>
    <w:p>
      <w:pPr>
        <w:pStyle w:val="Heading1"/>
      </w:pPr>
      <w:r>
        <w:t xml:space="preserve">4. </w:t>
      </w:r>
      <w:r>
        <w:rPr>
          <w:rFonts w:hint="eastAsia"/>
        </w:rPr>
        <w:t xml:space="preserve">案例系统与仿真环境</w:t>
      </w:r>
    </w:p>
    <w:bookmarkStart w:id="17" w:name="建筑热力系统建模"/>
    <w:p>
      <w:pPr>
        <w:pStyle w:val="Heading2"/>
      </w:pPr>
      <w:r>
        <w:t xml:space="preserve">4.1 </w:t>
      </w:r>
      <w:r>
        <w:rPr>
          <w:rFonts w:hint="eastAsia"/>
        </w:rPr>
        <w:t xml:space="preserve">建筑热力系统建模</w:t>
      </w:r>
    </w:p>
    <w:p>
      <w:pPr>
        <w:pStyle w:val="FirstParagraph"/>
      </w:pPr>
      <w:r>
        <w:rPr>
          <w:rFonts w:hint="eastAsia"/>
        </w:rPr>
        <w:t xml:space="preserve">本研究选取上海某真实商业建筑的暖通空调（HVAC）系统作为物理模型，利用</w:t>
      </w:r>
      <w:r>
        <w:t xml:space="preserve"> EnergyPlus </w:t>
      </w:r>
      <w:r>
        <w:rPr>
          <w:rFonts w:hint="eastAsia"/>
        </w:rPr>
        <w:t xml:space="preserve">软件构建仿真环境。该模型已在前期研究中基于实测数据完成参数校验，验证了其对系统热力学特性的有效表征能力。冷源系统配置为典型的一次泵定流量系统（Primary</w:t>
      </w:r>
      <w:r>
        <w:t xml:space="preserve"> Constant Flow </w:t>
      </w:r>
      <w:r>
        <w:rPr>
          <w:rFonts w:hint="eastAsia"/>
        </w:rPr>
        <w:t xml:space="preserve">System），核心组件包括离心式冷水机组、冷冻水泵、冷却水泵及冷却塔。</w:t>
      </w:r>
    </w:p>
    <w:p>
      <w:pPr>
        <w:pStyle w:val="BodyText"/>
      </w:pPr>
      <w:r>
        <w:rPr>
          <w:rFonts w:hint="eastAsia"/>
        </w:rPr>
        <w:t xml:space="preserve">为准确模拟系统的能耗与热力学特性，本研究对各核心组件的额定参数进行了统一设定。系统关键设备的设计参数汇总见表</w:t>
      </w:r>
      <w:r>
        <w:t xml:space="preserve"> 4-1。</w:t>
      </w:r>
    </w:p>
    <w:p>
      <w:pPr>
        <w:pStyle w:val="BodyText"/>
      </w:pPr>
      <w:r>
        <w:rPr>
          <w:rFonts w:hint="eastAsia"/>
        </w:rPr>
        <w:t xml:space="preserve">表</w:t>
      </w:r>
      <w:r>
        <w:t xml:space="preserve"> 4-1 HVAC </w:t>
      </w:r>
      <w:r>
        <w:rPr>
          <w:rFonts w:hint="eastAsia"/>
        </w:rPr>
        <w:t xml:space="preserve">系统关键设备参数</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设备名称</w:t>
            </w:r>
          </w:p>
        </w:tc>
        <w:tc>
          <w:tcPr/>
          <w:p>
            <w:pPr>
              <w:pStyle w:val="Compact"/>
            </w:pPr>
            <w:r>
              <w:rPr>
                <w:rFonts w:hint="eastAsia"/>
                <w:b/>
                <w:bCs/>
              </w:rPr>
              <w:t xml:space="preserve">数量</w:t>
            </w:r>
            <w:r>
              <w:rPr>
                <w:b/>
                <w:bCs/>
              </w:rPr>
              <w:t xml:space="preserve"> </w:t>
            </w:r>
            <w:r>
              <w:rPr>
                <w:rFonts w:hint="eastAsia"/>
                <w:b/>
                <w:bCs/>
              </w:rPr>
              <w:t xml:space="preserve">(台)</w:t>
            </w:r>
          </w:p>
        </w:tc>
        <w:tc>
          <w:tcPr/>
          <w:p>
            <w:pPr>
              <w:pStyle w:val="Compact"/>
            </w:pPr>
            <w:r>
              <w:rPr>
                <w:rFonts w:hint="eastAsia"/>
                <w:b/>
                <w:bCs/>
              </w:rPr>
              <w:t xml:space="preserve">额定功率</w:t>
            </w:r>
            <w:r>
              <w:rPr>
                <w:b/>
                <w:bCs/>
              </w:rPr>
              <w:t xml:space="preserve"> (Pref, kW)</w:t>
            </w:r>
          </w:p>
        </w:tc>
        <w:tc>
          <w:tcPr/>
          <w:p>
            <w:pPr>
              <w:pStyle w:val="Compact"/>
            </w:pPr>
            <w:r>
              <w:rPr>
                <w:rFonts w:hint="eastAsia"/>
                <w:b/>
                <w:bCs/>
              </w:rPr>
              <w:t xml:space="preserve">额定容量</w:t>
            </w:r>
            <w:r>
              <w:rPr>
                <w:b/>
                <w:bCs/>
              </w:rPr>
              <w:t xml:space="preserve"> / </w:t>
            </w:r>
            <w:r>
              <w:rPr>
                <w:rFonts w:hint="eastAsia"/>
                <w:b/>
                <w:bCs/>
              </w:rPr>
              <w:t xml:space="preserve">流量</w:t>
            </w:r>
          </w:p>
        </w:tc>
        <w:tc>
          <w:tcPr/>
          <w:p>
            <w:pPr>
              <w:pStyle w:val="Compact"/>
            </w:pPr>
            <w:r>
              <w:rPr>
                <w:rFonts w:hint="eastAsia"/>
                <w:b/>
                <w:bCs/>
              </w:rPr>
              <w:t xml:space="preserve">运行特性与关键参数</w:t>
            </w:r>
          </w:p>
        </w:tc>
      </w:tr>
      <w:tr>
        <w:tc>
          <w:tcPr/>
          <w:p>
            <w:pPr>
              <w:pStyle w:val="Compact"/>
            </w:pPr>
            <w:r>
              <w:rPr>
                <w:rFonts w:hint="eastAsia"/>
                <w:b/>
                <w:bCs/>
              </w:rPr>
              <w:t xml:space="preserve">离心式冷水机组</w:t>
            </w:r>
          </w:p>
        </w:tc>
        <w:tc>
          <w:tcPr/>
          <w:p>
            <w:pPr>
              <w:pStyle w:val="Compact"/>
            </w:pPr>
            <w:r>
              <w:t xml:space="preserve">3</w:t>
            </w:r>
          </w:p>
        </w:tc>
        <w:tc>
          <w:tcPr/>
          <w:p>
            <w:pPr>
              <w:pStyle w:val="Compact"/>
            </w:pPr>
            <w:r>
              <w:t xml:space="preserve">314</w:t>
            </w:r>
          </w:p>
        </w:tc>
        <w:tc>
          <w:tcPr/>
          <w:p>
            <w:pPr>
              <w:pStyle w:val="Compact"/>
            </w:pPr>
            <w:r>
              <w:t xml:space="preserve">1760 kW </w:t>
            </w:r>
            <w:r>
              <w:rPr>
                <w:rFonts w:hint="eastAsia"/>
              </w:rPr>
              <w:t xml:space="preserve">(制冷量)</w:t>
            </w:r>
          </w:p>
        </w:tc>
        <w:tc>
          <w:tcPr/>
          <w:p>
            <w:pPr>
              <w:pStyle w:val="Compact"/>
            </w:pPr>
            <w:r>
              <w:t xml:space="preserve">COP </w:t>
            </w:r>
            <w:r>
              <w:rPr>
                <w:rFonts w:hint="eastAsia"/>
              </w:rPr>
              <w:t xml:space="preserve">随负荷变化；</w:t>
            </w:r>
            <w:r>
              <w:t xml:space="preserve"> </w:t>
            </w:r>
            <w:r>
              <w:rPr>
                <w:rFonts w:hint="eastAsia"/>
              </w:rPr>
              <w:t xml:space="preserve">设定温度</w:t>
            </w:r>
            <w:r>
              <w:t xml:space="preserve"> </w:t>
            </w:r>
            <m:oMath>
              <m:sSub>
                <m:e>
                  <m:r>
                    <m:t>T</m:t>
                  </m:r>
                </m:e>
                <m:sub>
                  <m:r>
                    <m:t>s</m:t>
                  </m:r>
                  <m:r>
                    <m:t>e</m:t>
                  </m:r>
                  <m:r>
                    <m:t>t</m:t>
                  </m:r>
                </m:sub>
              </m:sSub>
              <m:r>
                <m:rPr>
                  <m:sty m:val="p"/>
                </m:rPr>
                <m:t>=</m:t>
              </m:r>
              <m:r>
                <m:t>7</m:t>
              </m:r>
              <m:r>
                <m:rPr>
                  <m:nor/>
                  <m:sty m:val="p"/>
                </m:rPr>
                <m:t>°C</m:t>
              </m:r>
            </m:oMath>
            <w:r>
              <w:t xml:space="preserve"> </w:t>
            </w:r>
            <w:r>
              <w:rPr>
                <w:rFonts w:hint="eastAsia"/>
              </w:rPr>
              <w:t xml:space="preserve">(范围：</w:t>
            </w:r>
            <m:oMath>
              <m:r>
                <m:t>6</m:t>
              </m:r>
              <m:r>
                <m:rPr>
                  <m:sty m:val="p"/>
                </m:rPr>
                <m:t>∼</m:t>
              </m:r>
              <m:r>
                <m:t>15</m:t>
              </m:r>
              <m:r>
                <m:rPr>
                  <m:nor/>
                  <m:sty m:val="p"/>
                </m:rPr>
                <m:t>°C</m:t>
              </m:r>
            </m:oMath>
            <w:r>
              <w:t xml:space="preserve">)</w:t>
            </w:r>
          </w:p>
        </w:tc>
      </w:tr>
      <w:tr>
        <w:tc>
          <w:tcPr/>
          <w:p>
            <w:pPr>
              <w:pStyle w:val="Compact"/>
            </w:pPr>
            <w:r>
              <w:rPr>
                <w:rFonts w:hint="eastAsia"/>
                <w:b/>
                <w:bCs/>
              </w:rPr>
              <w:t xml:space="preserve">冷冻水泵</w:t>
            </w:r>
          </w:p>
        </w:tc>
        <w:tc>
          <w:tcPr/>
          <w:p>
            <w:pPr>
              <w:pStyle w:val="Compact"/>
            </w:pPr>
            <w:r>
              <w:t xml:space="preserve">3</w:t>
            </w:r>
          </w:p>
        </w:tc>
        <w:tc>
          <w:tcPr/>
          <w:p>
            <w:pPr>
              <w:pStyle w:val="Compact"/>
            </w:pPr>
            <w:r>
              <w:t xml:space="preserve">15</w:t>
            </w:r>
          </w:p>
        </w:tc>
        <w:tc>
          <w:tcPr/>
          <w:p>
            <w:pPr>
              <w:pStyle w:val="Compact"/>
            </w:pPr>
            <w:r>
              <w:t xml:space="preserve">252</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15</m:t>
              </m:r>
              <m:r>
                <m:t> </m:t>
              </m:r>
              <m:r>
                <m:rPr>
                  <m:nor/>
                  <m:sty m:val="p"/>
                </m:rPr>
                <m:t>m</m:t>
              </m:r>
            </m:oMath>
          </w:p>
        </w:tc>
      </w:tr>
      <w:tr>
        <w:tc>
          <w:tcPr/>
          <w:p>
            <w:pPr>
              <w:pStyle w:val="Compact"/>
            </w:pPr>
            <w:r>
              <w:rPr>
                <w:rFonts w:hint="eastAsia"/>
                <w:b/>
                <w:bCs/>
              </w:rPr>
              <w:t xml:space="preserve">冷却水泵</w:t>
            </w:r>
          </w:p>
        </w:tc>
        <w:tc>
          <w:tcPr/>
          <w:p>
            <w:pPr>
              <w:pStyle w:val="Compact"/>
            </w:pPr>
            <w:r>
              <w:t xml:space="preserve">3</w:t>
            </w:r>
          </w:p>
        </w:tc>
        <w:tc>
          <w:tcPr/>
          <w:p>
            <w:pPr>
              <w:pStyle w:val="Compact"/>
            </w:pPr>
            <w:r>
              <w:t xml:space="preserve">55</w:t>
            </w:r>
          </w:p>
        </w:tc>
        <w:tc>
          <w:tcPr/>
          <w:p>
            <w:pPr>
              <w:pStyle w:val="Compact"/>
            </w:pPr>
            <w:r>
              <w:t xml:space="preserve">366</w:t>
            </w:r>
            <w:r>
              <w:t xml:space="preserve"> </w:t>
            </w:r>
            <m:oMath>
              <m:sSup>
                <m:e>
                  <m:r>
                    <m:t>m</m:t>
                  </m:r>
                </m:e>
                <m:sup>
                  <m:r>
                    <m:t>3</m:t>
                  </m:r>
                </m:sup>
              </m:sSup>
              <m:r>
                <m:rPr>
                  <m:sty m:val="p"/>
                </m:rPr>
                <m:t>/</m:t>
              </m:r>
              <m:r>
                <m:t>h</m:t>
              </m:r>
            </m:oMath>
          </w:p>
        </w:tc>
        <w:tc>
          <w:tcPr/>
          <w:p>
            <w:pPr>
              <w:pStyle w:val="Compact"/>
            </w:pPr>
            <w:r>
              <w:rPr>
                <w:rFonts w:hint="eastAsia"/>
              </w:rPr>
              <w:t xml:space="preserve">定速运行；</w:t>
            </w:r>
            <w:r>
              <w:t xml:space="preserve"> </w:t>
            </w:r>
            <w:r>
              <w:rPr>
                <w:rFonts w:hint="eastAsia"/>
              </w:rPr>
              <w:t xml:space="preserve">额定扬程：</w:t>
            </w:r>
            <m:oMath>
              <m:r>
                <m:t>33</m:t>
              </m:r>
              <m:r>
                <m:t> </m:t>
              </m:r>
              <m:r>
                <m:rPr>
                  <m:nor/>
                  <m:sty m:val="p"/>
                </m:rPr>
                <m:t>m</m:t>
              </m:r>
            </m:oMath>
          </w:p>
        </w:tc>
      </w:tr>
      <w:tr>
        <w:tc>
          <w:tcPr/>
          <w:p>
            <w:pPr>
              <w:pStyle w:val="Compact"/>
            </w:pPr>
            <w:r>
              <w:rPr>
                <w:rFonts w:hint="eastAsia"/>
                <w:b/>
                <w:bCs/>
              </w:rPr>
              <w:t xml:space="preserve">冷却塔</w:t>
            </w:r>
          </w:p>
        </w:tc>
        <w:tc>
          <w:tcPr/>
          <w:p>
            <w:pPr>
              <w:pStyle w:val="Compact"/>
            </w:pPr>
            <w:r>
              <w:t xml:space="preserve">3</w:t>
            </w:r>
          </w:p>
        </w:tc>
        <w:tc>
          <w:tcPr/>
          <w:p>
            <w:pPr>
              <w:pStyle w:val="Compact"/>
            </w:pPr>
            <w:r>
              <w:t xml:space="preserve">16.5</w:t>
            </w:r>
          </w:p>
        </w:tc>
        <w:tc>
          <w:tcPr/>
          <w:p>
            <w:pPr>
              <w:pStyle w:val="Compact"/>
            </w:pPr>
            <w:r>
              <w:t xml:space="preserve">392</w:t>
            </w:r>
            <w:r>
              <w:t xml:space="preserve"> </w:t>
            </w:r>
            <m:oMath>
              <m:sSup>
                <m:e>
                  <m:r>
                    <m:t>m</m:t>
                  </m:r>
                </m:e>
                <m:sup>
                  <m:r>
                    <m:t>3</m:t>
                  </m:r>
                </m:sup>
              </m:sSup>
              <m:r>
                <m:rPr>
                  <m:sty m:val="p"/>
                </m:rPr>
                <m:t>/</m:t>
              </m:r>
              <m:r>
                <m:t>h</m:t>
              </m:r>
            </m:oMath>
          </w:p>
        </w:tc>
        <w:tc>
          <w:tcPr/>
          <w:p>
            <w:pPr>
              <w:pStyle w:val="Compact"/>
            </w:pPr>
            <w:r>
              <w:rPr>
                <w:rFonts w:hint="eastAsia"/>
              </w:rPr>
              <w:t xml:space="preserve">变工况特性；</w:t>
            </w:r>
            <w:r>
              <w:t xml:space="preserve"> </w:t>
            </w:r>
            <w:r>
              <w:rPr>
                <w:rFonts w:hint="eastAsia"/>
              </w:rPr>
              <w:t xml:space="preserve">性能与湿球温度</w:t>
            </w:r>
            <w:r>
              <w:t xml:space="preserve"> </w:t>
            </w:r>
            <m:oMath>
              <m:sSub>
                <m:e>
                  <m:r>
                    <m:t>T</m:t>
                  </m:r>
                </m:e>
                <m:sub>
                  <m:r>
                    <m:t>w</m:t>
                  </m:r>
                  <m:r>
                    <m:t>b</m:t>
                  </m:r>
                </m:sub>
              </m:sSub>
            </m:oMath>
            <w:r>
              <w:t xml:space="preserve"> </w:t>
            </w:r>
            <w:r>
              <w:rPr>
                <w:rFonts w:hint="eastAsia"/>
              </w:rPr>
              <w:t xml:space="preserve">强耦合</w:t>
            </w:r>
          </w:p>
        </w:tc>
      </w:tr>
    </w:tbl>
    <w:p>
      <w:pPr>
        <w:pStyle w:val="BodyText"/>
      </w:pPr>
      <w:r>
        <w:rPr>
          <w:rFonts w:hint="eastAsia"/>
        </w:rPr>
        <w:t xml:space="preserve">基于上述参数，冷冻水侧的热量传递过程可由热力学守恒关系描述。本文在计算中采用标准水物性参数：比热容</w:t>
      </w:r>
      <w:r>
        <w:t xml:space="preserve"> </w:t>
      </w:r>
      <m:oMath>
        <m:sSub>
          <m:e>
            <m:r>
              <m:t>c</m:t>
            </m:r>
          </m:e>
          <m:sub>
            <m:r>
              <m:t>p</m:t>
            </m:r>
          </m:sub>
        </m:sSub>
        <m:r>
          <m:rPr>
            <m:sty m:val="p"/>
          </m:rPr>
          <m:t>=</m:t>
        </m:r>
        <m:r>
          <m:t>4.2</m:t>
        </m:r>
        <m:r>
          <m:t> </m:t>
        </m:r>
        <m:r>
          <m:rPr>
            <m:nor/>
            <m:sty m:val="p"/>
          </m:rPr>
          <m:t>kJ/(kg</m:t>
        </m:r>
        <m:r>
          <m:rPr>
            <m:sty m:val="p"/>
          </m:rPr>
          <m:t>⋅</m:t>
        </m:r>
        <m:r>
          <m:rPr>
            <m:nor/>
            <m:sty m:val="p"/>
          </m:rPr>
          <m:t>K)</m:t>
        </m:r>
      </m:oMath>
      <w:r>
        <w:rPr>
          <w:rFonts w:hint="eastAsia"/>
        </w:rPr>
        <w:t xml:space="preserve">，密度</w:t>
      </w:r>
      <w:r>
        <w:t xml:space="preserve"> </w:t>
      </w:r>
      <m:oMath>
        <m:sSub>
          <m:e>
            <m:r>
              <m:t>ρ</m:t>
            </m:r>
          </m:e>
          <m:sub>
            <m:r>
              <m:rPr>
                <m:nor/>
                <m:sty m:val="p"/>
              </m:rPr>
              <m:t>water</m:t>
            </m:r>
          </m:sub>
        </m:sSub>
        <m:r>
          <m:rPr>
            <m:sty m:val="p"/>
          </m:rPr>
          <m:t>=</m:t>
        </m:r>
        <m:r>
          <m:t>1000</m:t>
        </m:r>
        <m:r>
          <m:t> </m:t>
        </m:r>
        <m:r>
          <m:rPr>
            <m:nor/>
            <m:sty m:val="p"/>
          </m:rPr>
          <m:t>kg</m:t>
        </m:r>
        <m:r>
          <m:rPr>
            <m:sty m:val="p"/>
          </m:rPr>
          <m:t>/</m:t>
        </m:r>
        <m:sSup>
          <m:e>
            <m:r>
              <m:rPr>
                <m:nor/>
                <m:sty m:val="p"/>
              </m:rPr>
              <m:t>m</m:t>
            </m:r>
          </m:e>
          <m:sup>
            <m:r>
              <m:t>3</m:t>
            </m:r>
          </m:sup>
        </m:sSup>
      </m:oMath>
      <w:r>
        <w:rPr>
          <w:rFonts w:hint="eastAsia"/>
        </w:rPr>
        <w:t xml:space="preserve">。瞬时冷负荷计算公式为：</w:t>
      </w:r>
    </w:p>
    <w:p>
      <w:pPr>
        <w:pStyle w:val="BodyText"/>
      </w:pPr>
      <m:oMathPara>
        <m:oMathParaPr>
          <m:jc m:val="center"/>
        </m:oMathParaPr>
        <m:oMath>
          <m:sSub>
            <m:e>
              <m:r>
                <m:t>Q</m:t>
              </m:r>
            </m:e>
            <m:sub>
              <m:r>
                <m:t>l</m:t>
              </m:r>
              <m:r>
                <m:t>o</m:t>
              </m:r>
              <m:r>
                <m:t>a</m:t>
              </m:r>
              <m:r>
                <m:t>d</m:t>
              </m:r>
            </m:sub>
          </m:sSub>
          <m:r>
            <m:rPr>
              <m:sty m:val="p"/>
            </m:rPr>
            <m:t>=</m:t>
          </m:r>
          <m:sSub>
            <m:e>
              <m:r>
                <m:t>ρ</m:t>
              </m:r>
            </m:e>
            <m:sub>
              <m:r>
                <m:rPr>
                  <m:nor/>
                  <m:sty m:val="p"/>
                </m:rPr>
                <m:t>water</m:t>
              </m:r>
            </m:sub>
          </m:sSub>
          <m:r>
            <m:rPr>
              <m:sty m:val="p"/>
            </m:rPr>
            <m:t>⋅</m:t>
          </m:r>
          <m:sSub>
            <m:e>
              <m:r>
                <m:t>F</m:t>
              </m:r>
            </m:e>
            <m:sub>
              <m:r>
                <m:t>c</m:t>
              </m:r>
              <m:r>
                <m:t>h</m:t>
              </m:r>
              <m:r>
                <m:t>w</m:t>
              </m:r>
            </m:sub>
          </m:sSub>
          <m:r>
            <m:rPr>
              <m:sty m:val="p"/>
            </m:rPr>
            <m:t>⋅</m:t>
          </m:r>
          <m:sSub>
            <m:e>
              <m:r>
                <m:t>c</m:t>
              </m:r>
            </m:e>
            <m:sub>
              <m:r>
                <m:t>p</m:t>
              </m:r>
            </m:sub>
          </m:sSub>
          <m:r>
            <m:rPr>
              <m:sty m:val="p"/>
            </m:rPr>
            <m:t>⋅</m:t>
          </m:r>
          <m:r>
            <m:rPr>
              <m:sty m:val="p"/>
            </m:rPr>
            <m:t>(</m:t>
          </m:r>
          <m:sSub>
            <m:e>
              <m:r>
                <m:t>T</m:t>
              </m:r>
            </m:e>
            <m:sub>
              <m:r>
                <m:t>c</m:t>
              </m:r>
              <m:r>
                <m:t>h</m:t>
              </m:r>
              <m:r>
                <m:t>w</m:t>
              </m:r>
              <m:r>
                <m:t>r</m:t>
              </m:r>
            </m:sub>
          </m:sSub>
          <m:r>
            <m:rPr>
              <m:sty m:val="p"/>
            </m:rPr>
            <m:t>−</m:t>
          </m:r>
          <m:sSub>
            <m:e>
              <m:r>
                <m:t>T</m:t>
              </m:r>
            </m:e>
            <m:sub>
              <m:r>
                <m:t>c</m:t>
              </m:r>
              <m:r>
                <m:t>h</m:t>
              </m:r>
              <m:r>
                <m:t>w</m:t>
              </m:r>
              <m:r>
                <m:t>s</m:t>
              </m:r>
            </m:sub>
          </m:sSub>
          <m:r>
            <m:rPr>
              <m:sty m:val="p"/>
            </m:rPr>
            <m:t>)</m:t>
          </m:r>
        </m:oMath>
      </m:oMathPara>
    </w:p>
    <w:p>
      <w:pPr>
        <w:pStyle w:val="FirstParagraph"/>
      </w:pPr>
      <w:r>
        <w:rPr>
          <w:rFonts w:hint="eastAsia"/>
        </w:rPr>
        <w:t xml:space="preserve">其中，</w:t>
      </w:r>
      <m:oMath>
        <m:sSub>
          <m:e>
            <m:r>
              <m:t>Q</m:t>
            </m:r>
          </m:e>
          <m:sub>
            <m:r>
              <m:t>l</m:t>
            </m:r>
            <m:r>
              <m:t>o</m:t>
            </m:r>
            <m:r>
              <m:t>a</m:t>
            </m:r>
            <m:r>
              <m:t>d</m:t>
            </m:r>
          </m:sub>
        </m:sSub>
      </m:oMath>
      <w:r>
        <w:t xml:space="preserve"> </w:t>
      </w:r>
      <w:r>
        <w:rPr>
          <w:rFonts w:hint="eastAsia"/>
        </w:rPr>
        <w:t xml:space="preserve">表示建筑冷负荷需求，</w:t>
      </w:r>
      <m:oMath>
        <m:sSub>
          <m:e>
            <m:r>
              <m:t>F</m:t>
            </m:r>
          </m:e>
          <m:sub>
            <m:r>
              <m:t>c</m:t>
            </m:r>
            <m:r>
              <m:t>h</m:t>
            </m:r>
            <m:r>
              <m:t>w</m:t>
            </m:r>
          </m:sub>
        </m:sSub>
      </m:oMath>
      <w:r>
        <w:t xml:space="preserve"> </w:t>
      </w:r>
      <w:r>
        <w:rPr>
          <w:rFonts w:hint="eastAsia"/>
        </w:rPr>
        <w:t xml:space="preserve">为冷冻水流量，</w:t>
      </w:r>
      <m:oMath>
        <m:sSub>
          <m:e>
            <m:r>
              <m:t>T</m:t>
            </m:r>
          </m:e>
          <m:sub>
            <m:r>
              <m:t>c</m:t>
            </m:r>
            <m:r>
              <m:t>h</m:t>
            </m:r>
            <m:r>
              <m:t>w</m:t>
            </m:r>
            <m:r>
              <m:t>r</m:t>
            </m:r>
          </m:sub>
        </m:sSub>
      </m:oMath>
      <w:r>
        <w:t xml:space="preserve"> </w:t>
      </w:r>
      <w:r>
        <w:rPr>
          <w:rFonts w:hint="eastAsia"/>
        </w:rPr>
        <w:t xml:space="preserve">与</w:t>
      </w:r>
      <w:r>
        <w:t xml:space="preserve"> </w:t>
      </w:r>
      <m:oMath>
        <m:sSub>
          <m:e>
            <m:r>
              <m:t>T</m:t>
            </m:r>
          </m:e>
          <m:sub>
            <m:r>
              <m:t>c</m:t>
            </m:r>
            <m:r>
              <m:t>h</m:t>
            </m:r>
            <m:r>
              <m:t>w</m:t>
            </m:r>
            <m:r>
              <m:t>s</m:t>
            </m:r>
          </m:sub>
        </m:sSub>
      </m:oMath>
      <w:r>
        <w:t xml:space="preserve"> </w:t>
      </w:r>
      <w:r>
        <w:rPr>
          <w:rFonts w:hint="eastAsia"/>
        </w:rPr>
        <w:t xml:space="preserve">分别表示冷冻水回水温度与供水温度。该物理建模过程保证了仿真环境能够较为真实地反映控制策略对系统热力状态的影响。</w:t>
      </w:r>
    </w:p>
    <w:bookmarkEnd w:id="17"/>
    <w:bookmarkStart w:id="18" w:name="气象与负荷数据集特征"/>
    <w:p>
      <w:pPr>
        <w:pStyle w:val="Heading2"/>
      </w:pPr>
      <w:r>
        <w:t xml:space="preserve">4.2 </w:t>
      </w:r>
      <w:r>
        <w:rPr>
          <w:rFonts w:hint="eastAsia"/>
        </w:rPr>
        <w:t xml:space="preserve">气象与负荷数据集特征</w:t>
      </w:r>
    </w:p>
    <w:p>
      <w:pPr>
        <w:pStyle w:val="FirstParagraph"/>
      </w:pPr>
      <w:r>
        <w:rPr>
          <w:rFonts w:hint="eastAsia"/>
        </w:rPr>
        <w:t xml:space="preserve">本研究采用基于上海地区典型气象年（Typical</w:t>
      </w:r>
      <w:r>
        <w:t xml:space="preserve"> Meteorological Year, </w:t>
      </w:r>
      <w:r>
        <w:rPr>
          <w:rFonts w:hint="eastAsia"/>
        </w:rPr>
        <w:t xml:space="preserve">TMY）生成的建筑冷负荷仿真数据集，采样间隔设定为</w:t>
      </w:r>
      <w:r>
        <w:t xml:space="preserve"> </w:t>
      </w:r>
      <m:oMath>
        <m:r>
          <m:t>5</m:t>
        </m:r>
        <m:r>
          <m:rPr>
            <m:nor/>
            <m:sty m:val="p"/>
          </m:rPr>
          <m:t>min</m:t>
        </m:r>
      </m:oMath>
      <w:r>
        <w:rPr>
          <w:rFonts w:hint="eastAsia"/>
        </w:rPr>
        <w:t xml:space="preserve">。数据覆盖完整制冷季（7</w:t>
      </w:r>
      <w:r>
        <w:t xml:space="preserve"> </w:t>
      </w:r>
      <w:r>
        <w:rPr>
          <w:rFonts w:hint="eastAsia"/>
        </w:rPr>
        <w:t xml:space="preserve">月</w:t>
      </w:r>
      <w:r>
        <w:t xml:space="preserve"> 1 </w:t>
      </w:r>
      <w:r>
        <w:rPr>
          <w:rFonts w:hint="eastAsia"/>
        </w:rPr>
        <w:t xml:space="preserve">日至</w:t>
      </w:r>
      <w:r>
        <w:t xml:space="preserve"> 10 </w:t>
      </w:r>
      <w:r>
        <w:rPr>
          <w:rFonts w:hint="eastAsia"/>
        </w:rPr>
        <w:t xml:space="preserve">月</w:t>
      </w:r>
      <w:r>
        <w:t xml:space="preserve"> 10 </w:t>
      </w:r>
      <w:r>
        <w:rPr>
          <w:rFonts w:hint="eastAsia"/>
        </w:rPr>
        <w:t xml:space="preserve">日），共计</w:t>
      </w:r>
      <w:r>
        <w:t xml:space="preserve"> </w:t>
      </w:r>
      <m:oMath>
        <m:r>
          <m:t>102</m:t>
        </m:r>
      </m:oMath>
      <w:r>
        <w:t xml:space="preserve"> </w:t>
      </w:r>
      <w:r>
        <w:rPr>
          <w:rFonts w:hint="eastAsia"/>
        </w:rPr>
        <w:t xml:space="preserve">天、</w:t>
      </w:r>
      <m:oMath>
        <m:r>
          <m:t>29</m:t>
        </m:r>
        <m:r>
          <m:rPr>
            <m:sty m:val="p"/>
          </m:rPr>
          <m:t>,</m:t>
        </m:r>
        <m:r>
          <m:t>376</m:t>
        </m:r>
      </m:oMath>
      <w:r>
        <w:t xml:space="preserve"> </w:t>
      </w:r>
      <w:r>
        <w:rPr>
          <w:rFonts w:hint="eastAsia"/>
        </w:rPr>
        <w:t xml:space="preserve">个时间步，能够同时表征日内周期性波动与季节尺度变化。统计结果表明：冷负荷峰值为</w:t>
      </w:r>
      <w:r>
        <w:t xml:space="preserve"> </w:t>
      </w:r>
      <m:oMath>
        <m:r>
          <m:t>5102.77</m:t>
        </m:r>
        <m:r>
          <m:t> </m:t>
        </m:r>
        <m:r>
          <m:rPr>
            <m:nor/>
            <m:sty m:val="p"/>
          </m:rPr>
          <m:t>kW</m:t>
        </m:r>
      </m:oMath>
      <w:r>
        <w:rPr>
          <w:rFonts w:hint="eastAsia"/>
        </w:rPr>
        <w:t xml:space="preserve">，标准差为</w:t>
      </w:r>
      <w:r>
        <w:t xml:space="preserve"> </w:t>
      </w:r>
      <m:oMath>
        <m:r>
          <m:t>962.02</m:t>
        </m:r>
        <m:r>
          <m:t> </m:t>
        </m:r>
        <m:r>
          <m:rPr>
            <m:nor/>
            <m:sty m:val="p"/>
          </m:rPr>
          <m:t>kW</m:t>
        </m:r>
      </m:oMath>
      <w:r>
        <w:rPr>
          <w:rFonts w:hint="eastAsia"/>
        </w:rPr>
        <w:t xml:space="preserve">，变异系数（CV）为</w:t>
      </w:r>
      <w:r>
        <w:t xml:space="preserve"> </w:t>
      </w:r>
      <m:oMath>
        <m:r>
          <m:t>37.3</m:t>
        </m:r>
        <m:r>
          <m:rPr>
            <m:sty m:val="p"/>
          </m:rPr>
          <m:t>%</m:t>
        </m:r>
      </m:oMath>
      <w:r>
        <w:rPr>
          <w:rFonts w:hint="eastAsia"/>
        </w:rPr>
        <w:t xml:space="preserve">；室外湿球温度</w:t>
      </w:r>
      <w:r>
        <w:t xml:space="preserve"> </w:t>
      </w:r>
      <m:oMath>
        <m:sSub>
          <m:e>
            <m:r>
              <m:t>T</m:t>
            </m:r>
          </m:e>
          <m:sub>
            <m:r>
              <m:t>w</m:t>
            </m:r>
            <m:r>
              <m:t>b</m:t>
            </m:r>
          </m:sub>
        </m:sSub>
      </m:oMath>
      <w:r>
        <w:t xml:space="preserve"> </w:t>
      </w:r>
      <w:r>
        <w:rPr>
          <w:rFonts w:hint="eastAsia"/>
        </w:rPr>
        <w:t xml:space="preserve">分布于</w:t>
      </w:r>
      <w:r>
        <w:t xml:space="preserve"> </w:t>
      </w:r>
      <m:oMath>
        <m:r>
          <m:t>21</m:t>
        </m:r>
        <m:r>
          <m:t> </m:t>
        </m:r>
        <m:r>
          <m:rPr>
            <m:nor/>
            <m:sty m:val="p"/>
          </m:rPr>
          <m:t>°C</m:t>
        </m:r>
        <m:r>
          <m:rPr>
            <m:sty m:val="p"/>
          </m:rPr>
          <m:t>∼</m:t>
        </m:r>
        <m:r>
          <m:t>28</m:t>
        </m:r>
        <m:r>
          <m:t> </m:t>
        </m:r>
        <m:r>
          <m:rPr>
            <m:nor/>
            <m:sty m:val="p"/>
          </m:rPr>
          <m:t>°C</m:t>
        </m:r>
      </m:oMath>
      <w:r>
        <w:t xml:space="preserve">。</w:t>
      </w:r>
    </w:p>
    <w:p>
      <w:pPr>
        <w:pStyle w:val="BodyText"/>
      </w:pPr>
      <w:r>
        <w:rPr>
          <w:rFonts w:hint="eastAsia"/>
        </w:rPr>
        <w:t xml:space="preserve">图</w:t>
      </w:r>
      <w:r>
        <w:t xml:space="preserve"> 4-2-1 </w:t>
      </w:r>
      <w:r>
        <w:rPr>
          <w:rFonts w:hint="eastAsia"/>
        </w:rPr>
        <w:t xml:space="preserve">展示了冷负荷与气象变量在不同时间尺度上的变化特征。图</w:t>
      </w:r>
      <w:r>
        <w:t xml:space="preserve"> 4-2-1(a) </w:t>
      </w:r>
      <w:r>
        <w:rPr>
          <w:rFonts w:hint="eastAsia"/>
        </w:rPr>
        <w:t xml:space="preserve">给出全季数据中选取的代表性</w:t>
      </w:r>
      <w:r>
        <w:t xml:space="preserve"> 14 </w:t>
      </w:r>
      <w:r>
        <w:rPr>
          <w:rFonts w:hint="eastAsia"/>
        </w:rPr>
        <w:t xml:space="preserve">天连续片段，结果表明冷负荷（</w:t>
      </w:r>
      <m:oMath>
        <m:sSub>
          <m:e>
            <m:r>
              <m:t>Q</m:t>
            </m:r>
          </m:e>
          <m:sub>
            <m:r>
              <m:t>l</m:t>
            </m:r>
            <m:r>
              <m:t>o</m:t>
            </m:r>
            <m:r>
              <m:t>a</m:t>
            </m:r>
            <m:r>
              <m:t>d</m:t>
            </m:r>
          </m:sub>
        </m:sSub>
      </m:oMath>
      <w:r>
        <w:rPr>
          <w:rFonts w:hint="eastAsia"/>
        </w:rPr>
        <w:t xml:space="preserve">）与湿球温度（</w:t>
      </w:r>
      <m:oMath>
        <m:sSub>
          <m:e>
            <m:r>
              <m:t>T</m:t>
            </m:r>
          </m:e>
          <m:sub>
            <m:r>
              <m:t>w</m:t>
            </m:r>
            <m:r>
              <m:t>b</m:t>
            </m:r>
          </m:sub>
        </m:sSub>
      </m:oMath>
      <w:r>
        <w:rPr>
          <w:rFonts w:hint="eastAsia"/>
        </w:rPr>
        <w:t xml:space="preserve">）在高负荷阶段总体呈同向变化，且</w:t>
      </w:r>
      <w:r>
        <w:t xml:space="preserve"> </w:t>
      </w:r>
      <m:oMath>
        <m:sSub>
          <m:e>
            <m:r>
              <m:t>Q</m:t>
            </m:r>
          </m:e>
          <m:sub>
            <m:r>
              <m:t>l</m:t>
            </m:r>
            <m:r>
              <m:t>o</m:t>
            </m:r>
            <m:r>
              <m:t>a</m:t>
            </m:r>
            <m:r>
              <m:t>d</m:t>
            </m:r>
          </m:sub>
        </m:sSub>
      </m:oMath>
      <w:r>
        <w:t xml:space="preserve"> </w:t>
      </w:r>
      <w:r>
        <w:rPr>
          <w:rFonts w:hint="eastAsia"/>
        </w:rPr>
        <w:t xml:space="preserve">的昼夜振幅显著高于</w:t>
      </w:r>
      <w:r>
        <w:t xml:space="preserve"> </w:t>
      </w:r>
      <m:oMath>
        <m:sSub>
          <m:e>
            <m:r>
              <m:t>T</m:t>
            </m:r>
          </m:e>
          <m:sub>
            <m:r>
              <m:t>w</m:t>
            </m:r>
            <m:r>
              <m:t>b</m:t>
            </m:r>
          </m:sub>
        </m:sSub>
      </m:oMath>
      <w:r>
        <w:rPr>
          <w:rFonts w:hint="eastAsia"/>
        </w:rPr>
        <w:t xml:space="preserve">。图</w:t>
      </w:r>
      <w:r>
        <w:t xml:space="preserve"> 4-2-1(b) </w:t>
      </w:r>
      <w:r>
        <w:rPr>
          <w:rFonts w:hint="eastAsia"/>
        </w:rPr>
        <w:t xml:space="preserve">给出按日内时刻聚合后的均值曲线，结果显示</w:t>
      </w:r>
      <w:r>
        <w:t xml:space="preserve"> </w:t>
      </w:r>
      <m:oMath>
        <m:sSub>
          <m:e>
            <m:r>
              <m:t>Q</m:t>
            </m:r>
          </m:e>
          <m:sub>
            <m:r>
              <m:t>l</m:t>
            </m:r>
            <m:r>
              <m:t>o</m:t>
            </m:r>
            <m:r>
              <m:t>a</m:t>
            </m:r>
            <m:r>
              <m:t>d</m:t>
            </m:r>
          </m:sub>
        </m:sSub>
      </m:oMath>
      <w:r>
        <w:t xml:space="preserve"> </w:t>
      </w:r>
      <w:r>
        <w:rPr>
          <w:rFonts w:hint="eastAsia"/>
        </w:rPr>
        <w:t xml:space="preserve">在白天工作时段持续抬升并于夜间回落，而</w:t>
      </w:r>
      <w:r>
        <w:t xml:space="preserve"> </w:t>
      </w:r>
      <m:oMath>
        <m:sSub>
          <m:e>
            <m:r>
              <m:t>T</m:t>
            </m:r>
          </m:e>
          <m:sub>
            <m:r>
              <m:t>w</m:t>
            </m:r>
            <m:r>
              <m:t>b</m:t>
            </m:r>
          </m:sub>
        </m:sSub>
      </m:oMath>
      <w:r>
        <w:t xml:space="preserve"> </w:t>
      </w:r>
      <w:r>
        <w:rPr>
          <w:rFonts w:hint="eastAsia"/>
        </w:rPr>
        <w:t xml:space="preserve">的日内波动相对缓和。</w:t>
      </w:r>
    </w:p>
    <w:p>
      <w:pPr>
        <w:pStyle w:val="BodyText"/>
      </w:pPr>
      <w:r>
        <w:rPr>
          <w:rFonts w:hint="eastAsia"/>
        </w:rPr>
        <w:t xml:space="preserve">图</w:t>
      </w:r>
      <w:r>
        <w:t xml:space="preserve"> 4-2-2 </w:t>
      </w:r>
      <w:r>
        <w:rPr>
          <w:rFonts w:hint="eastAsia"/>
        </w:rPr>
        <w:t xml:space="preserve">进一步展示了关键变量的边际分布与联合分布特征。图</w:t>
      </w:r>
      <w:r>
        <w:t xml:space="preserve"> 4-2-2(a) </w:t>
      </w:r>
      <w:r>
        <w:rPr>
          <w:rFonts w:hint="eastAsia"/>
        </w:rPr>
        <w:t xml:space="preserve">表明冷负荷分布呈明显右偏与长尾特性，说明高负荷样本占比虽低但持续存在。图</w:t>
      </w:r>
      <w:r>
        <w:t xml:space="preserve"> 4-2-2(b) </w:t>
      </w:r>
      <w:r>
        <w:rPr>
          <w:rFonts w:hint="eastAsia"/>
        </w:rPr>
        <w:t xml:space="preserve">表明湿球温度主要集中于相对狭窄区间，刻画了外生气象扰动的有效波动边界。图</w:t>
      </w:r>
      <w:r>
        <w:t xml:space="preserve"> 4-2-2(c) </w:t>
      </w:r>
      <w:r>
        <w:rPr>
          <w:rFonts w:hint="eastAsia"/>
        </w:rPr>
        <w:t xml:space="preserve">的联合密度结果显示，</w:t>
      </w:r>
      <m:oMath>
        <m:sSub>
          <m:e>
            <m:r>
              <m:t>T</m:t>
            </m:r>
          </m:e>
          <m:sub>
            <m:r>
              <m:t>w</m:t>
            </m:r>
            <m:r>
              <m:t>b</m:t>
            </m:r>
          </m:sub>
        </m:sSub>
      </m:oMath>
      <w:r>
        <w:t xml:space="preserve"> </w:t>
      </w:r>
      <w:r>
        <w:rPr>
          <w:rFonts w:hint="eastAsia"/>
        </w:rPr>
        <w:t xml:space="preserve">与</w:t>
      </w:r>
      <w:r>
        <w:t xml:space="preserve"> </w:t>
      </w:r>
      <m:oMath>
        <m:sSub>
          <m:e>
            <m:r>
              <m:t>Q</m:t>
            </m:r>
          </m:e>
          <m:sub>
            <m:r>
              <m:t>l</m:t>
            </m:r>
            <m:r>
              <m:t>o</m:t>
            </m:r>
            <m:r>
              <m:t>a</m:t>
            </m:r>
            <m:r>
              <m:t>d</m:t>
            </m:r>
          </m:sub>
        </m:sSub>
      </m:oMath>
      <w:r>
        <w:t xml:space="preserve"> </w:t>
      </w:r>
      <w:r>
        <w:rPr>
          <w:rFonts w:hint="eastAsia"/>
        </w:rPr>
        <w:t xml:space="preserve">的关系并非单一线性带状结构，而是在不同温度区间呈现异质性密度聚集。综合图</w:t>
      </w:r>
      <w:r>
        <w:t xml:space="preserve"> 4-2-1 </w:t>
      </w:r>
      <w:r>
        <w:rPr>
          <w:rFonts w:hint="eastAsia"/>
        </w:rPr>
        <w:t xml:space="preserve">与图</w:t>
      </w:r>
      <w:r>
        <w:t xml:space="preserve"> 4-2-2 </w:t>
      </w:r>
      <w:r>
        <w:rPr>
          <w:rFonts w:hint="eastAsia"/>
        </w:rPr>
        <w:t xml:space="preserve">可知，该数据集同时具备显著时序周期性与非线性联合分布特征，可为门控机制中的联合特征建模与动态判别提供数据依据。</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4-2-1 </w:t>
            </w:r>
            <w:r>
              <w:rPr>
                <w:rFonts w:hint="eastAsia"/>
              </w:rPr>
              <w:t xml:space="preserve">数据集时序特征可视化（全时段序列与日内统计轮廓）</w:t>
            </w:r>
          </w:p>
        </w:tc>
      </w:tr>
    </w:tbl>
    <w:p>
      <w:pPr>
        <w:pStyle w:val="ImageCaption"/>
      </w:pPr>
      <w:r>
        <w:rPr>
          <w:rFonts w:hint="eastAsia"/>
        </w:rPr>
        <w:t xml:space="preserve">图</w:t>
      </w:r>
      <w:r>
        <w:t xml:space="preserve"> 4-2-1 </w:t>
      </w:r>
      <w:r>
        <w:rPr>
          <w:rFonts w:hint="eastAsia"/>
        </w:rPr>
        <w:t xml:space="preserve">数据集时序特征可视化（全时段序列与日内统计轮廓）</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4-2-2 </w:t>
            </w:r>
            <w:r>
              <w:rPr>
                <w:rFonts w:hint="eastAsia"/>
              </w:rPr>
              <w:t xml:space="preserve">数据集分布与特征依赖关系可视化</w:t>
            </w:r>
          </w:p>
        </w:tc>
      </w:tr>
    </w:tbl>
    <w:p>
      <w:pPr>
        <w:pStyle w:val="ImageCaption"/>
      </w:pPr>
      <w:r>
        <w:rPr>
          <w:rFonts w:hint="eastAsia"/>
        </w:rPr>
        <w:t xml:space="preserve">图</w:t>
      </w:r>
      <w:r>
        <w:t xml:space="preserve"> 4-2-2 </w:t>
      </w:r>
      <w:r>
        <w:rPr>
          <w:rFonts w:hint="eastAsia"/>
        </w:rPr>
        <w:t xml:space="preserve">数据集分布与特征依赖关系可视化</w:t>
      </w:r>
    </w:p>
    <w:p>
      <w:pPr>
        <w:pStyle w:val="BodyText"/>
      </w:pPr>
      <w:r>
        <w:rPr>
          <w:rFonts w:hint="eastAsia"/>
        </w:rPr>
        <w:t xml:space="preserve">在预处理阶段，针对原始仿真序列中出现的少量非物理负值（共</w:t>
      </w:r>
      <w:r>
        <w:t xml:space="preserve"> 8 </w:t>
      </w:r>
      <w:r>
        <w:rPr>
          <w:rFonts w:hint="eastAsia"/>
        </w:rPr>
        <w:t xml:space="preserve">处），本文采用零值截断进行修正。为增强状态表征的前瞻性，进一步引入由</w:t>
      </w:r>
      <w:r>
        <w:t xml:space="preserve"> LSTM </w:t>
      </w:r>
      <w:r>
        <w:rPr>
          <w:rFonts w:hint="eastAsia"/>
        </w:rPr>
        <w:t xml:space="preserve">模型生成的下一时刻负荷预测值</w:t>
      </w:r>
      <w:r>
        <w:t xml:space="preserve"> </w:t>
      </w:r>
      <m:oMath>
        <m:sSubSup>
          <m:e>
            <m:acc>
              <m:accPr>
                <m:chr m:val="̂"/>
              </m:accPr>
              <m:e>
                <m:r>
                  <m:t>Q</m:t>
                </m:r>
              </m:e>
            </m:acc>
          </m:e>
          <m:sub>
            <m:r>
              <m:t>l</m:t>
            </m:r>
            <m:r>
              <m:t>o</m:t>
            </m:r>
            <m:r>
              <m:t>a</m:t>
            </m:r>
            <m:r>
              <m:t>d</m:t>
            </m:r>
          </m:sub>
          <m:sup>
            <m:r>
              <m:t>t</m:t>
            </m:r>
            <m:r>
              <m:rPr>
                <m:sty m:val="p"/>
              </m:rPr>
              <m:t>+</m:t>
            </m:r>
            <m:r>
              <m:t>1</m:t>
            </m:r>
          </m:sup>
        </m:sSubSup>
      </m:oMath>
      <w:r>
        <w:t xml:space="preserve"> </w:t>
      </w:r>
      <w:r>
        <w:rPr>
          <w:rFonts w:hint="eastAsia"/>
        </w:rPr>
        <w:t xml:space="preserve">作为增广特征，从而构建同时包含当前运行状态与短时演化趋势的输入表示。</w:t>
      </w:r>
    </w:p>
    <w:p>
      <w:pPr>
        <w:pStyle w:val="BodyText"/>
      </w:pPr>
      <w:r>
        <w:rPr>
          <w:rFonts w:hint="eastAsia"/>
        </w:rPr>
        <w:t xml:space="preserve">为避免时间信息泄漏并贴合实际部署场景，本文采用严格的时间顺序划分（Chronological</w:t>
      </w:r>
      <w:r>
        <w:t xml:space="preserve"> </w:t>
      </w:r>
      <w:r>
        <w:rPr>
          <w:rFonts w:hint="eastAsia"/>
        </w:rPr>
        <w:t xml:space="preserve">Split）策略，将数据集按时间先后划分为训练集、验证集与测试集，比例设定为</w:t>
      </w:r>
      <w:r>
        <w:t xml:space="preserve"> 70:15:15。</w:t>
      </w:r>
    </w:p>
    <w:bookmarkEnd w:id="18"/>
    <w:bookmarkEnd w:id="19"/>
    <w:bookmarkStart w:id="22" w:name="实验及结果"/>
    <w:p>
      <w:pPr>
        <w:pStyle w:val="Heading1"/>
      </w:pPr>
      <w:r>
        <w:t xml:space="preserve">5. </w:t>
      </w:r>
      <w:r>
        <w:rPr>
          <w:rFonts w:hint="eastAsia"/>
        </w:rPr>
        <w:t xml:space="preserve">实验及结果</w:t>
      </w:r>
    </w:p>
    <w:bookmarkStart w:id="20" w:name="实验设置-experimental-setup"/>
    <w:p>
      <w:pPr>
        <w:pStyle w:val="Heading2"/>
      </w:pPr>
      <w:r>
        <w:t xml:space="preserve">5.1 </w:t>
      </w:r>
      <w:r>
        <w:rPr>
          <w:rFonts w:hint="eastAsia"/>
        </w:rPr>
        <w:t xml:space="preserve">实验设置</w:t>
      </w:r>
      <w:r>
        <w:t xml:space="preserve"> (Experimental Setup)</w:t>
      </w:r>
    </w:p>
    <w:p>
      <w:pPr>
        <w:pStyle w:val="Compact"/>
        <w:numPr>
          <w:ilvl w:val="0"/>
          <w:numId w:val="1009"/>
        </w:numPr>
      </w:pPr>
      <w:r>
        <w:rPr>
          <w:rFonts w:hint="eastAsia"/>
        </w:rPr>
        <w:t xml:space="preserve">实验配置与超参数设置</w:t>
      </w:r>
    </w:p>
    <w:p>
      <w:pPr>
        <w:pStyle w:val="FirstParagraph"/>
      </w:pPr>
      <w:r>
        <w:rPr>
          <w:rFonts w:hint="eastAsia"/>
        </w:rPr>
        <w:t xml:space="preserve">本节给出实验中采用的核心超参数设置。为保证实验可复现性，表</w:t>
      </w:r>
      <w:r>
        <w:t xml:space="preserve"> 5-1 </w:t>
      </w:r>
      <w:r>
        <w:rPr>
          <w:rFonts w:hint="eastAsia"/>
        </w:rPr>
        <w:t xml:space="preserve">所列参数在各组实验中保持一致。除特别说明外，系统采样间隔统一为</w:t>
      </w:r>
      <w:r>
        <w:t xml:space="preserve"> 5 </w:t>
      </w:r>
      <w:r>
        <w:rPr>
          <w:rFonts w:hint="eastAsia"/>
        </w:rPr>
        <w:t xml:space="preserve">分钟。所有超参数均通过贝叶斯优化算法确定，并在验证集上完成性能筛选后固定用于后续实验。</w:t>
      </w:r>
    </w:p>
    <w:p>
      <w:pPr>
        <w:pStyle w:val="Compact"/>
        <w:numPr>
          <w:ilvl w:val="0"/>
          <w:numId w:val="1010"/>
        </w:numPr>
      </w:pPr>
      <w:r>
        <w:rPr>
          <w:b/>
          <w:bCs/>
        </w:rPr>
        <w:t xml:space="preserve">DQN </w:t>
      </w:r>
      <w:r>
        <w:rPr>
          <w:rFonts w:hint="eastAsia"/>
          <w:b/>
          <w:bCs/>
        </w:rPr>
        <w:t xml:space="preserve">智能体</w:t>
      </w:r>
      <w:r>
        <w:rPr>
          <w:b/>
          <w:bCs/>
        </w:rPr>
        <w:t xml:space="preserve"> (DQN Agent)</w:t>
      </w:r>
      <w:r>
        <w:rPr>
          <w:rFonts w:hint="eastAsia"/>
        </w:rPr>
        <w:t xml:space="preserve">：控制策略采用三层多层感知器结构</w:t>
      </w:r>
      <w:r>
        <w:t xml:space="preserve"> [256, 128, </w:t>
      </w:r>
      <w:r>
        <w:rPr>
          <w:rFonts w:hint="eastAsia"/>
        </w:rPr>
        <w:t xml:space="preserve">64]，状态维度为</w:t>
      </w:r>
      <w:r>
        <w:t xml:space="preserve"> </w:t>
      </w:r>
      <w:r>
        <w:rPr>
          <w:rFonts w:hint="eastAsia"/>
        </w:rPr>
        <w:t xml:space="preserve">3，离散动作数量为</w:t>
      </w:r>
      <w:r>
        <w:t xml:space="preserve"> </w:t>
      </w:r>
      <w:r>
        <w:rPr>
          <w:rFonts w:hint="eastAsia"/>
        </w:rPr>
        <w:t xml:space="preserve">10。训练阶段采用经验回放与目标网络更新机制，并通过指数衰减的</w:t>
      </w:r>
      <w:r>
        <w:t xml:space="preserve"> </w:t>
      </w:r>
      <m:oMath>
        <m:r>
          <m:t>ϵ</m:t>
        </m:r>
      </m:oMath>
      <w:r>
        <w:t xml:space="preserve">-greedy </w:t>
      </w:r>
      <w:r>
        <w:rPr>
          <w:rFonts w:hint="eastAsia"/>
        </w:rPr>
        <w:t xml:space="preserve">策略平衡探索与利用。</w:t>
      </w:r>
    </w:p>
    <w:p>
      <w:pPr>
        <w:pStyle w:val="Compact"/>
        <w:numPr>
          <w:ilvl w:val="0"/>
          <w:numId w:val="1010"/>
        </w:numPr>
      </w:pPr>
      <w:r>
        <w:rPr>
          <w:rFonts w:hint="eastAsia"/>
          <w:b/>
          <w:bCs/>
        </w:rPr>
        <w:t xml:space="preserve">在线流式门控</w:t>
      </w:r>
      <w:r>
        <w:rPr>
          <w:b/>
          <w:bCs/>
        </w:rPr>
        <w:t xml:space="preserve"> (Streaming Anomaly Gate)</w:t>
      </w:r>
      <w:r>
        <w:rPr>
          <w:rFonts w:hint="eastAsia"/>
        </w:rPr>
        <w:t xml:space="preserve">：门控模块由多尺度异常分数融合与双层阈值优化构成，实现在线触发判定。其关键参数包括局部窗口长度、全局指数平滑系数、阈值偏置项以及短/中/长时间尺度融合权重，用于平衡响应灵敏度与触发稳定性。</w:t>
      </w:r>
    </w:p>
    <w:p>
      <w:pPr>
        <w:pStyle w:val="FirstParagraph"/>
      </w:pPr>
      <w:r>
        <w:rPr>
          <w:rFonts w:hint="eastAsia"/>
        </w:rPr>
        <w:t xml:space="preserve">表</w:t>
      </w:r>
      <w:r>
        <w:t xml:space="preserve"> 5-1 </w:t>
      </w:r>
      <w:r>
        <w:rPr>
          <w:rFonts w:hint="eastAsia"/>
        </w:rPr>
        <w:t xml:space="preserve">关键超参数设置</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rPr>
                <w:b/>
                <w:bCs/>
              </w:rPr>
              <w:t xml:space="preserve">Module</w:t>
            </w:r>
          </w:p>
        </w:tc>
        <w:tc>
          <w:tcPr/>
          <w:p>
            <w:pPr>
              <w:pStyle w:val="Compact"/>
            </w:pPr>
            <w:r>
              <w:rPr>
                <w:b/>
                <w:bCs/>
              </w:rPr>
              <w:t xml:space="preserve">Parameter Description</w:t>
            </w:r>
          </w:p>
        </w:tc>
        <w:tc>
          <w:tcPr/>
          <w:p>
            <w:pPr>
              <w:pStyle w:val="Compact"/>
            </w:pPr>
            <w:r>
              <w:rPr>
                <w:b/>
                <w:bCs/>
              </w:rPr>
              <w:t xml:space="preserve">Symbol</w:t>
            </w:r>
          </w:p>
        </w:tc>
        <w:tc>
          <w:tcPr/>
          <w:p>
            <w:pPr>
              <w:pStyle w:val="Compact"/>
            </w:pPr>
            <w:r>
              <w:rPr>
                <w:b/>
                <w:bCs/>
              </w:rPr>
              <w:t xml:space="preserve">Value</w:t>
            </w:r>
          </w:p>
        </w:tc>
      </w:tr>
      <w:tr>
        <w:tc>
          <w:tcPr/>
          <w:p>
            <w:pPr>
              <w:pStyle w:val="Compact"/>
            </w:pPr>
            <w:r>
              <w:rPr>
                <w:b/>
                <w:bCs/>
              </w:rPr>
              <w:t xml:space="preserve">DQN Agent</w:t>
            </w:r>
          </w:p>
        </w:tc>
        <w:tc>
          <w:tcPr/>
          <w:p>
            <w:pPr>
              <w:pStyle w:val="Compact"/>
            </w:pPr>
            <w:r>
              <w:t xml:space="preserve">Learning rate</w:t>
            </w:r>
          </w:p>
        </w:tc>
        <w:tc>
          <w:tcPr/>
          <w:p>
            <w:pPr>
              <w:pStyle w:val="Compact"/>
            </w:pPr>
            <m:oMath>
              <m:r>
                <m:t>α</m:t>
              </m:r>
            </m:oMath>
          </w:p>
        </w:tc>
        <w:tc>
          <w:tcPr/>
          <w:p>
            <w:pPr>
              <w:pStyle w:val="Compact"/>
            </w:pPr>
            <m:oMath>
              <m:r>
                <m:t>0.0048</m:t>
              </m:r>
            </m:oMath>
          </w:p>
        </w:tc>
      </w:tr>
      <w:tr>
        <w:tc>
          <w:tcPr/>
          <w:p>
            <w:pPr>
              <w:pStyle w:val="Compact"/>
            </w:pPr>
          </w:p>
        </w:tc>
        <w:tc>
          <w:tcPr/>
          <w:p>
            <w:pPr>
              <w:pStyle w:val="Compact"/>
            </w:pPr>
            <w:r>
              <w:t xml:space="preserve">Discount factor</w:t>
            </w:r>
          </w:p>
        </w:tc>
        <w:tc>
          <w:tcPr/>
          <w:p>
            <w:pPr>
              <w:pStyle w:val="Compact"/>
            </w:pPr>
            <m:oMath>
              <m:r>
                <m:t>γ</m:t>
              </m:r>
            </m:oMath>
          </w:p>
        </w:tc>
        <w:tc>
          <w:tcPr/>
          <w:p>
            <w:pPr>
              <w:pStyle w:val="Compact"/>
            </w:pPr>
            <m:oMath>
              <m:r>
                <m:t>0.962</m:t>
              </m:r>
            </m:oMath>
          </w:p>
        </w:tc>
      </w:tr>
      <w:tr>
        <w:tc>
          <w:tcPr/>
          <w:p>
            <w:pPr>
              <w:pStyle w:val="Compact"/>
            </w:pPr>
          </w:p>
        </w:tc>
        <w:tc>
          <w:tcPr/>
          <w:p>
            <w:pPr>
              <w:pStyle w:val="Compact"/>
            </w:pPr>
            <w:r>
              <w:t xml:space="preserve">Replay buffer size</w:t>
            </w:r>
          </w:p>
        </w:tc>
        <w:tc>
          <w:tcPr/>
          <w:p>
            <w:pPr>
              <w:pStyle w:val="Compact"/>
            </w:pPr>
            <m:oMath>
              <m:r>
                <m:t>M</m:t>
              </m:r>
            </m:oMath>
          </w:p>
        </w:tc>
        <w:tc>
          <w:tcPr/>
          <w:p>
            <w:pPr>
              <w:pStyle w:val="Compact"/>
            </w:pPr>
            <m:oMath>
              <m:r>
                <m:t>20</m:t>
              </m:r>
              <m:r>
                <m:rPr>
                  <m:sty m:val="p"/>
                </m:rPr>
                <m:t>,</m:t>
              </m:r>
              <m:r>
                <m:t>000</m:t>
              </m:r>
            </m:oMath>
          </w:p>
        </w:tc>
      </w:tr>
      <w:tr>
        <w:tc>
          <w:tcPr/>
          <w:p>
            <w:pPr>
              <w:pStyle w:val="Compact"/>
            </w:pPr>
          </w:p>
        </w:tc>
        <w:tc>
          <w:tcPr/>
          <w:p>
            <w:pPr>
              <w:pStyle w:val="Compact"/>
            </w:pPr>
            <w:r>
              <w:t xml:space="preserve">Mini-batch size</w:t>
            </w:r>
          </w:p>
        </w:tc>
        <w:tc>
          <w:tcPr/>
          <w:p>
            <w:pPr>
              <w:pStyle w:val="Compact"/>
            </w:pPr>
            <m:oMath>
              <m:r>
                <m:t>B</m:t>
              </m:r>
            </m:oMath>
          </w:p>
        </w:tc>
        <w:tc>
          <w:tcPr/>
          <w:p>
            <w:pPr>
              <w:pStyle w:val="Compact"/>
            </w:pPr>
            <m:oMath>
              <m:r>
                <m:t>178</m:t>
              </m:r>
            </m:oMath>
          </w:p>
        </w:tc>
      </w:tr>
      <w:tr>
        <w:tc>
          <w:tcPr/>
          <w:p>
            <w:pPr>
              <w:pStyle w:val="Compact"/>
            </w:pPr>
          </w:p>
        </w:tc>
        <w:tc>
          <w:tcPr/>
          <w:p>
            <w:pPr>
              <w:pStyle w:val="Compact"/>
            </w:pPr>
            <w:r>
              <w:t xml:space="preserve">Epsilon schedule</w:t>
            </w:r>
          </w:p>
        </w:tc>
        <w:tc>
          <w:tcPr/>
          <w:p>
            <w:pPr>
              <w:pStyle w:val="Compact"/>
            </w:pPr>
            <m:oMath>
              <m:r>
                <m:t>ϵ</m:t>
              </m:r>
            </m:oMath>
          </w:p>
        </w:tc>
        <w:tc>
          <w:tcPr/>
          <w:p>
            <w:pPr>
              <w:pStyle w:val="Compact"/>
            </w:pPr>
            <m:oMath>
              <m:r>
                <m:t>0.6109</m:t>
              </m:r>
              <m:r>
                <m:rPr>
                  <m:sty m:val="p"/>
                </m:rPr>
                <m:t>→</m:t>
              </m:r>
              <m:r>
                <m:t>0.0045</m:t>
              </m:r>
            </m:oMath>
          </w:p>
        </w:tc>
      </w:tr>
      <w:tr>
        <w:tc>
          <w:tcPr/>
          <w:p>
            <w:pPr>
              <w:pStyle w:val="Compact"/>
            </w:pPr>
          </w:p>
        </w:tc>
        <w:tc>
          <w:tcPr/>
          <w:p>
            <w:pPr>
              <w:pStyle w:val="Compact"/>
            </w:pPr>
            <w:r>
              <w:t xml:space="preserve">Epsilon decay factor</w:t>
            </w:r>
          </w:p>
        </w:tc>
        <w:tc>
          <w:tcPr/>
          <w:p>
            <w:pPr>
              <w:pStyle w:val="Compact"/>
            </w:pPr>
            <m:oMath>
              <m:sSub>
                <m:e>
                  <m:r>
                    <m:t>λ</m:t>
                  </m:r>
                </m:e>
                <m:sub>
                  <m:r>
                    <m:t>ϵ</m:t>
                  </m:r>
                </m:sub>
              </m:sSub>
            </m:oMath>
          </w:p>
        </w:tc>
        <w:tc>
          <w:tcPr/>
          <w:p>
            <w:pPr>
              <w:pStyle w:val="Compact"/>
            </w:pPr>
            <m:oMath>
              <m:r>
                <m:t>0.9947</m:t>
              </m:r>
            </m:oMath>
          </w:p>
        </w:tc>
      </w:tr>
      <w:tr>
        <w:tc>
          <w:tcPr/>
          <w:p>
            <w:pPr>
              <w:pStyle w:val="Compact"/>
            </w:pPr>
          </w:p>
        </w:tc>
        <w:tc>
          <w:tcPr/>
          <w:p>
            <w:pPr>
              <w:pStyle w:val="Compact"/>
            </w:pPr>
            <w:r>
              <w:t xml:space="preserve">Target update frequency</w:t>
            </w:r>
          </w:p>
        </w:tc>
        <w:tc>
          <w:tcPr/>
          <w:p>
            <w:pPr>
              <w:pStyle w:val="Compact"/>
            </w:pPr>
            <m:oMath>
              <m:r>
                <m:t>C</m:t>
              </m:r>
            </m:oMath>
          </w:p>
        </w:tc>
        <w:tc>
          <w:tcPr/>
          <w:p>
            <w:pPr>
              <w:pStyle w:val="Compact"/>
            </w:pPr>
            <m:oMath>
              <m:r>
                <m:t>126</m:t>
              </m:r>
            </m:oMath>
            <w:r>
              <w:t xml:space="preserve"> </w:t>
            </w:r>
            <w:r>
              <w:t xml:space="preserve">steps</w:t>
            </w:r>
          </w:p>
        </w:tc>
      </w:tr>
      <w:tr>
        <w:tc>
          <w:tcPr/>
          <w:p>
            <w:pPr>
              <w:pStyle w:val="Compact"/>
            </w:pPr>
          </w:p>
        </w:tc>
        <w:tc>
          <w:tcPr/>
          <w:p>
            <w:pPr>
              <w:pStyle w:val="Compact"/>
            </w:pPr>
            <w:r>
              <w:t xml:space="preserve">Network architecture</w:t>
            </w:r>
          </w:p>
        </w:tc>
        <w:tc>
          <w:tcPr/>
          <w:p>
            <w:pPr>
              <w:pStyle w:val="Compact"/>
            </w:pPr>
            <w:r>
              <w:t xml:space="preserve">-</w:t>
            </w:r>
          </w:p>
        </w:tc>
        <w:tc>
          <w:tcPr/>
          <w:p>
            <w:pPr>
              <w:pStyle w:val="Compact"/>
            </w:pPr>
            <w:r>
              <w:t xml:space="preserve">[256, 128, 64]</w:t>
            </w:r>
          </w:p>
        </w:tc>
      </w:tr>
      <w:tr>
        <w:tc>
          <w:tcPr/>
          <w:p>
            <w:pPr>
              <w:pStyle w:val="Compact"/>
            </w:pPr>
          </w:p>
        </w:tc>
        <w:tc>
          <w:tcPr/>
          <w:p>
            <w:pPr>
              <w:pStyle w:val="Compact"/>
            </w:pPr>
            <w:r>
              <w:t xml:space="preserve">State dimension / action cardinality</w:t>
            </w:r>
          </w:p>
        </w:tc>
        <w:tc>
          <w:tcPr/>
          <w:p>
            <w:pPr>
              <w:pStyle w:val="Compact"/>
            </w:pPr>
            <w:r>
              <w:t xml:space="preserve">-</w:t>
            </w:r>
          </w:p>
        </w:tc>
        <w:tc>
          <w:tcPr/>
          <w:p>
            <w:pPr>
              <w:pStyle w:val="Compact"/>
            </w:pPr>
            <m:oMath>
              <m:r>
                <m:t>3</m:t>
              </m:r>
              <m:r>
                <m:rPr>
                  <m:sty m:val="p"/>
                </m:rPr>
                <m:t>/</m:t>
              </m:r>
              <m:r>
                <m:t>10</m:t>
              </m:r>
            </m:oMath>
          </w:p>
        </w:tc>
      </w:tr>
      <w:tr>
        <w:tc>
          <w:tcPr/>
          <w:p>
            <w:pPr>
              <w:pStyle w:val="Compact"/>
            </w:pPr>
            <w:r>
              <w:rPr>
                <w:b/>
                <w:bCs/>
              </w:rPr>
              <w:t xml:space="preserve">Streaming Anomaly Gate</w:t>
            </w:r>
          </w:p>
        </w:tc>
        <w:tc>
          <w:tcPr/>
          <w:p>
            <w:pPr>
              <w:pStyle w:val="Compact"/>
            </w:pPr>
            <w:r>
              <w:t xml:space="preserve">Gate EMA Decay (</w:t>
            </w:r>
            <m:oMath>
              <m:r>
                <m:t>λ</m:t>
              </m:r>
            </m:oMath>
            <w:r>
              <w:t xml:space="preserve"> </w:t>
            </w:r>
            <w:r>
              <w:t xml:space="preserve">global)</w:t>
            </w:r>
          </w:p>
        </w:tc>
        <w:tc>
          <w:tcPr/>
          <w:p>
            <w:pPr>
              <w:pStyle w:val="Compact"/>
            </w:pPr>
            <m:oMath>
              <m:sSub>
                <m:e>
                  <m:r>
                    <m:t>λ</m:t>
                  </m:r>
                </m:e>
                <m:sub>
                  <m:r>
                    <m:rPr>
                      <m:sty m:val="p"/>
                    </m:rPr>
                    <m:t>g</m:t>
                  </m:r>
                </m:sub>
              </m:sSub>
            </m:oMath>
          </w:p>
        </w:tc>
        <w:tc>
          <w:tcPr/>
          <w:p>
            <w:pPr>
              <w:pStyle w:val="Compact"/>
            </w:pPr>
            <m:oMath>
              <m:r>
                <m:t>0.0625</m:t>
              </m:r>
            </m:oMath>
          </w:p>
        </w:tc>
      </w:tr>
      <w:tr>
        <w:tc>
          <w:tcPr/>
          <w:p>
            <w:pPr>
              <w:pStyle w:val="Compact"/>
            </w:pPr>
          </w:p>
        </w:tc>
        <w:tc>
          <w:tcPr/>
          <w:p>
            <w:pPr>
              <w:pStyle w:val="Compact"/>
            </w:pPr>
            <w:r>
              <w:t xml:space="preserve">Local window size</w:t>
            </w:r>
          </w:p>
        </w:tc>
        <w:tc>
          <w:tcPr/>
          <w:p>
            <w:pPr>
              <w:pStyle w:val="Compact"/>
            </w:pPr>
            <m:oMath>
              <m:r>
                <m:t>W</m:t>
              </m:r>
            </m:oMath>
          </w:p>
        </w:tc>
        <w:tc>
          <w:tcPr/>
          <w:p>
            <w:pPr>
              <w:pStyle w:val="Compact"/>
            </w:pPr>
            <m:oMath>
              <m:r>
                <m:t>135</m:t>
              </m:r>
            </m:oMath>
          </w:p>
        </w:tc>
      </w:tr>
      <w:tr>
        <w:tc>
          <w:tcPr/>
          <w:p>
            <w:pPr>
              <w:pStyle w:val="Compact"/>
            </w:pPr>
          </w:p>
        </w:tc>
        <w:tc>
          <w:tcPr/>
          <w:p>
            <w:pPr>
              <w:pStyle w:val="Compact"/>
            </w:pPr>
            <w:r>
              <w:t xml:space="preserve">Local update rate</w:t>
            </w:r>
          </w:p>
        </w:tc>
        <w:tc>
          <w:tcPr/>
          <w:p>
            <w:pPr>
              <w:pStyle w:val="Compact"/>
            </w:pPr>
            <m:oMath>
              <m:sSub>
                <m:e>
                  <m:r>
                    <m:t>λ</m:t>
                  </m:r>
                </m:e>
                <m:sub>
                  <m:r>
                    <m:rPr>
                      <m:sty m:val="p"/>
                    </m:rPr>
                    <m:t>l</m:t>
                  </m:r>
                  <m:r>
                    <m:rPr>
                      <m:sty m:val="p"/>
                    </m:rPr>
                    <m:t>o</m:t>
                  </m:r>
                  <m:r>
                    <m:rPr>
                      <m:sty m:val="p"/>
                    </m:rPr>
                    <m:t>c</m:t>
                  </m:r>
                  <m:r>
                    <m:rPr>
                      <m:sty m:val="p"/>
                    </m:rPr>
                    <m:t>a</m:t>
                  </m:r>
                  <m:r>
                    <m:rPr>
                      <m:sty m:val="p"/>
                    </m:rPr>
                    <m:t>l</m:t>
                  </m:r>
                </m:sub>
              </m:sSub>
            </m:oMath>
          </w:p>
        </w:tc>
        <w:tc>
          <w:tcPr/>
          <w:p>
            <w:pPr>
              <w:pStyle w:val="Compact"/>
            </w:pPr>
            <m:oMath>
              <m:r>
                <m:t>0.595659</m:t>
              </m:r>
            </m:oMath>
          </w:p>
        </w:tc>
      </w:tr>
      <w:tr>
        <w:tc>
          <w:tcPr/>
          <w:p>
            <w:pPr>
              <w:pStyle w:val="Compact"/>
            </w:pPr>
          </w:p>
        </w:tc>
        <w:tc>
          <w:tcPr/>
          <w:p>
            <w:pPr>
              <w:pStyle w:val="Compact"/>
            </w:pPr>
            <w:r>
              <w:t xml:space="preserve">Reference samples</w:t>
            </w:r>
          </w:p>
        </w:tc>
        <w:tc>
          <w:tcPr/>
          <w:p>
            <w:pPr>
              <w:pStyle w:val="Compact"/>
            </w:pPr>
            <m:oMath>
              <m:sSub>
                <m:e>
                  <m:r>
                    <m:t>N</m:t>
                  </m:r>
                </m:e>
                <m:sub>
                  <m:r>
                    <m:rPr>
                      <m:sty m:val="p"/>
                    </m:rPr>
                    <m:t>r</m:t>
                  </m:r>
                  <m:r>
                    <m:rPr>
                      <m:sty m:val="p"/>
                    </m:rPr>
                    <m:t>e</m:t>
                  </m:r>
                  <m:r>
                    <m:rPr>
                      <m:sty m:val="p"/>
                    </m:rPr>
                    <m:t>f</m:t>
                  </m:r>
                </m:sub>
              </m:sSub>
            </m:oMath>
          </w:p>
        </w:tc>
        <w:tc>
          <w:tcPr/>
          <w:p>
            <w:pPr>
              <w:pStyle w:val="Compact"/>
            </w:pPr>
            <m:oMath>
              <m:r>
                <m:t>700</m:t>
              </m:r>
            </m:oMath>
          </w:p>
        </w:tc>
      </w:tr>
      <w:tr>
        <w:tc>
          <w:tcPr/>
          <w:p>
            <w:pPr>
              <w:pStyle w:val="Compact"/>
            </w:pPr>
          </w:p>
        </w:tc>
        <w:tc>
          <w:tcPr/>
          <w:p>
            <w:pPr>
              <w:pStyle w:val="Compact"/>
            </w:pPr>
            <w:r>
              <w:t xml:space="preserve">Base contamination</w:t>
            </w:r>
          </w:p>
        </w:tc>
        <w:tc>
          <w:tcPr/>
          <w:p>
            <w:pPr>
              <w:pStyle w:val="Compact"/>
            </w:pPr>
            <m:oMath>
              <m:r>
                <m:t>ν</m:t>
              </m:r>
            </m:oMath>
          </w:p>
        </w:tc>
        <w:tc>
          <w:tcPr/>
          <w:p>
            <w:pPr>
              <w:pStyle w:val="Compact"/>
            </w:pPr>
            <m:oMath>
              <m:r>
                <m:t>0.310449</m:t>
              </m:r>
            </m:oMath>
          </w:p>
        </w:tc>
      </w:tr>
      <w:tr>
        <w:tc>
          <w:tcPr/>
          <w:p>
            <w:pPr>
              <w:pStyle w:val="Compact"/>
            </w:pPr>
          </w:p>
        </w:tc>
        <w:tc>
          <w:tcPr/>
          <w:p>
            <w:pPr>
              <w:pStyle w:val="Compact"/>
            </w:pPr>
            <w:r>
              <w:t xml:space="preserve">Threshold local alpha weight</w:t>
            </w:r>
          </w:p>
        </w:tc>
        <w:tc>
          <w:tcPr/>
          <w:p>
            <w:pPr>
              <w:pStyle w:val="Compact"/>
            </w:pPr>
            <m:oMath>
              <m:sSub>
                <m:e>
                  <m:r>
                    <m:t>α</m:t>
                  </m:r>
                </m:e>
                <m:sub>
                  <m:r>
                    <m:rPr>
                      <m:sty m:val="p"/>
                    </m:rPr>
                    <m:t>l</m:t>
                  </m:r>
                  <m:r>
                    <m:rPr>
                      <m:sty m:val="p"/>
                    </m:rPr>
                    <m:t>o</m:t>
                  </m:r>
                  <m:r>
                    <m:rPr>
                      <m:sty m:val="p"/>
                    </m:rPr>
                    <m:t>c</m:t>
                  </m:r>
                  <m:r>
                    <m:rPr>
                      <m:sty m:val="p"/>
                    </m:rPr>
                    <m:t>a</m:t>
                  </m:r>
                  <m:r>
                    <m:rPr>
                      <m:sty m:val="p"/>
                    </m:rPr>
                    <m:t>l</m:t>
                  </m:r>
                </m:sub>
              </m:sSub>
            </m:oMath>
          </w:p>
        </w:tc>
        <w:tc>
          <w:tcPr/>
          <w:p>
            <w:pPr>
              <w:pStyle w:val="Compact"/>
            </w:pPr>
            <m:oMath>
              <m:r>
                <m:t>0.675</m:t>
              </m:r>
            </m:oMath>
          </w:p>
        </w:tc>
      </w:tr>
      <w:tr>
        <w:tc>
          <w:tcPr/>
          <w:p>
            <w:pPr>
              <w:pStyle w:val="Compact"/>
            </w:pPr>
          </w:p>
        </w:tc>
        <w:tc>
          <w:tcPr/>
          <w:p>
            <w:pPr>
              <w:pStyle w:val="Compact"/>
            </w:pPr>
            <w:r>
              <w:t xml:space="preserve">Threshold Bias term</w:t>
            </w:r>
          </w:p>
        </w:tc>
        <w:tc>
          <w:tcPr/>
          <w:p>
            <w:pPr>
              <w:pStyle w:val="Compact"/>
            </w:pPr>
            <m:oMath>
              <m:sSub>
                <m:e>
                  <m:r>
                    <m:t>b</m:t>
                  </m:r>
                </m:e>
                <m:sub>
                  <m:r>
                    <m:rPr>
                      <m:sty m:val="p"/>
                    </m:rPr>
                    <m:t>b</m:t>
                  </m:r>
                  <m:r>
                    <m:rPr>
                      <m:sty m:val="p"/>
                    </m:rPr>
                    <m:t>i</m:t>
                  </m:r>
                  <m:r>
                    <m:rPr>
                      <m:sty m:val="p"/>
                    </m:rPr>
                    <m:t>a</m:t>
                  </m:r>
                  <m:r>
                    <m:rPr>
                      <m:sty m:val="p"/>
                    </m:rPr>
                    <m:t>s</m:t>
                  </m:r>
                </m:sub>
              </m:sSub>
            </m:oMath>
          </w:p>
        </w:tc>
        <w:tc>
          <w:tcPr/>
          <w:p>
            <w:pPr>
              <w:pStyle w:val="Compact"/>
            </w:pPr>
            <m:oMath>
              <m:r>
                <m:rPr>
                  <m:sty m:val="p"/>
                </m:rPr>
                <m:t>−</m:t>
              </m:r>
              <m:r>
                <m:t>0.043058</m:t>
              </m:r>
            </m:oMath>
          </w:p>
        </w:tc>
      </w:tr>
      <w:tr>
        <w:tc>
          <w:tcPr/>
          <w:p>
            <w:pPr>
              <w:pStyle w:val="Compact"/>
            </w:pPr>
          </w:p>
        </w:tc>
        <w:tc>
          <w:tcPr/>
          <w:p>
            <w:pPr>
              <w:pStyle w:val="Compact"/>
            </w:pPr>
            <w:r>
              <w:t xml:space="preserve">Threshold quantile</w:t>
            </w:r>
          </w:p>
        </w:tc>
        <w:tc>
          <w:tcPr/>
          <w:p>
            <w:pPr>
              <w:pStyle w:val="Compact"/>
            </w:pPr>
            <m:oMath>
              <m:r>
                <m:t>q</m:t>
              </m:r>
            </m:oMath>
          </w:p>
        </w:tc>
        <w:tc>
          <w:tcPr/>
          <w:p>
            <w:pPr>
              <w:pStyle w:val="Compact"/>
            </w:pPr>
            <m:oMath>
              <m:r>
                <m:t>0.667542</m:t>
              </m:r>
            </m:oMath>
          </w:p>
        </w:tc>
      </w:tr>
      <w:tr>
        <w:tc>
          <w:tcPr/>
          <w:p>
            <w:pPr>
              <w:pStyle w:val="Compact"/>
            </w:pPr>
          </w:p>
        </w:tc>
        <w:tc>
          <w:tcPr/>
          <w:p>
            <w:pPr>
              <w:pStyle w:val="Compact"/>
            </w:pPr>
            <w:r>
              <w:t xml:space="preserve">Threshold MAD scale</w:t>
            </w:r>
          </w:p>
        </w:tc>
        <w:tc>
          <w:tcPr/>
          <w:p>
            <w:pPr>
              <w:pStyle w:val="Compact"/>
            </w:pPr>
            <m:oMath>
              <m:r>
                <m:t>κ</m:t>
              </m:r>
            </m:oMath>
          </w:p>
        </w:tc>
        <w:tc>
          <w:tcPr/>
          <w:p>
            <w:pPr>
              <w:pStyle w:val="Compact"/>
            </w:pPr>
            <m:oMath>
              <m:r>
                <m:t>1.135275</m:t>
              </m:r>
            </m:oMath>
          </w:p>
        </w:tc>
      </w:tr>
      <w:tr>
        <w:tc>
          <w:tcPr/>
          <w:p>
            <w:pPr>
              <w:pStyle w:val="Compact"/>
            </w:pPr>
          </w:p>
        </w:tc>
        <w:tc>
          <w:tcPr/>
          <w:p>
            <w:pPr>
              <w:pStyle w:val="Compact"/>
            </w:pPr>
            <w:r>
              <w:t xml:space="preserve">Threshold quantile weight</w:t>
            </w:r>
          </w:p>
        </w:tc>
        <w:tc>
          <w:tcPr/>
          <w:p>
            <w:pPr>
              <w:pStyle w:val="Compact"/>
            </w:pPr>
            <m:oMath>
              <m:sSub>
                <m:e>
                  <m:r>
                    <m:t>ω</m:t>
                  </m:r>
                </m:e>
                <m:sub>
                  <m:r>
                    <m:t>q</m:t>
                  </m:r>
                </m:sub>
              </m:sSub>
            </m:oMath>
          </w:p>
        </w:tc>
        <w:tc>
          <w:tcPr/>
          <w:p>
            <w:pPr>
              <w:pStyle w:val="Compact"/>
            </w:pPr>
            <m:oMath>
              <m:r>
                <m:t>0.575</m:t>
              </m:r>
            </m:oMath>
          </w:p>
        </w:tc>
      </w:tr>
      <w:tr>
        <w:tc>
          <w:tcPr/>
          <w:p>
            <w:pPr>
              <w:pStyle w:val="Compact"/>
            </w:pPr>
          </w:p>
        </w:tc>
        <w:tc>
          <w:tcPr/>
          <w:p>
            <w:pPr>
              <w:pStyle w:val="Compact"/>
            </w:pPr>
            <w:r>
              <w:t xml:space="preserve">Trigger hysteresis margin</w:t>
            </w:r>
          </w:p>
        </w:tc>
        <w:tc>
          <w:tcPr/>
          <w:p>
            <w:pPr>
              <w:pStyle w:val="Compact"/>
            </w:pPr>
            <m:oMath>
              <m:sSub>
                <m:e>
                  <m:r>
                    <m:t>m</m:t>
                  </m:r>
                </m:e>
                <m:sub>
                  <m:r>
                    <m:rPr>
                      <m:sty m:val="p"/>
                    </m:rPr>
                    <m:t>h</m:t>
                  </m:r>
                  <m:r>
                    <m:rPr>
                      <m:sty m:val="p"/>
                    </m:rPr>
                    <m:t>y</m:t>
                  </m:r>
                  <m:r>
                    <m:rPr>
                      <m:sty m:val="p"/>
                    </m:rPr>
                    <m:t>s</m:t>
                  </m:r>
                </m:sub>
              </m:sSub>
            </m:oMath>
          </w:p>
        </w:tc>
        <w:tc>
          <w:tcPr/>
          <w:p>
            <w:pPr>
              <w:pStyle w:val="Compact"/>
            </w:pPr>
            <m:oMath>
              <m:r>
                <m:t>0.021760</m:t>
              </m:r>
            </m:oMath>
          </w:p>
        </w:tc>
      </w:tr>
      <w:tr>
        <w:tc>
          <w:tcPr/>
          <w:p>
            <w:pPr>
              <w:pStyle w:val="Compact"/>
            </w:pPr>
          </w:p>
        </w:tc>
        <w:tc>
          <w:tcPr/>
          <w:p>
            <w:pPr>
              <w:pStyle w:val="Compact"/>
            </w:pPr>
            <w:r>
              <w:t xml:space="preserve">Min samples for threshold optimization</w:t>
            </w:r>
          </w:p>
        </w:tc>
        <w:tc>
          <w:tcPr/>
          <w:p>
            <w:pPr>
              <w:pStyle w:val="Compact"/>
            </w:pPr>
            <m:oMath>
              <m:sSub>
                <m:e>
                  <m:r>
                    <m:t>N</m:t>
                  </m:r>
                </m:e>
                <m:sub>
                  <m:r>
                    <m:rPr>
                      <m:sty m:val="p"/>
                    </m:rPr>
                    <m:t>min</m:t>
                  </m:r>
                </m:sub>
              </m:sSub>
            </m:oMath>
          </w:p>
        </w:tc>
        <w:tc>
          <w:tcPr/>
          <w:p>
            <w:pPr>
              <w:pStyle w:val="Compact"/>
            </w:pPr>
            <m:oMath>
              <m:r>
                <m:t>70</m:t>
              </m:r>
            </m:oMath>
          </w:p>
        </w:tc>
      </w:tr>
      <w:tr>
        <w:tc>
          <w:tcPr/>
          <w:p>
            <w:pPr>
              <w:pStyle w:val="Compact"/>
            </w:pPr>
          </w:p>
        </w:tc>
        <w:tc>
          <w:tcPr/>
          <w:p>
            <w:pPr>
              <w:pStyle w:val="Compact"/>
            </w:pPr>
            <w:r>
              <w:t xml:space="preserve">Scale fusing weights (Short/Mid/Long)</w:t>
            </w:r>
          </w:p>
        </w:tc>
        <w:tc>
          <w:tcPr/>
          <w:p>
            <w:pPr>
              <w:pStyle w:val="Compact"/>
            </w:pPr>
            <m:oMath>
              <m:r>
                <m:rPr>
                  <m:sty m:val="bi"/>
                </m:rPr>
                <m:t>w</m:t>
              </m:r>
            </m:oMath>
          </w:p>
        </w:tc>
        <w:tc>
          <w:tcPr/>
          <w:p>
            <w:pPr>
              <w:pStyle w:val="Compact"/>
            </w:pPr>
            <m:oMath>
              <m:r>
                <m:rPr>
                  <m:sty m:val="p"/>
                </m:rPr>
                <m:t>[</m:t>
              </m:r>
              <m:r>
                <m:t>0.55</m:t>
              </m:r>
              <m:r>
                <m:rPr>
                  <m:sty m:val="p"/>
                </m:rPr>
                <m:t>,</m:t>
              </m:r>
              <m:r>
                <m:t>0.275</m:t>
              </m:r>
              <m:r>
                <m:rPr>
                  <m:sty m:val="p"/>
                </m:rPr>
                <m:t>,</m:t>
              </m:r>
              <m:r>
                <m:t>0.175</m:t>
              </m:r>
              <m:r>
                <m:rPr>
                  <m:sty m:val="p"/>
                </m:rPr>
                <m:t>]</m:t>
              </m:r>
            </m:oMath>
          </w:p>
        </w:tc>
      </w:tr>
    </w:tbl>
    <w:p>
      <w:pPr>
        <w:pStyle w:val="Compact"/>
        <w:numPr>
          <w:ilvl w:val="0"/>
          <w:numId w:val="1011"/>
        </w:numPr>
      </w:pPr>
      <w:r>
        <w:rPr>
          <w:rFonts w:hint="eastAsia"/>
        </w:rPr>
        <w:t xml:space="preserve">评价指标体系</w:t>
      </w:r>
      <w:r>
        <w:t xml:space="preserve"> (Evaluation Metrics)</w:t>
      </w:r>
    </w:p>
    <w:p>
      <w:pPr>
        <w:pStyle w:val="FirstParagraph"/>
      </w:pPr>
      <w:r>
        <w:rPr>
          <w:rFonts w:hint="eastAsia"/>
        </w:rPr>
        <w:t xml:space="preserve">为全面评估事件触发预测型强化学习框架（ET-PRL）的性能，本研究构建了涵盖能耗效率、热舒适度、控制稀疏性及机制执行效率的多维度评价指标体系。此外，本文同时报告策略执行层统计量，以保障实验结果的完整性与可复现性。</w:t>
      </w:r>
    </w:p>
    <w:p>
      <w:pPr>
        <w:numPr>
          <w:ilvl w:val="0"/>
          <w:numId w:val="1012"/>
        </w:numPr>
      </w:pPr>
      <w:r>
        <w:rPr>
          <w:rFonts w:hint="eastAsia"/>
        </w:rPr>
        <w:t xml:space="preserve">能耗效率指标</w:t>
      </w:r>
      <w:r>
        <w:t xml:space="preserve"> (Energy Efficiency Metrics)</w:t>
      </w:r>
    </w:p>
    <w:p>
      <w:pPr>
        <w:numPr>
          <w:ilvl w:val="0"/>
          <w:numId w:val="1000"/>
        </w:numPr>
      </w:pPr>
      <w:r>
        <w:rPr>
          <w:rFonts w:hint="eastAsia"/>
        </w:rPr>
        <w:t xml:space="preserve">能耗效率是建筑能源管理的核心优化目标。本研究以冷水机组（Chiller）的运行功耗为主要计量对象。</w:t>
      </w:r>
    </w:p>
    <w:p>
      <w:pPr>
        <w:numPr>
          <w:ilvl w:val="1"/>
          <w:numId w:val="1013"/>
        </w:numPr>
      </w:pPr>
      <w:r>
        <w:rPr>
          <w:rFonts w:hint="eastAsia"/>
        </w:rPr>
        <w:t xml:space="preserve">日均能耗</w:t>
      </w:r>
      <w:r>
        <w:t xml:space="preserve"> (Average Daily Energy Consumption,</w:t>
      </w:r>
      <w:r>
        <w:t xml:space="preserve"> </w:t>
      </w:r>
      <m:oMath>
        <m:sSub>
          <m:e>
            <m:r>
              <m:t>E</m:t>
            </m:r>
          </m:e>
          <m:sub>
            <m:r>
              <m:rPr>
                <m:nor/>
                <m:sty m:val="p"/>
              </m:rPr>
              <m:t>daily</m:t>
            </m:r>
          </m:sub>
        </m:sSub>
      </m:oMath>
      <w:r>
        <w:rPr>
          <w:rFonts w:hint="eastAsia"/>
        </w:rPr>
        <w:t xml:space="preserve">)：计算测试周期内的日平均耗电量（单位：kWh/day）：</w:t>
      </w:r>
    </w:p>
    <w:p>
      <w:pPr>
        <w:pStyle w:val="BodyText"/>
      </w:pPr>
      <m:oMathPara>
        <m:oMathParaPr>
          <m:jc m:val="center"/>
        </m:oMathParaPr>
        <m:oMath>
          <m:sSub>
            <m:e>
              <m:r>
                <m:t>E</m:t>
              </m:r>
            </m:e>
            <m:sub>
              <m:r>
                <m:rPr>
                  <m:nor/>
                  <m:sty m:val="p"/>
                </m:rPr>
                <m:t>daily</m:t>
              </m:r>
            </m:sub>
          </m:sSub>
          <m:r>
            <m:rPr>
              <m:sty m:val="p"/>
            </m:rPr>
            <m:t>=</m:t>
          </m:r>
          <m:f>
            <m:fPr>
              <m:type m:val="bar"/>
            </m:fPr>
            <m:num>
              <m:r>
                <m:t>1</m:t>
              </m:r>
            </m:num>
            <m:den>
              <m:r>
                <m:t>D</m:t>
              </m:r>
            </m:den>
          </m:f>
          <m:nary>
            <m:naryPr>
              <m:chr m:val="∑"/>
              <m:limLoc m:val="undOvr"/>
              <m:subHide m:val="off"/>
              <m:supHide m:val="off"/>
            </m:naryPr>
            <m:sub>
              <m:r>
                <m:t>d</m:t>
              </m:r>
              <m:r>
                <m:rPr>
                  <m:sty m:val="p"/>
                </m:rPr>
                <m:t>=</m:t>
              </m:r>
              <m:r>
                <m:t>1</m:t>
              </m:r>
            </m:sub>
            <m:sup>
              <m:r>
                <m:t>D</m:t>
              </m:r>
            </m:sup>
            <m:e>
              <m:d>
                <m:dPr>
                  <m:begChr m:val="("/>
                  <m:sepChr m:val=""/>
                  <m:endChr m:val=")"/>
                  <m:grow/>
                </m:dPr>
                <m:e>
                  <m:nary>
                    <m:naryPr>
                      <m:chr m:val="∑"/>
                      <m:limLoc m:val="undOvr"/>
                      <m:subHide m:val="off"/>
                      <m:supHide m:val="off"/>
                    </m:naryPr>
                    <m:sub>
                      <m:r>
                        <m:t>t</m:t>
                      </m:r>
                      <m:r>
                        <m:rPr>
                          <m:sty m:val="p"/>
                        </m:rPr>
                        <m:t>=</m:t>
                      </m:r>
                      <m:r>
                        <m:t>1</m:t>
                      </m:r>
                    </m:sub>
                    <m:sup>
                      <m:sSub>
                        <m:e>
                          <m:r>
                            <m:t>T</m:t>
                          </m:r>
                        </m:e>
                        <m:sub>
                          <m:r>
                            <m:t>d</m:t>
                          </m:r>
                        </m:sub>
                      </m:sSub>
                    </m:sup>
                    <m:e>
                      <m:sSub>
                        <m:e>
                          <m:r>
                            <m:t>P</m:t>
                          </m:r>
                        </m:e>
                        <m:sub>
                          <m:r>
                            <m:rPr>
                              <m:nor/>
                              <m:sty m:val="p"/>
                            </m:rPr>
                            <m:t>chiller</m:t>
                          </m:r>
                        </m:sub>
                      </m:sSub>
                    </m:e>
                  </m:nary>
                  <m:r>
                    <m:rPr>
                      <m:sty m:val="p"/>
                    </m:rPr>
                    <m:t>(</m:t>
                  </m:r>
                  <m:r>
                    <m:t>t</m:t>
                  </m:r>
                  <m:r>
                    <m:rPr>
                      <m:sty m:val="p"/>
                    </m:rPr>
                    <m:t>)</m:t>
                  </m:r>
                  <m:r>
                    <m:rPr>
                      <m:sty m:val="p"/>
                    </m:rPr>
                    <m:t>⋅</m:t>
                  </m:r>
                  <m:r>
                    <m:rPr>
                      <m:sty m:val="p"/>
                    </m:rPr>
                    <m:t>Δ</m:t>
                  </m:r>
                  <m:r>
                    <m:t>t</m:t>
                  </m:r>
                </m:e>
              </m:d>
            </m:e>
          </m:nary>
        </m:oMath>
      </m:oMathPara>
    </w:p>
    <w:p>
      <w:pPr>
        <w:numPr>
          <w:ilvl w:val="1"/>
          <w:numId w:val="1000"/>
        </w:numPr>
      </w:pPr>
      <w:r>
        <w:rPr>
          <w:rFonts w:hint="eastAsia"/>
        </w:rPr>
        <w:t xml:space="preserve">其中，</w:t>
      </w:r>
      <m:oMath>
        <m:r>
          <m:t>D</m:t>
        </m:r>
      </m:oMath>
      <w:r>
        <w:t xml:space="preserve"> </w:t>
      </w:r>
      <w:r>
        <w:rPr>
          <w:rFonts w:hint="eastAsia"/>
        </w:rPr>
        <w:t xml:space="preserve">为测试天数，</w:t>
      </w:r>
      <m:oMath>
        <m:sSub>
          <m:e>
            <m:r>
              <m:t>T</m:t>
            </m:r>
          </m:e>
          <m:sub>
            <m:r>
              <m:t>d</m:t>
            </m:r>
          </m:sub>
        </m:sSub>
      </m:oMath>
      <w:r>
        <w:t xml:space="preserve"> </w:t>
      </w:r>
      <w:r>
        <w:rPr>
          <w:rFonts w:hint="eastAsia"/>
        </w:rPr>
        <w:t xml:space="preserve">为第</w:t>
      </w:r>
      <w:r>
        <w:t xml:space="preserve"> </w:t>
      </w:r>
      <m:oMath>
        <m:r>
          <m:t>d</m:t>
        </m:r>
      </m:oMath>
      <w:r>
        <w:t xml:space="preserve"> </w:t>
      </w:r>
      <w:r>
        <w:rPr>
          <w:rFonts w:hint="eastAsia"/>
        </w:rPr>
        <w:t xml:space="preserve">天的时间步总数，</w:t>
      </w:r>
      <m:oMath>
        <m:r>
          <m:rPr>
            <m:sty m:val="p"/>
          </m:rPr>
          <m:t>Δ</m:t>
        </m:r>
        <m:r>
          <m:t>t</m:t>
        </m:r>
      </m:oMath>
      <w:r>
        <w:t xml:space="preserve"> </w:t>
      </w:r>
      <w:r>
        <w:rPr>
          <w:rFonts w:hint="eastAsia"/>
        </w:rPr>
        <w:t xml:space="preserve">为采样间隔（小时），</w:t>
      </w:r>
      <m:oMath>
        <m:sSub>
          <m:e>
            <m:r>
              <m:t>P</m:t>
            </m:r>
          </m:e>
          <m:sub>
            <m:r>
              <m:rPr>
                <m:nor/>
                <m:sty m:val="p"/>
              </m:rPr>
              <m:t>chiller</m:t>
            </m:r>
          </m:sub>
        </m:sSub>
        <m:r>
          <m:rPr>
            <m:sty m:val="p"/>
          </m:rPr>
          <m:t>(</m:t>
        </m:r>
        <m:r>
          <m:t>t</m:t>
        </m:r>
        <m:r>
          <m:rPr>
            <m:sty m:val="p"/>
          </m:rPr>
          <m:t>)</m:t>
        </m:r>
      </m:oMath>
      <w:r>
        <w:t xml:space="preserve"> </w:t>
      </w:r>
      <w:r>
        <w:rPr>
          <w:rFonts w:hint="eastAsia"/>
        </w:rPr>
        <w:t xml:space="preserve">为</w:t>
      </w:r>
      <w:r>
        <w:t xml:space="preserve"> </w:t>
      </w:r>
      <m:oMath>
        <m:r>
          <m:t>t</m:t>
        </m:r>
      </m:oMath>
      <w:r>
        <w:t xml:space="preserve"> </w:t>
      </w:r>
      <w:r>
        <w:rPr>
          <w:rFonts w:hint="eastAsia"/>
        </w:rPr>
        <w:t xml:space="preserve">时刻机组的运行功率（kW）。</w:t>
      </w:r>
    </w:p>
    <w:p>
      <w:pPr>
        <w:numPr>
          <w:ilvl w:val="1"/>
          <w:numId w:val="1013"/>
        </w:numPr>
      </w:pPr>
      <w:r>
        <w:rPr>
          <w:rFonts w:hint="eastAsia"/>
        </w:rPr>
        <w:t xml:space="preserve">相对节能率</w:t>
      </w:r>
      <w:r>
        <w:t xml:space="preserve"> (Relative Energy Saving Rate,</w:t>
      </w:r>
      <w:r>
        <w:t xml:space="preserve"> </w:t>
      </w:r>
      <m:oMath>
        <m:sSub>
          <m:e>
            <m:r>
              <m:t>η</m:t>
            </m:r>
          </m:e>
          <m:sub>
            <m:r>
              <m:rPr>
                <m:nor/>
                <m:sty m:val="p"/>
              </m:rPr>
              <m:t>saving</m:t>
            </m:r>
          </m:sub>
        </m:sSub>
      </m:oMath>
      <w:r>
        <w:rPr>
          <w:rFonts w:hint="eastAsia"/>
        </w:rPr>
        <w:t xml:space="preserve">)：用于量化任一待评估方法相较统一比较基线的节能效果：</w:t>
      </w:r>
    </w:p>
    <w:p>
      <w:pPr>
        <w:pStyle w:val="BodyText"/>
      </w:pPr>
      <m:oMathPara>
        <m:oMathParaPr>
          <m:jc m:val="center"/>
        </m:oMathParaPr>
        <m:oMath>
          <m:sSubSup>
            <m:e>
              <m:r>
                <m:t>η</m:t>
              </m:r>
            </m:e>
            <m:sub>
              <m:r>
                <m:rPr>
                  <m:nor/>
                  <m:sty m:val="p"/>
                </m:rPr>
                <m:t>saving</m:t>
              </m:r>
            </m:sub>
            <m:sup>
              <m:r>
                <m:rPr>
                  <m:sty m:val="p"/>
                </m:rPr>
                <m:t>(</m:t>
              </m:r>
              <m:r>
                <m:t>i</m:t>
              </m:r>
              <m:r>
                <m:rPr>
                  <m:sty m:val="p"/>
                </m:rPr>
                <m:t>)</m:t>
              </m:r>
            </m:sup>
          </m:sSubSup>
          <m:r>
            <m:rPr>
              <m:sty m:val="p"/>
            </m:rPr>
            <m:t>=</m:t>
          </m:r>
          <m:f>
            <m:fPr>
              <m:type m:val="bar"/>
            </m:fPr>
            <m:num>
              <m:sSub>
                <m:e>
                  <m:r>
                    <m:t>E</m:t>
                  </m:r>
                </m:e>
                <m:sub>
                  <m:r>
                    <m:rPr>
                      <m:nor/>
                      <m:sty m:val="p"/>
                    </m:rPr>
                    <m:t>base</m:t>
                  </m:r>
                </m:sub>
              </m:sSub>
              <m:r>
                <m:rPr>
                  <m:sty m:val="p"/>
                </m:rPr>
                <m:t>−</m:t>
              </m:r>
              <m:sSub>
                <m:e>
                  <m:r>
                    <m:t>E</m:t>
                  </m:r>
                </m:e>
                <m:sub>
                  <m:r>
                    <m:t>i</m:t>
                  </m:r>
                </m:sub>
              </m:sSub>
            </m:num>
            <m:den>
              <m:sSub>
                <m:e>
                  <m:r>
                    <m:t>E</m:t>
                  </m:r>
                </m:e>
                <m:sub>
                  <m:r>
                    <m:rPr>
                      <m:nor/>
                      <m:sty m:val="p"/>
                    </m:rPr>
                    <m:t>base</m:t>
                  </m:r>
                </m:sub>
              </m:sSub>
            </m:den>
          </m:f>
          <m:r>
            <m:rPr>
              <m:sty m:val="p"/>
            </m:rPr>
            <m:t>×</m:t>
          </m:r>
          <m:r>
            <m:t>100</m:t>
          </m:r>
          <m:r>
            <m:rPr>
              <m:sty m:val="p"/>
            </m:rPr>
            <m:t>%</m:t>
          </m:r>
        </m:oMath>
      </m:oMathPara>
    </w:p>
    <w:p>
      <w:pPr>
        <w:numPr>
          <w:ilvl w:val="1"/>
          <w:numId w:val="1000"/>
        </w:numPr>
      </w:pPr>
      <w:r>
        <w:rPr>
          <w:rFonts w:hint="eastAsia"/>
        </w:rPr>
        <w:t xml:space="preserve">其中</w:t>
      </w:r>
      <w:r>
        <w:t xml:space="preserve"> </w:t>
      </w:r>
      <m:oMath>
        <m:sSub>
          <m:e>
            <m:r>
              <m:t>E</m:t>
            </m:r>
          </m:e>
          <m:sub>
            <m:r>
              <m:rPr>
                <m:nor/>
                <m:sty m:val="p"/>
              </m:rPr>
              <m:t>base</m:t>
            </m:r>
          </m:sub>
        </m:sSub>
      </m:oMath>
      <w:r>
        <w:t xml:space="preserve"> </w:t>
      </w:r>
      <w:r>
        <w:rPr>
          <w:rFonts w:hint="eastAsia"/>
        </w:rPr>
        <w:t xml:space="preserve">为统一比较基线的累积能耗，</w:t>
      </w:r>
      <m:oMath>
        <m:sSub>
          <m:e>
            <m:r>
              <m:t>E</m:t>
            </m:r>
          </m:e>
          <m:sub>
            <m:r>
              <m:t>i</m:t>
            </m:r>
          </m:sub>
        </m:sSub>
      </m:oMath>
      <w:r>
        <w:t xml:space="preserve"> </w:t>
      </w:r>
      <w:r>
        <w:rPr>
          <w:rFonts w:hint="eastAsia"/>
        </w:rPr>
        <w:t xml:space="preserve">为第</w:t>
      </w:r>
      <w:r>
        <w:t xml:space="preserve"> </w:t>
      </w:r>
      <m:oMath>
        <m:r>
          <m:t>i</m:t>
        </m:r>
      </m:oMath>
      <w:r>
        <w:t xml:space="preserve"> </w:t>
      </w:r>
      <w:r>
        <w:rPr>
          <w:rFonts w:hint="eastAsia"/>
        </w:rPr>
        <w:t xml:space="preserve">个方法的累积能耗。</w:t>
      </w:r>
    </w:p>
    <w:p>
      <w:pPr>
        <w:numPr>
          <w:ilvl w:val="1"/>
          <w:numId w:val="1013"/>
        </w:numPr>
      </w:pPr>
      <w:r>
        <w:rPr>
          <w:rFonts w:hint="eastAsia"/>
        </w:rPr>
        <w:t xml:space="preserve">平均冷机功率</w:t>
      </w:r>
      <w:r>
        <w:t xml:space="preserve"> (Average Chiller Power,</w:t>
      </w:r>
      <w:r>
        <w:t xml:space="preserve"> </w:t>
      </w:r>
      <m:oMath>
        <m:sSub>
          <m:e>
            <m:acc>
              <m:accPr>
                <m:chr m:val="‾"/>
              </m:accPr>
              <m:e>
                <m:r>
                  <m:t>P</m:t>
                </m:r>
              </m:e>
            </m:acc>
          </m:e>
          <m:sub>
            <m:r>
              <m:rPr>
                <m:nor/>
                <m:sty m:val="p"/>
              </m:rPr>
              <m:t>chiller</m:t>
            </m:r>
          </m:sub>
        </m:sSub>
      </m:oMath>
      <w:r>
        <w:rPr>
          <w:rFonts w:hint="eastAsia"/>
        </w:rPr>
        <w:t xml:space="preserve">)：用于反映整个测试周期的平均负载水平与运行强度：</w:t>
      </w:r>
    </w:p>
    <w:p>
      <w:pPr>
        <w:pStyle w:val="BodyText"/>
      </w:pPr>
      <m:oMathPara>
        <m:oMathParaPr>
          <m:jc m:val="center"/>
        </m:oMathParaPr>
        <m:oMath>
          <m:sSub>
            <m:e>
              <m:acc>
                <m:accPr>
                  <m:chr m:val="‾"/>
                </m:accPr>
                <m:e>
                  <m:r>
                    <m:t>P</m:t>
                  </m:r>
                </m:e>
              </m:acc>
            </m:e>
            <m:sub>
              <m:r>
                <m:rPr>
                  <m:nor/>
                  <m:sty m:val="p"/>
                </m:rPr>
                <m:t>chiller</m:t>
              </m:r>
            </m:sub>
          </m:sSub>
          <m:r>
            <m:rPr>
              <m:sty m:val="p"/>
            </m:rPr>
            <m:t>=</m:t>
          </m:r>
          <m:f>
            <m:fPr>
              <m:type m:val="bar"/>
            </m:fPr>
            <m:num>
              <m:r>
                <m:t>1</m:t>
              </m:r>
            </m:num>
            <m:den>
              <m:r>
                <m:t>N</m:t>
              </m:r>
            </m:den>
          </m:f>
          <m:nary>
            <m:naryPr>
              <m:chr m:val="∑"/>
              <m:limLoc m:val="undOvr"/>
              <m:subHide m:val="off"/>
              <m:supHide m:val="off"/>
            </m:naryPr>
            <m:sub>
              <m:r>
                <m:t>t</m:t>
              </m:r>
              <m:r>
                <m:rPr>
                  <m:sty m:val="p"/>
                </m:rPr>
                <m:t>=</m:t>
              </m:r>
              <m:r>
                <m:t>1</m:t>
              </m:r>
            </m:sub>
            <m:sup>
              <m:r>
                <m:t>N</m:t>
              </m:r>
            </m:sup>
            <m:e>
              <m:sSub>
                <m:e>
                  <m:r>
                    <m:t>P</m:t>
                  </m:r>
                </m:e>
                <m:sub>
                  <m:r>
                    <m:rPr>
                      <m:nor/>
                      <m:sty m:val="p"/>
                    </m:rPr>
                    <m:t>chiller</m:t>
                  </m:r>
                </m:sub>
              </m:sSub>
            </m:e>
          </m:nary>
          <m:r>
            <m:rPr>
              <m:sty m:val="p"/>
            </m:rPr>
            <m:t>(</m:t>
          </m:r>
          <m:r>
            <m:t>t</m:t>
          </m:r>
          <m:r>
            <m:rPr>
              <m:sty m:val="p"/>
            </m:rPr>
            <m:t>)</m:t>
          </m:r>
        </m:oMath>
      </m:oMathPara>
    </w:p>
    <w:p>
      <w:pPr>
        <w:numPr>
          <w:ilvl w:val="1"/>
          <w:numId w:val="1000"/>
        </w:numPr>
      </w:pPr>
      <w:r>
        <w:rPr>
          <w:rFonts w:hint="eastAsia"/>
        </w:rPr>
        <w:t xml:space="preserve">其中</w:t>
      </w:r>
      <w:r>
        <w:t xml:space="preserve"> </w:t>
      </w:r>
      <m:oMath>
        <m:r>
          <m:t>N</m:t>
        </m:r>
      </m:oMath>
      <w:r>
        <w:t xml:space="preserve"> </w:t>
      </w:r>
      <w:r>
        <w:rPr>
          <w:rFonts w:hint="eastAsia"/>
        </w:rPr>
        <w:t xml:space="preserve">为测试总步数。该指标与</w:t>
      </w:r>
      <w:r>
        <w:t xml:space="preserve"> </w:t>
      </w:r>
      <m:oMath>
        <m:sSub>
          <m:e>
            <m:r>
              <m:t>E</m:t>
            </m:r>
          </m:e>
          <m:sub>
            <m:r>
              <m:rPr>
                <m:nor/>
                <m:sty m:val="p"/>
              </m:rPr>
              <m:t>daily</m:t>
            </m:r>
          </m:sub>
        </m:sSub>
      </m:oMath>
      <w:r>
        <w:t xml:space="preserve"> </w:t>
      </w:r>
      <w:r>
        <w:rPr>
          <w:rFonts w:hint="eastAsia"/>
        </w:rPr>
        <w:t xml:space="preserve">在物理含义上相关，但分别表征单位时间强度与累计能耗。</w:t>
      </w:r>
    </w:p>
    <w:p>
      <w:pPr>
        <w:numPr>
          <w:ilvl w:val="0"/>
          <w:numId w:val="1012"/>
        </w:numPr>
      </w:pPr>
      <w:r>
        <w:rPr>
          <w:rFonts w:hint="eastAsia"/>
        </w:rPr>
        <w:t xml:space="preserve">温度控制与稳定性指标</w:t>
      </w:r>
      <w:r>
        <w:t xml:space="preserve"> (Temperature Control &amp; Stability Metrics)</w:t>
      </w:r>
    </w:p>
    <w:p>
      <w:pPr>
        <w:numPr>
          <w:ilvl w:val="0"/>
          <w:numId w:val="1000"/>
        </w:numPr>
      </w:pPr>
      <w:r>
        <w:rPr>
          <w:rFonts w:hint="eastAsia"/>
        </w:rPr>
        <w:t xml:space="preserve">本研究采用冷冻水供水温度（代码记录字段</w:t>
      </w:r>
      <w:r>
        <w:t xml:space="preserve"> </w:t>
      </w:r>
      <w:r>
        <w:rPr>
          <w:rStyle w:val="VerbatimChar"/>
        </w:rPr>
        <w:t xml:space="preserve">chiller_supply_temp</w:t>
      </w:r>
      <w:r>
        <w:rPr>
          <w:rFonts w:hint="eastAsia"/>
        </w:rPr>
        <w:t xml:space="preserve">）作为控制对象，目标区间设定为</w:t>
      </w:r>
      <w:r>
        <w:t xml:space="preserve"> </w:t>
      </w:r>
      <m:oMath>
        <m:r>
          <m:rPr>
            <m:sty m:val="p"/>
          </m:rPr>
          <m:t>[</m:t>
        </m:r>
        <m:sSup>
          <m:e>
            <m:r>
              <m:t>15.0</m:t>
            </m:r>
          </m:e>
          <m:sup>
            <m:r>
              <m:rPr>
                <m:sty m:val="p"/>
              </m:rPr>
              <m:t>∘</m:t>
            </m:r>
          </m:sup>
        </m:sSup>
        <m:r>
          <m:rPr>
            <m:sty m:val="p"/>
          </m:rPr>
          <m:t>C</m:t>
        </m:r>
        <m:r>
          <m:rPr>
            <m:sty m:val="p"/>
          </m:rPr>
          <m:t>,</m:t>
        </m:r>
        <m:sSup>
          <m:e>
            <m:r>
              <m:t>19.0</m:t>
            </m:r>
          </m:e>
          <m:sup>
            <m:r>
              <m:rPr>
                <m:sty m:val="p"/>
              </m:rPr>
              <m:t>∘</m:t>
            </m:r>
          </m:sup>
        </m:sSup>
        <m:r>
          <m:rPr>
            <m:sty m:val="p"/>
          </m:rPr>
          <m:t>C</m:t>
        </m:r>
        <m:r>
          <m:rPr>
            <m:sty m:val="p"/>
          </m:rPr>
          <m:t>]</m:t>
        </m:r>
      </m:oMath>
      <w:r>
        <w:t xml:space="preserve">。</w:t>
      </w:r>
    </w:p>
    <w:p>
      <w:pPr>
        <w:numPr>
          <w:ilvl w:val="1"/>
          <w:numId w:val="1014"/>
        </w:numPr>
      </w:pPr>
      <w:r>
        <w:rPr>
          <w:rFonts w:hint="eastAsia"/>
        </w:rPr>
        <w:t xml:space="preserve">性能保持率</w:t>
      </w:r>
      <w:r>
        <w:t xml:space="preserve"> (Performance Preservation Rate, </w:t>
      </w:r>
      <w:r>
        <w:rPr>
          <w:rFonts w:hint="eastAsia"/>
        </w:rPr>
        <w:t xml:space="preserve">PPR)：专项评估事件驱动机制有效性的指标，量化</w:t>
      </w:r>
      <w:r>
        <w:t xml:space="preserve"> ET-PRL </w:t>
      </w:r>
      <w:r>
        <w:rPr>
          <w:rFonts w:hint="eastAsia"/>
        </w:rPr>
        <w:t xml:space="preserve">在稀疏化控制动作条件下对固定步长密集控制策略整体性能的保留程度。其定义如下：</w:t>
      </w:r>
    </w:p>
    <w:p>
      <w:pPr>
        <w:pStyle w:val="BodyText"/>
      </w:pPr>
      <m:oMathPara>
        <m:oMathParaPr>
          <m:jc m:val="center"/>
        </m:oMathParaPr>
        <m:oMath>
          <m:r>
            <m:rPr>
              <m:nor/>
              <m:sty m:val="p"/>
            </m:rPr>
            <m:t>PPR</m:t>
          </m:r>
          <m:r>
            <m:rPr>
              <m:sty m:val="p"/>
            </m:rPr>
            <m:t>=</m:t>
          </m:r>
          <m:f>
            <m:fPr>
              <m:type m:val="bar"/>
            </m:fPr>
            <m:num>
              <m:sSub>
                <m:e>
                  <m:r>
                    <m:t>R</m:t>
                  </m:r>
                </m:e>
                <m:sub>
                  <m:r>
                    <m:rPr>
                      <m:nor/>
                      <m:sty m:val="p"/>
                    </m:rPr>
                    <m:t>event</m:t>
                  </m:r>
                </m:sub>
              </m:sSub>
            </m:num>
            <m:den>
              <m:sSub>
                <m:e>
                  <m:r>
                    <m:t>R</m:t>
                  </m:r>
                </m:e>
                <m:sub>
                  <m:r>
                    <m:rPr>
                      <m:nor/>
                      <m:sty m:val="p"/>
                    </m:rPr>
                    <m:t>dense</m:t>
                  </m:r>
                </m:sub>
              </m:sSub>
            </m:den>
          </m:f>
          <m:r>
            <m:rPr>
              <m:sty m:val="p"/>
            </m:rPr>
            <m:t>×</m:t>
          </m:r>
          <m:r>
            <m:t>100</m:t>
          </m:r>
          <m:r>
            <m:rPr>
              <m:sty m:val="p"/>
            </m:rPr>
            <m:t>%</m:t>
          </m:r>
        </m:oMath>
      </m:oMathPara>
    </w:p>
    <w:p>
      <w:pPr>
        <w:numPr>
          <w:ilvl w:val="1"/>
          <w:numId w:val="1000"/>
        </w:numPr>
      </w:pPr>
      <w:r>
        <w:rPr>
          <w:rFonts w:hint="eastAsia"/>
        </w:rPr>
        <w:t xml:space="preserve">其中，</w:t>
      </w:r>
      <m:oMath>
        <m:sSub>
          <m:e>
            <m:r>
              <m:t>R</m:t>
            </m:r>
          </m:e>
          <m:sub>
            <m:r>
              <m:rPr>
                <m:nor/>
                <m:sty m:val="p"/>
              </m:rPr>
              <m:t>event</m:t>
            </m:r>
          </m:sub>
        </m:sSub>
      </m:oMath>
      <w:r>
        <w:t xml:space="preserve"> </w:t>
      </w:r>
      <w:r>
        <w:rPr>
          <w:rFonts w:hint="eastAsia"/>
        </w:rPr>
        <w:t xml:space="preserve">与</w:t>
      </w:r>
      <w:r>
        <w:t xml:space="preserve"> </w:t>
      </w:r>
      <m:oMath>
        <m:sSub>
          <m:e>
            <m:r>
              <m:t>R</m:t>
            </m:r>
          </m:e>
          <m:sub>
            <m:r>
              <m:rPr>
                <m:nor/>
                <m:sty m:val="p"/>
              </m:rPr>
              <m:t>dense</m:t>
            </m:r>
          </m:sub>
        </m:sSub>
      </m:oMath>
      <w:r>
        <w:t xml:space="preserve"> </w:t>
      </w:r>
      <w:r>
        <w:rPr>
          <w:rFonts w:hint="eastAsia"/>
        </w:rPr>
        <w:t xml:space="preserve">分别为事件驱动策略与固定步长密集策略在同一测试周期内的累积奖励值。</w:t>
      </w:r>
    </w:p>
    <w:p>
      <w:pPr>
        <w:numPr>
          <w:ilvl w:val="1"/>
          <w:numId w:val="1014"/>
        </w:numPr>
      </w:pPr>
      <w:r>
        <w:rPr>
          <w:rFonts w:hint="eastAsia"/>
        </w:rPr>
        <w:t xml:space="preserve">动作平滑度</w:t>
      </w:r>
      <w:r>
        <w:t xml:space="preserve"> (Action Smoothness,</w:t>
      </w:r>
      <w:r>
        <w:t xml:space="preserve"> </w:t>
      </w:r>
      <m:oMath>
        <m:sSub>
          <m:e>
            <m:r>
              <m:t>σ</m:t>
            </m:r>
          </m:e>
          <m:sub>
            <m:r>
              <m:rPr>
                <m:sty m:val="p"/>
              </m:rPr>
              <m:t>Δ</m:t>
            </m:r>
            <m:r>
              <m:t>a</m:t>
            </m:r>
          </m:sub>
        </m:sSub>
      </m:oMath>
      <w:r>
        <w:rPr>
          <w:rFonts w:hint="eastAsia"/>
        </w:rPr>
        <w:t xml:space="preserve">)：为量化控制动作对执行器的冲击强度，定义相邻时间步控制量变化的均值指标：</w:t>
      </w:r>
    </w:p>
    <w:p>
      <w:pPr>
        <w:pStyle w:val="BodyText"/>
      </w:pPr>
      <m:oMathPara>
        <m:oMathParaPr>
          <m:jc m:val="center"/>
        </m:oMathParaPr>
        <m:oMath>
          <m:sSub>
            <m:e>
              <m:r>
                <m:t>σ</m:t>
              </m:r>
            </m:e>
            <m:sub>
              <m:r>
                <m:rPr>
                  <m:sty m:val="p"/>
                </m:rPr>
                <m:t>Δ</m:t>
              </m:r>
              <m:r>
                <m:t>a</m:t>
              </m:r>
            </m:sub>
          </m:sSub>
          <m:r>
            <m:rPr>
              <m:sty m:val="p"/>
            </m:rPr>
            <m:t>=</m:t>
          </m:r>
          <m:f>
            <m:fPr>
              <m:type m:val="bar"/>
            </m:fPr>
            <m:num>
              <m:r>
                <m:t>1</m:t>
              </m:r>
            </m:num>
            <m:den>
              <m:r>
                <m:t>N</m:t>
              </m:r>
              <m:r>
                <m:rPr>
                  <m:sty m:val="p"/>
                </m:rPr>
                <m:t>−</m:t>
              </m:r>
              <m:r>
                <m:t>1</m:t>
              </m:r>
            </m:den>
          </m:f>
          <m:nary>
            <m:naryPr>
              <m:chr m:val="∑"/>
              <m:limLoc m:val="undOvr"/>
              <m:subHide m:val="off"/>
              <m:supHide m:val="off"/>
            </m:naryPr>
            <m:sub>
              <m:r>
                <m:t>t</m:t>
              </m:r>
              <m:r>
                <m:rPr>
                  <m:sty m:val="p"/>
                </m:rPr>
                <m:t>=</m:t>
              </m:r>
              <m:r>
                <m:t>1</m:t>
              </m:r>
            </m:sub>
            <m:sup>
              <m:r>
                <m:t>N</m:t>
              </m:r>
              <m:r>
                <m:rPr>
                  <m:sty m:val="p"/>
                </m:rPr>
                <m:t>−</m:t>
              </m:r>
              <m:r>
                <m:t>1</m:t>
              </m:r>
            </m:sup>
            <m:e>
              <m:r>
                <m:rPr>
                  <m:sty m:val="p"/>
                </m:rPr>
                <m:t>|</m:t>
              </m:r>
            </m:e>
          </m:nary>
          <m:sSub>
            <m:e>
              <m:r>
                <m:t>a</m:t>
              </m:r>
            </m:e>
            <m:sub>
              <m:r>
                <m:t>t</m:t>
              </m:r>
              <m:r>
                <m:rPr>
                  <m:sty m:val="p"/>
                </m:rPr>
                <m:t>+</m:t>
              </m:r>
              <m:r>
                <m:t>1</m:t>
              </m:r>
            </m:sub>
          </m:sSub>
          <m:r>
            <m:rPr>
              <m:sty m:val="p"/>
            </m:rPr>
            <m:t>−</m:t>
          </m:r>
          <m:sSub>
            <m:e>
              <m:r>
                <m:t>a</m:t>
              </m:r>
            </m:e>
            <m:sub>
              <m:r>
                <m:t>t</m:t>
              </m:r>
            </m:sub>
          </m:sSub>
          <m:r>
            <m:rPr>
              <m:sty m:val="p"/>
            </m:rPr>
            <m:t>|</m:t>
          </m:r>
        </m:oMath>
      </m:oMathPara>
    </w:p>
    <w:p>
      <w:pPr>
        <w:numPr>
          <w:ilvl w:val="1"/>
          <w:numId w:val="1000"/>
        </w:numPr>
      </w:pPr>
      <w:r>
        <w:rPr>
          <w:rFonts w:hint="eastAsia"/>
        </w:rPr>
        <w:t xml:space="preserve">该值越小，表明控制动作越平稳，能够有效避免执行器震荡（Oscillation）。</w:t>
      </w:r>
    </w:p>
    <w:p>
      <w:pPr>
        <w:numPr>
          <w:ilvl w:val="0"/>
          <w:numId w:val="1012"/>
        </w:numPr>
      </w:pPr>
      <w:r>
        <w:rPr>
          <w:rFonts w:hint="eastAsia"/>
        </w:rPr>
        <w:t xml:space="preserve">控制稀疏性指标</w:t>
      </w:r>
      <w:r>
        <w:t xml:space="preserve"> (Control Sparsity Metrics)</w:t>
      </w:r>
    </w:p>
    <w:p>
      <w:pPr>
        <w:numPr>
          <w:ilvl w:val="0"/>
          <w:numId w:val="1000"/>
        </w:numPr>
      </w:pPr>
      <w:r>
        <w:rPr>
          <w:rFonts w:hint="eastAsia"/>
        </w:rPr>
        <w:t xml:space="preserve">本类指标旨在量化事件驱动机制在降低通信负载与执行器磨损方面的效果。</w:t>
      </w:r>
    </w:p>
    <w:p>
      <w:pPr>
        <w:numPr>
          <w:ilvl w:val="1"/>
          <w:numId w:val="1015"/>
        </w:numPr>
      </w:pPr>
      <w:r>
        <w:rPr>
          <w:rFonts w:hint="eastAsia"/>
        </w:rPr>
        <w:t xml:space="preserve">动作更新总次数</w:t>
      </w:r>
      <w:r>
        <w:t xml:space="preserve"> (Total Action Updates,</w:t>
      </w:r>
      <w:r>
        <w:t xml:space="preserve"> </w:t>
      </w:r>
      <m:oMath>
        <m:sSub>
          <m:e>
            <m:r>
              <m:t>N</m:t>
            </m:r>
          </m:e>
          <m:sub>
            <m:r>
              <m:rPr>
                <m:nor/>
                <m:sty m:val="p"/>
              </m:rPr>
              <m:t>update</m:t>
            </m:r>
          </m:sub>
        </m:sSub>
      </m:oMath>
      <w:r>
        <w:rPr>
          <w:rFonts w:hint="eastAsia"/>
        </w:rPr>
        <w:t xml:space="preserve">)：用于统计测试周期内控制动作实际发生更新的总次数：</w:t>
      </w:r>
    </w:p>
    <w:p>
      <w:pPr>
        <w:pStyle w:val="BodyText"/>
      </w:pPr>
      <m:oMathPara>
        <m:oMathParaPr>
          <m:jc m:val="center"/>
        </m:oMathParaPr>
        <m:oMath>
          <m:sSub>
            <m:e>
              <m:r>
                <m:t>N</m:t>
              </m:r>
            </m:e>
            <m:sub>
              <m:r>
                <m:rPr>
                  <m:nor/>
                  <m:sty m:val="p"/>
                </m:rPr>
                <m:t>update</m:t>
              </m:r>
            </m:sub>
          </m:sSub>
          <m:r>
            <m:rPr>
              <m:sty m:val="p"/>
            </m:rPr>
            <m:t>=</m:t>
          </m:r>
          <m:nary>
            <m:naryPr>
              <m:chr m:val="∑"/>
              <m:limLoc m:val="undOvr"/>
              <m:subHide m:val="off"/>
              <m:supHide m:val="off"/>
            </m:naryPr>
            <m:sub>
              <m:r>
                <m:t>t</m:t>
              </m:r>
              <m:r>
                <m:rPr>
                  <m:sty m:val="p"/>
                </m:rPr>
                <m:t>=</m:t>
              </m:r>
              <m:r>
                <m:t>2</m:t>
              </m:r>
            </m:sub>
            <m:sup>
              <m:r>
                <m:t>N</m:t>
              </m:r>
            </m:sup>
            <m:e>
              <m:r>
                <m:rPr>
                  <m:scr m:val="double-struck"/>
                  <m:sty m:val="p"/>
                </m:rPr>
                <m:t>I</m:t>
              </m:r>
            </m:e>
          </m:nary>
          <m:r>
            <m:rPr>
              <m:sty m:val="p"/>
            </m:rPr>
            <m:t>(</m:t>
          </m:r>
          <m:sSub>
            <m:e>
              <m:r>
                <m:t>a</m:t>
              </m:r>
            </m:e>
            <m:sub>
              <m:r>
                <m:t>t</m:t>
              </m:r>
            </m:sub>
          </m:sSub>
          <m:r>
            <m:rPr>
              <m:sty m:val="p"/>
            </m:rPr>
            <m:t>≠</m:t>
          </m:r>
          <m:sSub>
            <m:e>
              <m:r>
                <m:t>a</m:t>
              </m:r>
            </m:e>
            <m:sub>
              <m:r>
                <m:t>t</m:t>
              </m:r>
              <m:r>
                <m:rPr>
                  <m:sty m:val="p"/>
                </m:rPr>
                <m:t>−</m:t>
              </m:r>
              <m:r>
                <m:t>1</m:t>
              </m:r>
            </m:sub>
          </m:sSub>
          <m:r>
            <m:rPr>
              <m:sty m:val="p"/>
            </m:rPr>
            <m:t>)</m:t>
          </m:r>
        </m:oMath>
      </m:oMathPara>
    </w:p>
    <w:p>
      <w:pPr>
        <w:numPr>
          <w:ilvl w:val="1"/>
          <w:numId w:val="1000"/>
        </w:numPr>
      </w:pPr>
      <w:r>
        <w:rPr>
          <w:rFonts w:hint="eastAsia"/>
        </w:rPr>
        <w:t xml:space="preserve">其中，</w:t>
      </w:r>
      <m:oMath>
        <m:r>
          <m:rPr>
            <m:scr m:val="double-struck"/>
            <m:sty m:val="p"/>
          </m:rPr>
          <m:t>I</m:t>
        </m:r>
        <m:r>
          <m:rPr>
            <m:sty m:val="p"/>
          </m:rPr>
          <m:t>(</m:t>
        </m:r>
        <m:r>
          <m:rPr>
            <m:sty m:val="p"/>
          </m:rPr>
          <m:t>⋅</m:t>
        </m:r>
        <m:r>
          <m:rPr>
            <m:sty m:val="p"/>
          </m:rPr>
          <m:t>)</m:t>
        </m:r>
      </m:oMath>
      <w:r>
        <w:t xml:space="preserve"> </w:t>
      </w:r>
      <w:r>
        <w:rPr>
          <w:rFonts w:hint="eastAsia"/>
        </w:rPr>
        <w:t xml:space="preserve">为指示函数。固定步长策略下通常有</w:t>
      </w:r>
      <w:r>
        <w:t xml:space="preserve"> </w:t>
      </w:r>
      <m:oMath>
        <m:sSub>
          <m:e>
            <m:r>
              <m:t>N</m:t>
            </m:r>
          </m:e>
          <m:sub>
            <m:r>
              <m:rPr>
                <m:nor/>
                <m:sty m:val="p"/>
              </m:rPr>
              <m:t>update</m:t>
            </m:r>
          </m:sub>
        </m:sSub>
        <m:r>
          <m:rPr>
            <m:sty m:val="p"/>
          </m:rPr>
          <m:t>≈</m:t>
        </m:r>
        <m:r>
          <m:t>N</m:t>
        </m:r>
      </m:oMath>
      <w:r>
        <w:rPr>
          <w:rFonts w:hint="eastAsia"/>
        </w:rPr>
        <w:t xml:space="preserve">，事件驱动策略下通常有</w:t>
      </w:r>
      <w:r>
        <w:t xml:space="preserve"> </w:t>
      </w:r>
      <m:oMath>
        <m:sSub>
          <m:e>
            <m:r>
              <m:t>N</m:t>
            </m:r>
          </m:e>
          <m:sub>
            <m:r>
              <m:rPr>
                <m:nor/>
                <m:sty m:val="p"/>
              </m:rPr>
              <m:t>update</m:t>
            </m:r>
          </m:sub>
        </m:sSub>
        <m:r>
          <m:rPr>
            <m:sty m:val="p"/>
          </m:rPr>
          <m:t>≪</m:t>
        </m:r>
        <m:r>
          <m:t>N</m:t>
        </m:r>
      </m:oMath>
      <w:r>
        <w:t xml:space="preserve">。</w:t>
      </w:r>
    </w:p>
    <w:p>
      <w:pPr>
        <w:numPr>
          <w:ilvl w:val="1"/>
          <w:numId w:val="1015"/>
        </w:numPr>
      </w:pPr>
      <w:r>
        <w:rPr>
          <w:rFonts w:hint="eastAsia"/>
        </w:rPr>
        <w:t xml:space="preserve">日均触发次数</w:t>
      </w:r>
      <w:r>
        <w:t xml:space="preserve"> (Daily Trigger Count,</w:t>
      </w:r>
      <w:r>
        <w:t xml:space="preserve"> </w:t>
      </w:r>
      <m:oMath>
        <m:sSub>
          <m:e>
            <m:r>
              <m:t>N</m:t>
            </m:r>
          </m:e>
          <m:sub>
            <m:r>
              <m:rPr>
                <m:nor/>
                <m:sty m:val="p"/>
              </m:rPr>
              <m:t>daily</m:t>
            </m:r>
          </m:sub>
        </m:sSub>
      </m:oMath>
      <w:r>
        <w:rPr>
          <w:rFonts w:hint="eastAsia"/>
        </w:rPr>
        <w:t xml:space="preserve">)：衡量控制频率的物理指标，反映平均每天执行控制动作的次数：</w:t>
      </w:r>
    </w:p>
    <w:p>
      <w:pPr>
        <w:pStyle w:val="BodyText"/>
      </w:pPr>
      <m:oMathPara>
        <m:oMathParaPr>
          <m:jc m:val="center"/>
        </m:oMathParaPr>
        <m:oMath>
          <m:sSub>
            <m:e>
              <m:r>
                <m:t>N</m:t>
              </m:r>
            </m:e>
            <m:sub>
              <m:r>
                <m:rPr>
                  <m:nor/>
                  <m:sty m:val="p"/>
                </m:rPr>
                <m:t>daily</m:t>
              </m:r>
            </m:sub>
          </m:sSub>
          <m:r>
            <m:rPr>
              <m:sty m:val="p"/>
            </m:rPr>
            <m:t>=</m:t>
          </m:r>
          <m:f>
            <m:fPr>
              <m:type m:val="bar"/>
            </m:fPr>
            <m:num>
              <m:sSub>
                <m:e>
                  <m:r>
                    <m:t>N</m:t>
                  </m:r>
                </m:e>
                <m:sub>
                  <m:r>
                    <m:rPr>
                      <m:nor/>
                      <m:sty m:val="p"/>
                    </m:rPr>
                    <m:t>update</m:t>
                  </m:r>
                </m:sub>
              </m:sSub>
            </m:num>
            <m:den>
              <m:r>
                <m:t>D</m:t>
              </m:r>
            </m:den>
          </m:f>
        </m:oMath>
      </m:oMathPara>
    </w:p>
    <w:p>
      <w:pPr>
        <w:numPr>
          <w:ilvl w:val="1"/>
          <w:numId w:val="1000"/>
        </w:numPr>
      </w:pPr>
      <w:r>
        <w:rPr>
          <w:rFonts w:hint="eastAsia"/>
        </w:rPr>
        <w:t xml:space="preserve">该指标以有量纲的实物频次直接体现执行器的机械磨损风险。</w:t>
      </w:r>
    </w:p>
    <w:p>
      <w:pPr>
        <w:numPr>
          <w:ilvl w:val="1"/>
          <w:numId w:val="1015"/>
        </w:numPr>
      </w:pPr>
      <w:r>
        <w:rPr>
          <w:rFonts w:hint="eastAsia"/>
        </w:rPr>
        <w:t xml:space="preserve">动作压缩比</w:t>
      </w:r>
      <w:r>
        <w:t xml:space="preserve"> (Actuation Compression Ratio, </w:t>
      </w:r>
      <w:r>
        <w:rPr>
          <w:rFonts w:hint="eastAsia"/>
        </w:rPr>
        <w:t xml:space="preserve">ACR)：</w:t>
      </w:r>
    </w:p>
    <w:p>
      <w:pPr>
        <w:pStyle w:val="BodyText"/>
      </w:pPr>
      <m:oMathPara>
        <m:oMathParaPr>
          <m:jc m:val="center"/>
        </m:oMathParaPr>
        <m:oMath>
          <m:r>
            <m:rPr>
              <m:sty m:val="p"/>
            </m:rPr>
            <m:t>A</m:t>
          </m:r>
          <m:r>
            <m:rPr>
              <m:sty m:val="p"/>
            </m:rPr>
            <m:t>C</m:t>
          </m:r>
          <m:r>
            <m:rPr>
              <m:sty m:val="p"/>
            </m:rPr>
            <m:t>R</m:t>
          </m:r>
          <m:r>
            <m:rPr>
              <m:sty m:val="p"/>
            </m:rPr>
            <m:t>=</m:t>
          </m:r>
          <m:f>
            <m:fPr>
              <m:type m:val="bar"/>
            </m:fPr>
            <m:num>
              <m:sSub>
                <m:e>
                  <m:r>
                    <m:t>N</m:t>
                  </m:r>
                </m:e>
                <m:sub>
                  <m:r>
                    <m:rPr>
                      <m:nor/>
                      <m:sty m:val="p"/>
                    </m:rPr>
                    <m:t>fixed</m:t>
                  </m:r>
                </m:sub>
              </m:sSub>
            </m:num>
            <m:den>
              <m:sSub>
                <m:e>
                  <m:r>
                    <m:t>N</m:t>
                  </m:r>
                </m:e>
                <m:sub>
                  <m:r>
                    <m:rPr>
                      <m:nor/>
                      <m:sty m:val="p"/>
                    </m:rPr>
                    <m:t>update</m:t>
                  </m:r>
                </m:sub>
              </m:sSub>
            </m:den>
          </m:f>
        </m:oMath>
      </m:oMathPara>
    </w:p>
    <w:p>
      <w:pPr>
        <w:numPr>
          <w:ilvl w:val="1"/>
          <w:numId w:val="1000"/>
        </w:numPr>
      </w:pPr>
      <w:r>
        <w:rPr>
          <w:rFonts w:hint="eastAsia"/>
        </w:rPr>
        <w:t xml:space="preserve">其中</w:t>
      </w:r>
      <w:r>
        <w:t xml:space="preserve"> </w:t>
      </w:r>
      <m:oMath>
        <m:sSub>
          <m:e>
            <m:r>
              <m:t>N</m:t>
            </m:r>
          </m:e>
          <m:sub>
            <m:r>
              <m:rPr>
                <m:nor/>
                <m:sty m:val="p"/>
              </m:rPr>
              <m:t>fixed</m:t>
            </m:r>
          </m:sub>
        </m:sSub>
      </m:oMath>
      <w:r>
        <w:t xml:space="preserve"> </w:t>
      </w:r>
      <w:r>
        <w:rPr>
          <w:rFonts w:hint="eastAsia"/>
        </w:rPr>
        <w:t xml:space="preserve">和</w:t>
      </w:r>
      <w:r>
        <w:t xml:space="preserve"> </w:t>
      </w:r>
      <m:oMath>
        <m:sSub>
          <m:e>
            <m:r>
              <m:t>N</m:t>
            </m:r>
          </m:e>
          <m:sub>
            <m:r>
              <m:rPr>
                <m:nor/>
                <m:sty m:val="p"/>
              </m:rPr>
              <m:t>update</m:t>
            </m:r>
          </m:sub>
        </m:sSub>
      </m:oMath>
      <w:r>
        <w:t xml:space="preserve"> </w:t>
      </w:r>
      <w:r>
        <w:rPr>
          <w:rFonts w:hint="eastAsia"/>
        </w:rPr>
        <w:t xml:space="preserve">分别为固定步长策略和待评估策略的动作更新总次数。ACR</w:t>
      </w:r>
      <w:r>
        <w:t xml:space="preserve"> </w:t>
      </w:r>
      <w:r>
        <w:rPr>
          <w:rFonts w:hint="eastAsia"/>
        </w:rPr>
        <w:t xml:space="preserve">值越大，表明事件驱动机制对控制动作的稀疏化效果越显著。</w:t>
      </w:r>
    </w:p>
    <w:p>
      <w:pPr>
        <w:numPr>
          <w:ilvl w:val="1"/>
          <w:numId w:val="1015"/>
        </w:numPr>
      </w:pPr>
      <w:r>
        <w:rPr>
          <w:rFonts w:hint="eastAsia"/>
        </w:rPr>
        <w:t xml:space="preserve">动作减少率</w:t>
      </w:r>
      <w:r>
        <w:t xml:space="preserve"> (Action Reduction Rate, </w:t>
      </w:r>
      <w:r>
        <w:rPr>
          <w:rFonts w:hint="eastAsia"/>
        </w:rPr>
        <w:t xml:space="preserve">ARR)：用于表征待评估策略相对固定步长策略减少的动作更新比例：</w:t>
      </w:r>
    </w:p>
    <w:p>
      <w:pPr>
        <w:pStyle w:val="BodyText"/>
      </w:pPr>
      <m:oMathPara>
        <m:oMathParaPr>
          <m:jc m:val="center"/>
        </m:oMathParaPr>
        <m:oMath>
          <m:r>
            <m:rPr>
              <m:sty m:val="p"/>
            </m:rPr>
            <m:t>A</m:t>
          </m:r>
          <m:r>
            <m:rPr>
              <m:sty m:val="p"/>
            </m:rPr>
            <m:t>R</m:t>
          </m:r>
          <m:r>
            <m:rPr>
              <m:sty m:val="p"/>
            </m:rPr>
            <m:t>R</m:t>
          </m:r>
          <m:r>
            <m:rPr>
              <m:sty m:val="p"/>
            </m:rPr>
            <m:t>=</m:t>
          </m:r>
          <m:d>
            <m:dPr>
              <m:begChr m:val="("/>
              <m:sepChr m:val=""/>
              <m:endChr m:val=")"/>
              <m:grow/>
            </m:dPr>
            <m:e>
              <m:r>
                <m:t>1</m:t>
              </m:r>
              <m:r>
                <m:rPr>
                  <m:sty m:val="p"/>
                </m:rPr>
                <m:t>−</m:t>
              </m:r>
              <m:f>
                <m:fPr>
                  <m:type m:val="bar"/>
                </m:fPr>
                <m:num>
                  <m:sSub>
                    <m:e>
                      <m:r>
                        <m:t>N</m:t>
                      </m:r>
                    </m:e>
                    <m:sub>
                      <m:r>
                        <m:rPr>
                          <m:nor/>
                          <m:sty m:val="p"/>
                        </m:rPr>
                        <m:t>update</m:t>
                      </m:r>
                    </m:sub>
                  </m:sSub>
                </m:num>
                <m:den>
                  <m:sSub>
                    <m:e>
                      <m:r>
                        <m:t>N</m:t>
                      </m:r>
                    </m:e>
                    <m:sub>
                      <m:r>
                        <m:rPr>
                          <m:nor/>
                          <m:sty m:val="p"/>
                        </m:rPr>
                        <m:t>fixed</m:t>
                      </m:r>
                    </m:sub>
                  </m:sSub>
                </m:den>
              </m:f>
            </m:e>
          </m:d>
          <m:r>
            <m:rPr>
              <m:sty m:val="p"/>
            </m:rPr>
            <m:t>×</m:t>
          </m:r>
          <m:r>
            <m:t>100</m:t>
          </m:r>
          <m:r>
            <m:rPr>
              <m:sty m:val="p"/>
            </m:rPr>
            <m:t>%</m:t>
          </m:r>
          <m:r>
            <m:rPr>
              <m:sty m:val="p"/>
            </m:rPr>
            <m:t>=</m:t>
          </m:r>
          <m:d>
            <m:dPr>
              <m:begChr m:val="("/>
              <m:sepChr m:val=""/>
              <m:endChr m:val=")"/>
              <m:grow/>
            </m:dPr>
            <m:e>
              <m:r>
                <m:t>1</m:t>
              </m:r>
              <m:r>
                <m:rPr>
                  <m:sty m:val="p"/>
                </m:rPr>
                <m:t>−</m:t>
              </m:r>
              <m:f>
                <m:fPr>
                  <m:type m:val="bar"/>
                </m:fPr>
                <m:num>
                  <m:r>
                    <m:t>1</m:t>
                  </m:r>
                </m:num>
                <m:den>
                  <m:r>
                    <m:rPr>
                      <m:sty m:val="p"/>
                    </m:rPr>
                    <m:t>A</m:t>
                  </m:r>
                  <m:r>
                    <m:rPr>
                      <m:sty m:val="p"/>
                    </m:rPr>
                    <m:t>C</m:t>
                  </m:r>
                  <m:r>
                    <m:rPr>
                      <m:sty m:val="p"/>
                    </m:rPr>
                    <m:t>R</m:t>
                  </m:r>
                </m:den>
              </m:f>
            </m:e>
          </m:d>
          <m:r>
            <m:rPr>
              <m:sty m:val="p"/>
            </m:rPr>
            <m:t>×</m:t>
          </m:r>
          <m:r>
            <m:t>100</m:t>
          </m:r>
          <m:r>
            <m:rPr>
              <m:sty m:val="p"/>
            </m:rPr>
            <m:t>%</m:t>
          </m:r>
        </m:oMath>
      </m:oMathPara>
    </w:p>
    <w:p>
      <w:pPr>
        <w:numPr>
          <w:ilvl w:val="1"/>
          <w:numId w:val="1000"/>
        </w:numPr>
      </w:pPr>
      <w:r>
        <w:t xml:space="preserve">ARR </w:t>
      </w:r>
      <w:r>
        <w:rPr>
          <w:rFonts w:hint="eastAsia"/>
        </w:rPr>
        <w:t xml:space="preserve">值越大，表示动作更新压缩越充分，工程可解释性更直观。</w:t>
      </w:r>
    </w:p>
    <w:p>
      <w:pPr>
        <w:numPr>
          <w:ilvl w:val="0"/>
          <w:numId w:val="1000"/>
        </w:numPr>
      </w:pPr>
      <w:r>
        <w:rPr>
          <w:rFonts w:hint="eastAsia"/>
        </w:rPr>
        <w:t xml:space="preserve">为综合刻画门控机制的运行行为与策略执行开销，本研究进一步报告以下执行层统计指标。</w:t>
      </w:r>
    </w:p>
    <w:p>
      <w:pPr>
        <w:numPr>
          <w:ilvl w:val="1"/>
          <w:numId w:val="1016"/>
        </w:numPr>
      </w:pPr>
      <w:r>
        <w:rPr>
          <w:rFonts w:hint="eastAsia"/>
        </w:rPr>
        <w:t xml:space="preserve">总奖励</w:t>
      </w:r>
      <w:r>
        <w:t xml:space="preserve"> (Cumulative Test Reward,</w:t>
      </w:r>
      <w:r>
        <w:t xml:space="preserve"> </w:t>
      </w:r>
      <m:oMath>
        <m:sSub>
          <m:e>
            <m:r>
              <m:t>R</m:t>
            </m:r>
          </m:e>
          <m:sub>
            <m:r>
              <m:rPr>
                <m:nor/>
                <m:sty m:val="p"/>
              </m:rPr>
              <m:t>test</m:t>
            </m:r>
          </m:sub>
        </m:sSub>
      </m:oMath>
      <w:r>
        <w:rPr>
          <w:rFonts w:hint="eastAsia"/>
        </w:rPr>
        <w:t xml:space="preserve">)：</w:t>
      </w:r>
    </w:p>
    <w:p>
      <w:pPr>
        <w:pStyle w:val="BodyText"/>
      </w:pPr>
      <m:oMathPara>
        <m:oMathParaPr>
          <m:jc m:val="center"/>
        </m:oMathParaPr>
        <m:oMath>
          <m:sSub>
            <m:e>
              <m:r>
                <m:t>R</m:t>
              </m:r>
            </m:e>
            <m:sub>
              <m:r>
                <m:rPr>
                  <m:nor/>
                  <m:sty m:val="p"/>
                </m:rPr>
                <m:t>test</m:t>
              </m:r>
            </m:sub>
          </m:sSub>
          <m:r>
            <m:rPr>
              <m:sty m:val="p"/>
            </m:rPr>
            <m:t>=</m:t>
          </m:r>
          <m:nary>
            <m:naryPr>
              <m:chr m:val="∑"/>
              <m:limLoc m:val="undOvr"/>
              <m:subHide m:val="off"/>
              <m:supHide m:val="off"/>
            </m:naryPr>
            <m:sub>
              <m:r>
                <m:t>t</m:t>
              </m:r>
              <m:r>
                <m:rPr>
                  <m:sty m:val="p"/>
                </m:rPr>
                <m:t>=</m:t>
              </m:r>
              <m:r>
                <m:t>1</m:t>
              </m:r>
            </m:sub>
            <m:sup>
              <m:r>
                <m:t>N</m:t>
              </m:r>
            </m:sup>
            <m:e>
              <m:sSub>
                <m:e>
                  <m:r>
                    <m:t>r</m:t>
                  </m:r>
                </m:e>
                <m:sub>
                  <m:r>
                    <m:t>t</m:t>
                  </m:r>
                </m:sub>
              </m:sSub>
            </m:e>
          </m:nary>
        </m:oMath>
      </m:oMathPara>
    </w:p>
    <w:p>
      <w:pPr>
        <w:numPr>
          <w:ilvl w:val="1"/>
          <w:numId w:val="1000"/>
        </w:numPr>
      </w:pPr>
      <w:r>
        <w:rPr>
          <w:rFonts w:hint="eastAsia"/>
        </w:rPr>
        <w:t xml:space="preserve">该指标用于衡量测试周期内策略的总体控制收益。</w:t>
      </w:r>
    </w:p>
    <w:p>
      <w:pPr>
        <w:numPr>
          <w:ilvl w:val="1"/>
          <w:numId w:val="1016"/>
        </w:numPr>
      </w:pPr>
      <w:r>
        <w:rPr>
          <w:rFonts w:hint="eastAsia"/>
        </w:rPr>
        <w:t xml:space="preserve">平均步奖励</w:t>
      </w:r>
      <w:r>
        <w:t xml:space="preserve"> (Average Reward per Step,</w:t>
      </w:r>
      <w:r>
        <w:t xml:space="preserve"> </w:t>
      </w:r>
      <m:oMath>
        <m:sSub>
          <m:e>
            <m:acc>
              <m:accPr>
                <m:chr m:val="‾"/>
              </m:accPr>
              <m:e>
                <m:r>
                  <m:t>R</m:t>
                </m:r>
              </m:e>
            </m:acc>
          </m:e>
          <m:sub>
            <m:r>
              <m:rPr>
                <m:nor/>
                <m:sty m:val="p"/>
              </m:rPr>
              <m:t>step</m:t>
            </m:r>
          </m:sub>
        </m:sSub>
      </m:oMath>
      <w:r>
        <w:rPr>
          <w:rFonts w:hint="eastAsia"/>
        </w:rPr>
        <w:t xml:space="preserve">)：</w:t>
      </w:r>
    </w:p>
    <w:p>
      <w:pPr>
        <w:pStyle w:val="BodyText"/>
      </w:pPr>
      <m:oMathPara>
        <m:oMathParaPr>
          <m:jc m:val="center"/>
        </m:oMathParaPr>
        <m:oMath>
          <m:sSub>
            <m:e>
              <m:acc>
                <m:accPr>
                  <m:chr m:val="‾"/>
                </m:accPr>
                <m:e>
                  <m:r>
                    <m:t>R</m:t>
                  </m:r>
                </m:e>
              </m:acc>
            </m:e>
            <m:sub>
              <m:r>
                <m:rPr>
                  <m:nor/>
                  <m:sty m:val="p"/>
                </m:rPr>
                <m:t>step</m:t>
              </m:r>
            </m:sub>
          </m:sSub>
          <m:r>
            <m:rPr>
              <m:sty m:val="p"/>
            </m:rPr>
            <m:t>=</m:t>
          </m:r>
          <m:f>
            <m:fPr>
              <m:type m:val="bar"/>
            </m:fPr>
            <m:num>
              <m:sSub>
                <m:e>
                  <m:r>
                    <m:t>R</m:t>
                  </m:r>
                </m:e>
                <m:sub>
                  <m:r>
                    <m:rPr>
                      <m:nor/>
                      <m:sty m:val="p"/>
                    </m:rPr>
                    <m:t>test</m:t>
                  </m:r>
                </m:sub>
              </m:sSub>
            </m:num>
            <m:den>
              <m:sSub>
                <m:e>
                  <m:r>
                    <m:t>N</m:t>
                  </m:r>
                </m:e>
                <m:sub>
                  <m:r>
                    <m:rPr>
                      <m:nor/>
                      <m:sty m:val="p"/>
                    </m:rPr>
                    <m:t>update</m:t>
                  </m:r>
                </m:sub>
              </m:sSub>
            </m:den>
          </m:f>
          <m:r>
            <m:rPr>
              <m:sty m:val="p"/>
            </m:rPr>
            <m:t>=</m:t>
          </m:r>
          <m:f>
            <m:fPr>
              <m:type m:val="bar"/>
            </m:fPr>
            <m:num>
              <m:nary>
                <m:naryPr>
                  <m:chr m:val="∑"/>
                  <m:limLoc m:val="undOvr"/>
                  <m:subHide m:val="off"/>
                  <m:supHide m:val="off"/>
                </m:naryPr>
                <m:sub>
                  <m:r>
                    <m:t>t</m:t>
                  </m:r>
                  <m:r>
                    <m:rPr>
                      <m:sty m:val="p"/>
                    </m:rPr>
                    <m:t>=</m:t>
                  </m:r>
                  <m:r>
                    <m:t>1</m:t>
                  </m:r>
                </m:sub>
                <m:sup>
                  <m:r>
                    <m:t>N</m:t>
                  </m:r>
                </m:sup>
                <m:e>
                  <m:sSub>
                    <m:e>
                      <m:r>
                        <m:t>r</m:t>
                      </m:r>
                    </m:e>
                    <m:sub>
                      <m:r>
                        <m:t>t</m:t>
                      </m:r>
                    </m:sub>
                  </m:sSub>
                </m:e>
              </m:nary>
            </m:num>
            <m:den>
              <m:sSub>
                <m:e>
                  <m:r>
                    <m:t>N</m:t>
                  </m:r>
                </m:e>
                <m:sub>
                  <m:r>
                    <m:rPr>
                      <m:nor/>
                      <m:sty m:val="p"/>
                    </m:rPr>
                    <m:t>update</m:t>
                  </m:r>
                </m:sub>
              </m:sSub>
            </m:den>
          </m:f>
        </m:oMath>
      </m:oMathPara>
    </w:p>
    <w:p>
      <w:pPr>
        <w:numPr>
          <w:ilvl w:val="1"/>
          <w:numId w:val="1000"/>
        </w:numPr>
      </w:pPr>
      <w:r>
        <w:rPr>
          <w:rFonts w:hint="eastAsia"/>
        </w:rPr>
        <w:t xml:space="preserve">其中，</w:t>
      </w:r>
      <m:oMath>
        <m:sSub>
          <m:e>
            <m:r>
              <m:t>N</m:t>
            </m:r>
          </m:e>
          <m:sub>
            <m:r>
              <m:rPr>
                <m:nor/>
                <m:sty m:val="p"/>
              </m:rPr>
              <m:t>update</m:t>
            </m:r>
          </m:sub>
        </m:sSub>
      </m:oMath>
      <w:r>
        <w:t xml:space="preserve"> </w:t>
      </w:r>
      <w:r>
        <w:rPr>
          <w:rFonts w:hint="eastAsia"/>
        </w:rPr>
        <w:t xml:space="preserve">表示动作实际更新次数（固定步长策略中</w:t>
      </w:r>
      <w:r>
        <w:t xml:space="preserve"> </w:t>
      </w:r>
      <m:oMath>
        <m:sSub>
          <m:e>
            <m:r>
              <m:t>N</m:t>
            </m:r>
          </m:e>
          <m:sub>
            <m:r>
              <m:rPr>
                <m:nor/>
                <m:sty m:val="p"/>
              </m:rPr>
              <m:t>update</m:t>
            </m:r>
          </m:sub>
        </m:sSub>
        <m:r>
          <m:rPr>
            <m:sty m:val="p"/>
          </m:rPr>
          <m:t>=</m:t>
        </m:r>
        <m:r>
          <m:t>N</m:t>
        </m:r>
      </m:oMath>
      <w:r>
        <w:rPr>
          <w:rFonts w:hint="eastAsia"/>
        </w:rPr>
        <w:t xml:space="preserve">，事件驱动策略中通常</w:t>
      </w:r>
      <w:r>
        <w:t xml:space="preserve"> </w:t>
      </w:r>
      <m:oMath>
        <m:sSub>
          <m:e>
            <m:r>
              <m:t>N</m:t>
            </m:r>
          </m:e>
          <m:sub>
            <m:r>
              <m:rPr>
                <m:nor/>
                <m:sty m:val="p"/>
              </m:rPr>
              <m:t>update</m:t>
            </m:r>
          </m:sub>
        </m:sSub>
        <m:r>
          <m:rPr>
            <m:sty m:val="p"/>
          </m:rPr>
          <m:t>≪</m:t>
        </m:r>
        <m:r>
          <m:t>N</m:t>
        </m:r>
      </m:oMath>
      <w:r>
        <w:rPr>
          <w:rFonts w:hint="eastAsia"/>
        </w:rPr>
        <w:t xml:space="preserve">）。该指标用于衡量单位动作更新开销对应的平均控制收益。</w:t>
      </w:r>
    </w:p>
    <w:p>
      <w:pPr>
        <w:pStyle w:val="FirstParagraph"/>
      </w:pPr>
      <w:r>
        <w:rPr>
          <w:rFonts w:hint="eastAsia"/>
        </w:rPr>
        <w:t xml:space="preserve">评价指标体系与优化方向见附录表</w:t>
      </w:r>
      <w:r>
        <w:t xml:space="preserve"> A。</w:t>
      </w:r>
    </w:p>
    <w:p>
      <w:pPr>
        <w:pStyle w:val="Compact"/>
        <w:numPr>
          <w:ilvl w:val="0"/>
          <w:numId w:val="1017"/>
        </w:numPr>
      </w:pPr>
      <w:r>
        <w:rPr>
          <w:rFonts w:hint="eastAsia"/>
        </w:rPr>
        <w:t xml:space="preserve">基线策略训练稳定性与模型选择</w:t>
      </w:r>
    </w:p>
    <w:p>
      <w:pPr>
        <w:pStyle w:val="FirstParagraph"/>
      </w:pPr>
      <w:r>
        <w:rPr>
          <w:rFonts w:hint="eastAsia"/>
        </w:rPr>
        <w:t xml:space="preserve">为保证后续多策略测试对比的可解释性，本文对时间触发强化学习基线（Time-Triggered</w:t>
      </w:r>
      <w:r>
        <w:t xml:space="preserve"> Reinforcement Learning Baseline, </w:t>
      </w:r>
      <w:r>
        <w:rPr>
          <w:rFonts w:hint="eastAsia"/>
        </w:rPr>
        <w:t xml:space="preserve">TTC-RL）的训练稳定性进行独立验证。训练阶段采用固定步长</w:t>
      </w:r>
      <w:r>
        <w:t xml:space="preserve"> </w:t>
      </w:r>
      <w:r>
        <w:rPr>
          <w:rFonts w:hint="eastAsia"/>
        </w:rPr>
        <w:t xml:space="preserve">1（即</w:t>
      </w:r>
      <w:r>
        <w:t xml:space="preserve"> </w:t>
      </w:r>
      <w:r>
        <w:rPr>
          <w:rFonts w:hint="eastAsia"/>
        </w:rPr>
        <w:t xml:space="preserve">TTC-RL-1）进行</w:t>
      </w:r>
      <w:r>
        <w:t xml:space="preserve"> 80 </w:t>
      </w:r>
      <w:r>
        <w:rPr>
          <w:rFonts w:hint="eastAsia"/>
        </w:rPr>
        <w:t xml:space="preserve">个回合（Episode）交互，并在每个回合结束后于验证集执行贪婪评估。模型选择遵循验证集累计奖励最大准则。结果显示，验证集奖励在训练前期快速上升后进入平台区，并于</w:t>
      </w:r>
      <w:r>
        <w:t xml:space="preserve"> Episode 71 </w:t>
      </w:r>
      <w:r>
        <w:rPr>
          <w:rFonts w:hint="eastAsia"/>
        </w:rPr>
        <w:t xml:space="preserve">达到峰值</w:t>
      </w:r>
      <w:r>
        <w:t xml:space="preserve"> </w:t>
      </w:r>
      <m:oMath>
        <m:sSubSup>
          <m:e>
            <m:r>
              <m:t>R</m:t>
            </m:r>
          </m:e>
          <m:sub>
            <m:r>
              <m:rPr>
                <m:nor/>
                <m:sty m:val="p"/>
              </m:rPr>
              <m:t>val</m:t>
            </m:r>
          </m:sub>
          <m:sup>
            <m:r>
              <m:rPr>
                <m:sty m:val="p"/>
              </m:rPr>
              <m:t>*</m:t>
            </m:r>
          </m:sup>
        </m:sSubSup>
        <m:r>
          <m:rPr>
            <m:sty m:val="p"/>
          </m:rPr>
          <m:t>=</m:t>
        </m:r>
        <m:r>
          <m:rPr>
            <m:sty m:val="b"/>
          </m:rPr>
          <m:t>2041.8</m:t>
        </m:r>
      </m:oMath>
      <w:r>
        <w:rPr>
          <w:rFonts w:hint="eastAsia"/>
        </w:rPr>
        <w:t xml:space="preserve">；后续回合虽存在小幅波动，但未出现持续下降趋势。基于该验证结果，本文选取</w:t>
      </w:r>
      <w:r>
        <w:t xml:space="preserve"> Episode 71 </w:t>
      </w:r>
      <w:r>
        <w:rPr>
          <w:rFonts w:hint="eastAsia"/>
        </w:rPr>
        <w:t xml:space="preserve">对应参数作为测试阶段的统一训练参照。需要说明的是，除</w:t>
      </w:r>
      <w:r>
        <w:t xml:space="preserve"> RBC、PID </w:t>
      </w:r>
      <w:r>
        <w:rPr>
          <w:rFonts w:hint="eastAsia"/>
        </w:rPr>
        <w:t xml:space="preserve">外，其余方法均基于该</w:t>
      </w:r>
      <w:r>
        <w:t xml:space="preserve"> TTC-RL </w:t>
      </w:r>
      <w:r>
        <w:rPr>
          <w:rFonts w:hint="eastAsia"/>
        </w:rPr>
        <w:t xml:space="preserve">训练模型，仅在动作更新时间调度与触发机制上存在差异。</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5-1-1 TTC-RL </w:t>
            </w:r>
            <w:r>
              <w:rPr>
                <w:rFonts w:hint="eastAsia"/>
              </w:rPr>
              <w:t xml:space="preserve">基线训练奖励曲线</w:t>
            </w:r>
          </w:p>
        </w:tc>
      </w:tr>
    </w:tbl>
    <w:p>
      <w:pPr>
        <w:pStyle w:val="ImageCaption"/>
      </w:pPr>
      <w:r>
        <w:rPr>
          <w:rFonts w:hint="eastAsia"/>
        </w:rPr>
        <w:t xml:space="preserve">图</w:t>
      </w:r>
      <w:r>
        <w:t xml:space="preserve"> 5-1-1 TTC-RL </w:t>
      </w:r>
      <w:r>
        <w:rPr>
          <w:rFonts w:hint="eastAsia"/>
        </w:rPr>
        <w:t xml:space="preserve">基线训练奖励曲线</w:t>
      </w:r>
    </w:p>
    <w:p>
      <w:pPr>
        <w:pStyle w:val="BodyText"/>
      </w:pPr>
      <w:r>
        <w:rPr>
          <w:rFonts w:hint="eastAsia"/>
        </w:rPr>
        <w:t xml:space="preserve">图</w:t>
      </w:r>
      <w:r>
        <w:t xml:space="preserve"> 5-1-1 TTC-RL </w:t>
      </w:r>
      <w:r>
        <w:rPr>
          <w:rFonts w:hint="eastAsia"/>
        </w:rPr>
        <w:t xml:space="preserve">基线训练奖励曲线</w:t>
      </w:r>
    </w:p>
    <w:bookmarkEnd w:id="20"/>
    <w:bookmarkStart w:id="21" w:name="实验结果分析"/>
    <w:p>
      <w:pPr>
        <w:pStyle w:val="Heading2"/>
      </w:pPr>
      <w:r>
        <w:t xml:space="preserve">5.2 </w:t>
      </w:r>
      <w:r>
        <w:rPr>
          <w:rFonts w:hint="eastAsia"/>
        </w:rPr>
        <w:t xml:space="preserve">实验结果分析</w:t>
      </w:r>
    </w:p>
    <w:p>
      <w:pPr>
        <w:pStyle w:val="Compact"/>
        <w:numPr>
          <w:ilvl w:val="0"/>
          <w:numId w:val="1018"/>
        </w:numPr>
      </w:pPr>
      <w:r>
        <w:rPr>
          <w:rFonts w:hint="eastAsia"/>
        </w:rPr>
        <w:t xml:space="preserve">整体性能分析</w:t>
      </w:r>
    </w:p>
    <w:p>
      <w:pPr>
        <w:pStyle w:val="FirstParagraph"/>
      </w:pPr>
      <w:r>
        <w:rPr>
          <w:rFonts w:hint="eastAsia"/>
        </w:rPr>
        <w:t xml:space="preserve">本文在统一测试集与评估协议下比较六类策略，以分析控制稀疏性与能效之间的关系。各策略设置如下：PID</w:t>
      </w:r>
      <w:r>
        <w:t xml:space="preserve"> </w:t>
      </w:r>
      <w:r>
        <w:rPr>
          <w:rFonts w:hint="eastAsia"/>
        </w:rPr>
        <w:t xml:space="preserve">为基于供水温度误差闭环的离散控制，RBC</w:t>
      </w:r>
      <w:r>
        <w:t xml:space="preserve"> </w:t>
      </w:r>
      <w:r>
        <w:rPr>
          <w:rFonts w:hint="eastAsia"/>
        </w:rPr>
        <w:t xml:space="preserve">为固定供水设定值规则控制，TTC-RL-1</w:t>
      </w:r>
      <w:r>
        <w:t xml:space="preserve"> </w:t>
      </w:r>
      <w:r>
        <w:rPr>
          <w:rFonts w:hint="eastAsia"/>
        </w:rPr>
        <w:t xml:space="preserve">为每步更新，TTC-RL-2</w:t>
      </w:r>
      <w:r>
        <w:t xml:space="preserve"> </w:t>
      </w:r>
      <w:r>
        <w:rPr>
          <w:rFonts w:hint="eastAsia"/>
        </w:rPr>
        <w:t xml:space="preserve">为隔步更新，ST-ETC</w:t>
      </w:r>
      <w:r>
        <w:t xml:space="preserve"> </w:t>
      </w:r>
      <w:r>
        <w:rPr>
          <w:rFonts w:hint="eastAsia"/>
        </w:rPr>
        <w:t xml:space="preserve">为静态阈值事件触发更新，ET-PRL</w:t>
      </w:r>
      <w:r>
        <w:t xml:space="preserve"> </w:t>
      </w:r>
      <w:r>
        <w:rPr>
          <w:rFonts w:hint="eastAsia"/>
        </w:rPr>
        <w:t xml:space="preserve">为动态事件触发更新。综合对比结果见表</w:t>
      </w:r>
      <w:r>
        <w:t xml:space="preserve"> 5-3。</w:t>
      </w:r>
    </w:p>
    <w:p>
      <w:pPr>
        <w:pStyle w:val="BodyText"/>
      </w:pPr>
      <w:r>
        <w:rPr>
          <w:rFonts w:hint="eastAsia"/>
        </w:rPr>
        <w:t xml:space="preserve">为保证跨方法比较的一致性，本文以</w:t>
      </w:r>
      <w:r>
        <w:t xml:space="preserve"> TTC-RL-1 </w:t>
      </w:r>
      <w:r>
        <w:rPr>
          <w:rFonts w:hint="eastAsia"/>
        </w:rPr>
        <w:t xml:space="preserve">作为统一比较基线，计算相对节能率</w:t>
      </w:r>
      <w:r>
        <w:t xml:space="preserve"> </w:t>
      </w:r>
      <m:oMath>
        <m:sSub>
          <m:e>
            <m:r>
              <m:t>η</m:t>
            </m:r>
          </m:e>
          <m:sub>
            <m:r>
              <m:rPr>
                <m:nor/>
                <m:sty m:val="p"/>
              </m:rPr>
              <m:t>saving</m:t>
            </m:r>
          </m:sub>
        </m:sSub>
      </m:oMath>
      <w:r>
        <w:rPr>
          <w:rFonts w:hint="eastAsia"/>
        </w:rPr>
        <w:t xml:space="preserve">、性能保持率</w:t>
      </w:r>
      <w:r>
        <w:t xml:space="preserve"> </w:t>
      </w:r>
      <w:r>
        <w:rPr>
          <w:rFonts w:hint="eastAsia"/>
        </w:rPr>
        <w:t xml:space="preserve">PPR、动作压缩比</w:t>
      </w:r>
      <w:r>
        <w:t xml:space="preserve"> ACR </w:t>
      </w:r>
      <w:r>
        <w:rPr>
          <w:rFonts w:hint="eastAsia"/>
        </w:rPr>
        <w:t xml:space="preserve">与动作减少率</w:t>
      </w:r>
      <w:r>
        <w:t xml:space="preserve"> </w:t>
      </w:r>
      <w:r>
        <w:rPr>
          <w:rFonts w:hint="eastAsia"/>
        </w:rPr>
        <w:t xml:space="preserve">ARR。考虑表格信息密度，表</w:t>
      </w:r>
      <w:r>
        <w:t xml:space="preserve"> 5-3 </w:t>
      </w:r>
      <w:r>
        <w:rPr>
          <w:rFonts w:hint="eastAsia"/>
        </w:rPr>
        <w:t xml:space="preserve">在控制稀疏性维度仅保留动作更新总次数</w:t>
      </w:r>
      <w:r>
        <w:t xml:space="preserve"> </w:t>
      </w:r>
      <m:oMath>
        <m:sSub>
          <m:e>
            <m:r>
              <m:t>N</m:t>
            </m:r>
          </m:e>
          <m:sub>
            <m:r>
              <m:rPr>
                <m:nor/>
                <m:sty m:val="p"/>
              </m:rPr>
              <m:t>update</m:t>
            </m:r>
          </m:sub>
        </m:sSub>
      </m:oMath>
      <w:r>
        <w:t xml:space="preserve"> </w:t>
      </w:r>
      <w:r>
        <w:rPr>
          <w:rFonts w:hint="eastAsia"/>
        </w:rPr>
        <w:t xml:space="preserve">与动作减少率</w:t>
      </w:r>
      <w:r>
        <w:t xml:space="preserve"> </w:t>
      </w:r>
      <w:r>
        <w:rPr>
          <w:rFonts w:hint="eastAsia"/>
        </w:rPr>
        <w:t xml:space="preserve">ARR，</w:t>
      </w:r>
      <m:oMath>
        <m:sSub>
          <m:e>
            <m:r>
              <m:t>N</m:t>
            </m:r>
          </m:e>
          <m:sub>
            <m:r>
              <m:rPr>
                <m:nor/>
                <m:sty m:val="p"/>
              </m:rPr>
              <m:t>daily</m:t>
            </m:r>
          </m:sub>
        </m:sSub>
      </m:oMath>
      <w:r>
        <w:t xml:space="preserve"> </w:t>
      </w:r>
      <w:r>
        <w:rPr>
          <w:rFonts w:hint="eastAsia"/>
        </w:rPr>
        <w:t xml:space="preserve">与</w:t>
      </w:r>
      <w:r>
        <w:t xml:space="preserve"> ACR </w:t>
      </w:r>
      <w:r>
        <w:rPr>
          <w:rFonts w:hint="eastAsia"/>
        </w:rPr>
        <w:t xml:space="preserve">在正文中补充说明。由于</w:t>
      </w:r>
      <w:r>
        <w:t xml:space="preserve"> PID </w:t>
      </w:r>
      <w:r>
        <w:rPr>
          <w:rFonts w:hint="eastAsia"/>
        </w:rPr>
        <w:t xml:space="preserve">的优化目标为设定值跟踪而非最大化强化学习复合奖励，且其奖励定义与强化学习策略不一致，因此仅报告能耗、功率、动作频次与平滑度等可比指标。</w:t>
      </w:r>
    </w:p>
    <w:p>
      <w:pPr>
        <w:pStyle w:val="BodyText"/>
      </w:pPr>
      <w:r>
        <w:rPr>
          <w:rFonts w:hint="eastAsia"/>
        </w:rPr>
        <w:t xml:space="preserve">表</w:t>
      </w:r>
      <w:r>
        <w:t xml:space="preserve"> 5-3 </w:t>
      </w:r>
      <w:r>
        <w:rPr>
          <w:rFonts w:hint="eastAsia"/>
        </w:rPr>
        <w:t xml:space="preserve">多控制策略综合对比结果</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pPr>
            <w:r>
              <w:rPr>
                <w:rFonts w:hint="eastAsia"/>
                <w:b/>
                <w:bCs/>
              </w:rPr>
              <w:t xml:space="preserve">策略</w:t>
            </w:r>
          </w:p>
        </w:tc>
        <w:tc>
          <w:tcPr/>
          <w:p>
            <w:pPr>
              <w:pStyle w:val="Compact"/>
            </w:pPr>
            <w:r>
              <w:rPr>
                <w:rFonts w:hint="eastAsia"/>
                <w:b/>
                <w:bCs/>
              </w:rPr>
              <w:t xml:space="preserve">日均能耗</w:t>
            </w:r>
            <w:r>
              <w:rPr>
                <w:b/>
                <w:bCs/>
              </w:rPr>
              <w:t xml:space="preserve"> </w:t>
            </w:r>
            <m:oMath>
              <m:sSub>
                <m:e>
                  <m:r>
                    <m:t>E</m:t>
                  </m:r>
                </m:e>
                <m:sub>
                  <m:r>
                    <m:t>d</m:t>
                  </m:r>
                  <m:r>
                    <m:t>a</m:t>
                  </m:r>
                  <m:r>
                    <m:t>i</m:t>
                  </m:r>
                  <m:r>
                    <m:t>l</m:t>
                  </m:r>
                  <m:r>
                    <m:t>y</m:t>
                  </m:r>
                </m:sub>
              </m:sSub>
            </m:oMath>
            <w:r>
              <w:rPr>
                <w:b/>
                <w:bCs/>
              </w:rPr>
              <w:t xml:space="preserve"> </w:t>
            </w:r>
            <w:r>
              <w:rPr>
                <w:b/>
                <w:bCs/>
              </w:rPr>
              <w:t xml:space="preserve">(kWh/day)</w:t>
            </w:r>
          </w:p>
        </w:tc>
        <w:tc>
          <w:tcPr/>
          <w:p>
            <w:pPr>
              <w:pStyle w:val="Compact"/>
            </w:pPr>
            <w:r>
              <w:rPr>
                <w:rFonts w:hint="eastAsia"/>
                <w:b/>
                <w:bCs/>
              </w:rPr>
              <w:t xml:space="preserve">相对节能率</w:t>
            </w:r>
            <w:r>
              <w:rPr>
                <w:b/>
                <w:bCs/>
              </w:rPr>
              <w:t xml:space="preserve"> </w:t>
            </w:r>
            <m:oMath>
              <m:sSub>
                <m:e>
                  <m:r>
                    <m:t>η</m:t>
                  </m:r>
                </m:e>
                <m:sub>
                  <m:r>
                    <m:t>s</m:t>
                  </m:r>
                  <m:r>
                    <m:t>a</m:t>
                  </m:r>
                  <m:r>
                    <m:t>v</m:t>
                  </m:r>
                  <m:r>
                    <m:t>i</m:t>
                  </m:r>
                  <m:r>
                    <m:t>n</m:t>
                  </m:r>
                  <m:r>
                    <m:t>g</m:t>
                  </m:r>
                </m:sub>
              </m:sSub>
            </m:oMath>
            <w:r>
              <w:rPr>
                <w:b/>
                <w:bCs/>
              </w:rPr>
              <w:t xml:space="preserve"> </w:t>
            </w:r>
            <w:r>
              <w:rPr>
                <w:b/>
                <w:bCs/>
              </w:rPr>
              <w:t xml:space="preserve">(%)</w:t>
            </w:r>
          </w:p>
        </w:tc>
        <w:tc>
          <w:tcPr/>
          <w:p>
            <w:pPr>
              <w:pStyle w:val="Compact"/>
            </w:pPr>
            <w:r>
              <w:rPr>
                <w:rFonts w:hint="eastAsia"/>
                <w:b/>
                <w:bCs/>
              </w:rPr>
              <w:t xml:space="preserve">平均功率</w:t>
            </w:r>
            <w:r>
              <w:rPr>
                <w:b/>
                <w:bCs/>
              </w:rPr>
              <w:t xml:space="preserve"> </w:t>
            </w:r>
            <m:oMath>
              <m:sSub>
                <m:e>
                  <m:acc>
                    <m:accPr>
                      <m:chr m:val="‾"/>
                    </m:accPr>
                    <m:e>
                      <m:r>
                        <m:t>P</m:t>
                      </m:r>
                    </m:e>
                  </m:acc>
                </m:e>
                <m:sub>
                  <m:r>
                    <m:t>c</m:t>
                  </m:r>
                  <m:r>
                    <m:t>h</m:t>
                  </m:r>
                  <m:r>
                    <m:t>i</m:t>
                  </m:r>
                  <m:r>
                    <m:t>l</m:t>
                  </m:r>
                  <m:r>
                    <m:t>l</m:t>
                  </m:r>
                  <m:r>
                    <m:t>e</m:t>
                  </m:r>
                  <m:r>
                    <m:t>r</m:t>
                  </m:r>
                </m:sub>
              </m:sSub>
            </m:oMath>
            <w:r>
              <w:rPr>
                <w:b/>
                <w:bCs/>
              </w:rPr>
              <w:t xml:space="preserve"> </w:t>
            </w:r>
            <w:r>
              <w:rPr>
                <w:b/>
                <w:bCs/>
              </w:rPr>
              <w:t xml:space="preserve">(kW)</w:t>
            </w:r>
          </w:p>
        </w:tc>
        <w:tc>
          <w:tcPr/>
          <w:p>
            <w:pPr>
              <w:pStyle w:val="Compact"/>
            </w:pPr>
            <w:r>
              <w:rPr>
                <w:rFonts w:hint="eastAsia"/>
                <w:b/>
                <w:bCs/>
              </w:rPr>
              <w:t xml:space="preserve">动作更新总次数</w:t>
            </w:r>
            <w:r>
              <w:rPr>
                <w:b/>
                <w:bCs/>
              </w:rPr>
              <w:t xml:space="preserve"> </w:t>
            </w:r>
            <m:oMath>
              <m:sSub>
                <m:e>
                  <m:r>
                    <m:t>N</m:t>
                  </m:r>
                </m:e>
                <m:sub>
                  <m:r>
                    <m:t>u</m:t>
                  </m:r>
                  <m:r>
                    <m:t>p</m:t>
                  </m:r>
                  <m:r>
                    <m:t>d</m:t>
                  </m:r>
                  <m:r>
                    <m:t>a</m:t>
                  </m:r>
                  <m:r>
                    <m:t>t</m:t>
                  </m:r>
                  <m:r>
                    <m:t>e</m:t>
                  </m:r>
                </m:sub>
              </m:sSub>
            </m:oMath>
          </w:p>
        </w:tc>
        <w:tc>
          <w:tcPr/>
          <w:p>
            <w:pPr>
              <w:pStyle w:val="Compact"/>
            </w:pPr>
            <w:r>
              <w:rPr>
                <w:rFonts w:hint="eastAsia"/>
                <w:b/>
                <w:bCs/>
              </w:rPr>
              <w:t xml:space="preserve">动作减少率</w:t>
            </w:r>
            <w:r>
              <w:rPr>
                <w:b/>
                <w:bCs/>
              </w:rPr>
              <w:t xml:space="preserve"> ARR (%)</w:t>
            </w:r>
          </w:p>
        </w:tc>
        <w:tc>
          <w:tcPr/>
          <w:p>
            <w:pPr>
              <w:pStyle w:val="Compact"/>
            </w:pPr>
            <w:r>
              <w:rPr>
                <w:rFonts w:hint="eastAsia"/>
                <w:b/>
                <w:bCs/>
              </w:rPr>
              <w:t xml:space="preserve">动作平滑度</w:t>
            </w:r>
            <w:r>
              <w:rPr>
                <w:b/>
                <w:bCs/>
              </w:rPr>
              <w:t xml:space="preserve"> </w:t>
            </w:r>
            <m:oMath>
              <m:sSub>
                <m:e>
                  <m:r>
                    <m:t>σ</m:t>
                  </m:r>
                </m:e>
                <m:sub>
                  <m:r>
                    <m:rPr>
                      <m:sty m:val="p"/>
                    </m:rPr>
                    <m:t>Δ</m:t>
                  </m:r>
                  <m:r>
                    <m:t>a</m:t>
                  </m:r>
                </m:sub>
              </m:sSub>
            </m:oMath>
          </w:p>
        </w:tc>
        <w:tc>
          <w:tcPr/>
          <w:p>
            <w:pPr>
              <w:pStyle w:val="Compact"/>
            </w:pPr>
            <w:r>
              <w:rPr>
                <w:rFonts w:hint="eastAsia"/>
                <w:b/>
                <w:bCs/>
              </w:rPr>
              <w:t xml:space="preserve">总奖励</w:t>
            </w:r>
            <w:r>
              <w:rPr>
                <w:b/>
                <w:bCs/>
              </w:rPr>
              <w:t xml:space="preserve"> </w:t>
            </w:r>
            <m:oMath>
              <m:sSub>
                <m:e>
                  <m:r>
                    <m:t>R</m:t>
                  </m:r>
                </m:e>
                <m:sub>
                  <m:r>
                    <m:t>t</m:t>
                  </m:r>
                  <m:r>
                    <m:t>e</m:t>
                  </m:r>
                  <m:r>
                    <m:t>s</m:t>
                  </m:r>
                  <m:r>
                    <m:t>t</m:t>
                  </m:r>
                </m:sub>
              </m:sSub>
            </m:oMath>
          </w:p>
        </w:tc>
        <w:tc>
          <w:tcPr/>
          <w:p>
            <w:pPr>
              <w:pStyle w:val="Compact"/>
            </w:pPr>
            <w:r>
              <w:rPr>
                <w:rFonts w:hint="eastAsia"/>
                <w:b/>
                <w:bCs/>
              </w:rPr>
              <w:t xml:space="preserve">平均步奖励</w:t>
            </w:r>
            <w:r>
              <w:rPr>
                <w:b/>
                <w:bCs/>
              </w:rPr>
              <w:t xml:space="preserve"> </w:t>
            </w:r>
            <m:oMath>
              <m:sSub>
                <m:e>
                  <m:acc>
                    <m:accPr>
                      <m:chr m:val="‾"/>
                    </m:accPr>
                    <m:e>
                      <m:r>
                        <m:t>R</m:t>
                      </m:r>
                    </m:e>
                  </m:acc>
                </m:e>
                <m:sub>
                  <m:r>
                    <m:t>s</m:t>
                  </m:r>
                  <m:r>
                    <m:t>t</m:t>
                  </m:r>
                  <m:r>
                    <m:t>e</m:t>
                  </m:r>
                  <m:r>
                    <m:t>p</m:t>
                  </m:r>
                </m:sub>
              </m:sSub>
            </m:oMath>
          </w:p>
        </w:tc>
        <w:tc>
          <w:tcPr/>
          <w:p>
            <w:pPr>
              <w:pStyle w:val="Compact"/>
            </w:pPr>
            <w:r>
              <w:rPr>
                <w:b/>
                <w:bCs/>
              </w:rPr>
              <w:t xml:space="preserve">PPR (%)</w:t>
            </w:r>
          </w:p>
        </w:tc>
      </w:tr>
      <w:tr>
        <w:tc>
          <w:tcPr/>
          <w:p>
            <w:pPr>
              <w:pStyle w:val="Compact"/>
            </w:pPr>
            <w:r>
              <w:t xml:space="preserve">PID</w:t>
            </w:r>
          </w:p>
        </w:tc>
        <w:tc>
          <w:tcPr/>
          <w:p>
            <w:pPr>
              <w:pStyle w:val="Compact"/>
            </w:pPr>
            <w:r>
              <w:t xml:space="preserve">8486.90</w:t>
            </w:r>
          </w:p>
        </w:tc>
        <w:tc>
          <w:tcPr/>
          <w:p>
            <w:pPr>
              <w:pStyle w:val="Compact"/>
            </w:pPr>
            <w:r>
              <w:t xml:space="preserve">-13.29</w:t>
            </w:r>
          </w:p>
        </w:tc>
        <w:tc>
          <w:tcPr/>
          <w:p>
            <w:pPr>
              <w:pStyle w:val="Compact"/>
            </w:pPr>
            <w:r>
              <w:t xml:space="preserve">353.62</w:t>
            </w:r>
          </w:p>
        </w:tc>
        <w:tc>
          <w:tcPr/>
          <w:p>
            <w:pPr>
              <w:pStyle w:val="Compact"/>
            </w:pPr>
            <w:r>
              <w:t xml:space="preserve">-</w:t>
            </w:r>
          </w:p>
        </w:tc>
        <w:tc>
          <w:tcPr/>
          <w:p>
            <w:pPr>
              <w:pStyle w:val="Compact"/>
            </w:pPr>
            <w:r>
              <w:t xml:space="preserve">-</w:t>
            </w:r>
          </w:p>
        </w:tc>
        <w:tc>
          <w:tcPr/>
          <w:p>
            <w:pPr>
              <w:pStyle w:val="Compact"/>
            </w:pPr>
            <w:r>
              <w:t xml:space="preserve">0.1669</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RBC</w:t>
            </w:r>
          </w:p>
        </w:tc>
        <w:tc>
          <w:tcPr/>
          <w:p>
            <w:pPr>
              <w:pStyle w:val="Compact"/>
            </w:pPr>
            <w:r>
              <w:t xml:space="preserve">8548.72</w:t>
            </w:r>
          </w:p>
        </w:tc>
        <w:tc>
          <w:tcPr/>
          <w:p>
            <w:pPr>
              <w:pStyle w:val="Compact"/>
            </w:pPr>
            <w:r>
              <w:t xml:space="preserve">-14.12</w:t>
            </w:r>
          </w:p>
        </w:tc>
        <w:tc>
          <w:tcPr/>
          <w:p>
            <w:pPr>
              <w:pStyle w:val="Compact"/>
            </w:pPr>
            <w:r>
              <w:t xml:space="preserve">356.20</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TTC-RL-1</w:t>
            </w:r>
          </w:p>
        </w:tc>
        <w:tc>
          <w:tcPr/>
          <w:p>
            <w:pPr>
              <w:pStyle w:val="Compact"/>
            </w:pPr>
            <w:r>
              <w:t xml:space="preserve">7491.14</w:t>
            </w:r>
          </w:p>
        </w:tc>
        <w:tc>
          <w:tcPr/>
          <w:p>
            <w:pPr>
              <w:pStyle w:val="Compact"/>
            </w:pPr>
            <w:r>
              <w:t xml:space="preserve">-</w:t>
            </w:r>
          </w:p>
        </w:tc>
        <w:tc>
          <w:tcPr/>
          <w:p>
            <w:pPr>
              <w:pStyle w:val="Compact"/>
            </w:pPr>
            <w:r>
              <w:t xml:space="preserve">312.13</w:t>
            </w:r>
          </w:p>
        </w:tc>
        <w:tc>
          <w:tcPr/>
          <w:p>
            <w:pPr>
              <w:pStyle w:val="Compact"/>
            </w:pPr>
            <w:r>
              <w:t xml:space="preserve">4404</w:t>
            </w:r>
          </w:p>
        </w:tc>
        <w:tc>
          <w:tcPr/>
          <w:p>
            <w:pPr>
              <w:pStyle w:val="Compact"/>
            </w:pPr>
            <w:r>
              <w:t xml:space="preserve">-</w:t>
            </w:r>
          </w:p>
        </w:tc>
        <w:tc>
          <w:tcPr/>
          <w:p>
            <w:pPr>
              <w:pStyle w:val="Compact"/>
            </w:pPr>
            <w:r>
              <w:t xml:space="preserve">0.8101</w:t>
            </w:r>
          </w:p>
        </w:tc>
        <w:tc>
          <w:tcPr/>
          <w:p>
            <w:pPr>
              <w:pStyle w:val="Compact"/>
            </w:pPr>
            <w:r>
              <w:t xml:space="preserve">2054.63</w:t>
            </w:r>
          </w:p>
        </w:tc>
        <w:tc>
          <w:tcPr/>
          <w:p>
            <w:pPr>
              <w:pStyle w:val="Compact"/>
            </w:pPr>
            <w:r>
              <w:t xml:space="preserve">0.4665</w:t>
            </w:r>
          </w:p>
        </w:tc>
        <w:tc>
          <w:tcPr/>
          <w:p>
            <w:pPr>
              <w:pStyle w:val="Compact"/>
            </w:pPr>
            <w:r>
              <w:t xml:space="preserve">-</w:t>
            </w:r>
          </w:p>
        </w:tc>
      </w:tr>
      <w:tr>
        <w:tc>
          <w:tcPr/>
          <w:p>
            <w:pPr>
              <w:pStyle w:val="Compact"/>
            </w:pPr>
            <w:r>
              <w:t xml:space="preserve">TTC-RL-2</w:t>
            </w:r>
          </w:p>
        </w:tc>
        <w:tc>
          <w:tcPr/>
          <w:p>
            <w:pPr>
              <w:pStyle w:val="Compact"/>
            </w:pPr>
            <w:r>
              <w:t xml:space="preserve">7489.98</w:t>
            </w:r>
          </w:p>
        </w:tc>
        <w:tc>
          <w:tcPr/>
          <w:p>
            <w:pPr>
              <w:pStyle w:val="Compact"/>
            </w:pPr>
            <w:r>
              <w:t xml:space="preserve">0.02</w:t>
            </w:r>
          </w:p>
        </w:tc>
        <w:tc>
          <w:tcPr/>
          <w:p>
            <w:pPr>
              <w:pStyle w:val="Compact"/>
            </w:pPr>
            <w:r>
              <w:t xml:space="preserve">312.08</w:t>
            </w:r>
          </w:p>
        </w:tc>
        <w:tc>
          <w:tcPr/>
          <w:p>
            <w:pPr>
              <w:pStyle w:val="Compact"/>
            </w:pPr>
            <w:r>
              <w:t xml:space="preserve">2202</w:t>
            </w:r>
          </w:p>
        </w:tc>
        <w:tc>
          <w:tcPr/>
          <w:p>
            <w:pPr>
              <w:pStyle w:val="Compact"/>
            </w:pPr>
            <w:r>
              <w:t xml:space="preserve">50.00</w:t>
            </w:r>
          </w:p>
        </w:tc>
        <w:tc>
          <w:tcPr/>
          <w:p>
            <w:pPr>
              <w:pStyle w:val="Compact"/>
            </w:pPr>
            <w:r>
              <w:t xml:space="preserve">0.5617</w:t>
            </w:r>
          </w:p>
        </w:tc>
        <w:tc>
          <w:tcPr/>
          <w:p>
            <w:pPr>
              <w:pStyle w:val="Compact"/>
            </w:pPr>
            <w:r>
              <w:t xml:space="preserve">2022.76</w:t>
            </w:r>
          </w:p>
        </w:tc>
        <w:tc>
          <w:tcPr/>
          <w:p>
            <w:pPr>
              <w:pStyle w:val="Compact"/>
            </w:pPr>
            <w:r>
              <w:t xml:space="preserve">0.9186</w:t>
            </w:r>
          </w:p>
        </w:tc>
        <w:tc>
          <w:tcPr/>
          <w:p>
            <w:pPr>
              <w:pStyle w:val="Compact"/>
            </w:pPr>
            <w:r>
              <w:t xml:space="preserve">98.45</w:t>
            </w:r>
          </w:p>
        </w:tc>
      </w:tr>
      <w:tr>
        <w:tc>
          <w:tcPr/>
          <w:p>
            <w:pPr>
              <w:pStyle w:val="Compact"/>
            </w:pPr>
            <w:r>
              <w:t xml:space="preserve">ST-ETC</w:t>
            </w:r>
          </w:p>
        </w:tc>
        <w:tc>
          <w:tcPr/>
          <w:p>
            <w:pPr>
              <w:pStyle w:val="Compact"/>
            </w:pPr>
            <w:r>
              <w:t xml:space="preserve">7485.44</w:t>
            </w:r>
          </w:p>
        </w:tc>
        <w:tc>
          <w:tcPr/>
          <w:p>
            <w:pPr>
              <w:pStyle w:val="Compact"/>
            </w:pPr>
            <w:r>
              <w:t xml:space="preserve">0.08</w:t>
            </w:r>
          </w:p>
        </w:tc>
        <w:tc>
          <w:tcPr/>
          <w:p>
            <w:pPr>
              <w:pStyle w:val="Compact"/>
            </w:pPr>
            <w:r>
              <w:t xml:space="preserve">311.89</w:t>
            </w:r>
          </w:p>
        </w:tc>
        <w:tc>
          <w:tcPr/>
          <w:p>
            <w:pPr>
              <w:pStyle w:val="Compact"/>
            </w:pPr>
            <w:r>
              <w:t xml:space="preserve">3525</w:t>
            </w:r>
          </w:p>
        </w:tc>
        <w:tc>
          <w:tcPr/>
          <w:p>
            <w:pPr>
              <w:pStyle w:val="Compact"/>
            </w:pPr>
            <w:r>
              <w:t xml:space="preserve">19.96</w:t>
            </w:r>
          </w:p>
        </w:tc>
        <w:tc>
          <w:tcPr/>
          <w:p>
            <w:pPr>
              <w:pStyle w:val="Compact"/>
            </w:pPr>
            <w:r>
              <w:t xml:space="preserve">0.7711</w:t>
            </w:r>
          </w:p>
        </w:tc>
        <w:tc>
          <w:tcPr/>
          <w:p>
            <w:pPr>
              <w:pStyle w:val="Compact"/>
            </w:pPr>
            <w:r>
              <w:t xml:space="preserve">2052.42</w:t>
            </w:r>
          </w:p>
        </w:tc>
        <w:tc>
          <w:tcPr/>
          <w:p>
            <w:pPr>
              <w:pStyle w:val="Compact"/>
            </w:pPr>
            <w:r>
              <w:t xml:space="preserve">0.5822</w:t>
            </w:r>
          </w:p>
        </w:tc>
        <w:tc>
          <w:tcPr/>
          <w:p>
            <w:pPr>
              <w:pStyle w:val="Compact"/>
            </w:pPr>
            <w:r>
              <w:t xml:space="preserve">99.89</w:t>
            </w:r>
          </w:p>
        </w:tc>
      </w:tr>
      <w:tr>
        <w:tc>
          <w:tcPr/>
          <w:p>
            <w:pPr>
              <w:pStyle w:val="Compact"/>
            </w:pPr>
            <w:r>
              <w:t xml:space="preserve">ET-PRL</w:t>
            </w:r>
          </w:p>
        </w:tc>
        <w:tc>
          <w:tcPr/>
          <w:p>
            <w:pPr>
              <w:pStyle w:val="Compact"/>
            </w:pPr>
            <w:r>
              <w:t xml:space="preserve">7331.85</w:t>
            </w:r>
          </w:p>
        </w:tc>
        <w:tc>
          <w:tcPr/>
          <w:p>
            <w:pPr>
              <w:pStyle w:val="Compact"/>
            </w:pPr>
            <w:r>
              <w:t xml:space="preserve">2.13</w:t>
            </w:r>
          </w:p>
        </w:tc>
        <w:tc>
          <w:tcPr/>
          <w:p>
            <w:pPr>
              <w:pStyle w:val="Compact"/>
            </w:pPr>
            <w:r>
              <w:t xml:space="preserve">305.49</w:t>
            </w:r>
          </w:p>
        </w:tc>
        <w:tc>
          <w:tcPr/>
          <w:p>
            <w:pPr>
              <w:pStyle w:val="Compact"/>
            </w:pPr>
            <w:r>
              <w:t xml:space="preserve">2046</w:t>
            </w:r>
          </w:p>
        </w:tc>
        <w:tc>
          <w:tcPr/>
          <w:p>
            <w:pPr>
              <w:pStyle w:val="Compact"/>
            </w:pPr>
            <w:r>
              <w:t xml:space="preserve">53.54</w:t>
            </w:r>
          </w:p>
        </w:tc>
        <w:tc>
          <w:tcPr/>
          <w:p>
            <w:pPr>
              <w:pStyle w:val="Compact"/>
            </w:pPr>
            <w:r>
              <w:t xml:space="preserve">0.6014</w:t>
            </w:r>
          </w:p>
        </w:tc>
        <w:tc>
          <w:tcPr/>
          <w:p>
            <w:pPr>
              <w:pStyle w:val="Compact"/>
            </w:pPr>
            <w:r>
              <w:t xml:space="preserve">1939.74</w:t>
            </w:r>
          </w:p>
        </w:tc>
        <w:tc>
          <w:tcPr/>
          <w:p>
            <w:pPr>
              <w:pStyle w:val="Compact"/>
            </w:pPr>
            <w:r>
              <w:t xml:space="preserve">0.9481</w:t>
            </w:r>
          </w:p>
        </w:tc>
        <w:tc>
          <w:tcPr/>
          <w:p>
            <w:pPr>
              <w:pStyle w:val="Compact"/>
            </w:pPr>
            <w:r>
              <w:t xml:space="preserve">94.41</w:t>
            </w:r>
          </w:p>
        </w:tc>
      </w:tr>
    </w:tbl>
    <w:p>
      <w:pPr>
        <w:pStyle w:val="BodyText"/>
      </w:pPr>
      <w:r>
        <w:rPr>
          <w:rFonts w:hint="eastAsia"/>
        </w:rPr>
        <w:t xml:space="preserve">由表</w:t>
      </w:r>
      <w:r>
        <w:t xml:space="preserve"> 5-3 </w:t>
      </w:r>
      <w:r>
        <w:rPr>
          <w:rFonts w:hint="eastAsia"/>
        </w:rPr>
        <w:t xml:space="preserve">可见，在以</w:t>
      </w:r>
      <w:r>
        <w:t xml:space="preserve"> TTC-RL-1 </w:t>
      </w:r>
      <w:r>
        <w:rPr>
          <w:rFonts w:hint="eastAsia"/>
        </w:rPr>
        <w:t xml:space="preserve">为统一基线的强化学习策略组内，ET-PRL</w:t>
      </w:r>
      <w:r>
        <w:t xml:space="preserve"> </w:t>
      </w:r>
      <w:r>
        <w:rPr>
          <w:rFonts w:hint="eastAsia"/>
        </w:rPr>
        <w:t xml:space="preserve">同时实现了更高的稀疏性与更低的能耗。具体而言，TTC-RL-2</w:t>
      </w:r>
      <w:r>
        <w:t xml:space="preserve"> </w:t>
      </w:r>
      <w:r>
        <w:rPr>
          <w:rFonts w:hint="eastAsia"/>
        </w:rPr>
        <w:t xml:space="preserve">将动作更新总次数由</w:t>
      </w:r>
      <w:r>
        <w:t xml:space="preserve"> 4404 </w:t>
      </w:r>
      <w:r>
        <w:rPr>
          <w:rFonts w:hint="eastAsia"/>
        </w:rPr>
        <w:t xml:space="preserve">降至</w:t>
      </w:r>
      <w:r>
        <w:t xml:space="preserve"> </w:t>
      </w:r>
      <w:r>
        <w:rPr>
          <w:rFonts w:hint="eastAsia"/>
        </w:rPr>
        <w:t xml:space="preserve">2202（ARR=50.00%），但相对节能率仅为</w:t>
      </w:r>
      <w:r>
        <w:t xml:space="preserve"> </w:t>
      </w:r>
      <w:r>
        <w:rPr>
          <w:rFonts w:hint="eastAsia"/>
        </w:rPr>
        <w:t xml:space="preserve">0.02%；ST-ETC</w:t>
      </w:r>
      <w:r>
        <w:t xml:space="preserve"> </w:t>
      </w:r>
      <w:r>
        <w:rPr>
          <w:rFonts w:hint="eastAsia"/>
        </w:rPr>
        <w:t xml:space="preserve">的</w:t>
      </w:r>
      <w:r>
        <w:t xml:space="preserve"> ARR </w:t>
      </w:r>
      <w:r>
        <w:rPr>
          <w:rFonts w:hint="eastAsia"/>
        </w:rPr>
        <w:t xml:space="preserve">为</w:t>
      </w:r>
      <w:r>
        <w:t xml:space="preserve"> </w:t>
      </w:r>
      <w:r>
        <w:rPr>
          <w:rFonts w:hint="eastAsia"/>
        </w:rPr>
        <w:t xml:space="preserve">19.96%，相对节能率为</w:t>
      </w:r>
      <w:r>
        <w:t xml:space="preserve"> </w:t>
      </w:r>
      <w:r>
        <w:rPr>
          <w:rFonts w:hint="eastAsia"/>
        </w:rPr>
        <w:t xml:space="preserve">0.08%。相比之下，ET-PRL</w:t>
      </w:r>
      <w:r>
        <w:t xml:space="preserve"> </w:t>
      </w:r>
      <w:r>
        <w:rPr>
          <w:rFonts w:hint="eastAsia"/>
        </w:rPr>
        <w:t xml:space="preserve">在动作更新总次数降至</w:t>
      </w:r>
      <w:r>
        <w:t xml:space="preserve"> </w:t>
      </w:r>
      <w:r>
        <w:rPr>
          <w:rFonts w:hint="eastAsia"/>
        </w:rPr>
        <w:t xml:space="preserve">2046（ARR=53.54%）的同时，相对节能率提升至</w:t>
      </w:r>
      <w:r>
        <w:t xml:space="preserve"> </w:t>
      </w:r>
      <w:r>
        <w:rPr>
          <w:rFonts w:hint="eastAsia"/>
        </w:rPr>
        <w:t xml:space="preserve">2.13%。按测试周期折算，TTC-RL-1、TTC-RL-2、ST-ETC</w:t>
      </w:r>
      <w:r>
        <w:t xml:space="preserve"> </w:t>
      </w:r>
      <w:r>
        <w:rPr>
          <w:rFonts w:hint="eastAsia"/>
        </w:rPr>
        <w:t xml:space="preserve">与</w:t>
      </w:r>
      <w:r>
        <w:t xml:space="preserve"> ET-PRL </w:t>
      </w:r>
      <w:r>
        <w:rPr>
          <w:rFonts w:hint="eastAsia"/>
        </w:rPr>
        <w:t xml:space="preserve">的</w:t>
      </w:r>
      <w:r>
        <w:t xml:space="preserve"> </w:t>
      </w:r>
      <m:oMath>
        <m:sSub>
          <m:e>
            <m:r>
              <m:t>N</m:t>
            </m:r>
          </m:e>
          <m:sub>
            <m:r>
              <m:rPr>
                <m:nor/>
                <m:sty m:val="p"/>
              </m:rPr>
              <m:t>daily</m:t>
            </m:r>
          </m:sub>
        </m:sSub>
      </m:oMath>
      <w:r>
        <w:t xml:space="preserve"> </w:t>
      </w:r>
      <w:r>
        <w:rPr>
          <w:rFonts w:hint="eastAsia"/>
        </w:rPr>
        <w:t xml:space="preserve">分别为</w:t>
      </w:r>
      <w:r>
        <w:t xml:space="preserve"> 288.00、144.00、230.51 </w:t>
      </w:r>
      <w:r>
        <w:rPr>
          <w:rFonts w:hint="eastAsia"/>
        </w:rPr>
        <w:t xml:space="preserve">与</w:t>
      </w:r>
      <w:r>
        <w:t xml:space="preserve"> 133.80 </w:t>
      </w:r>
      <w:r>
        <w:rPr>
          <w:rFonts w:hint="eastAsia"/>
        </w:rPr>
        <w:t xml:space="preserve">次/日；对应</w:t>
      </w:r>
      <w:r>
        <w:t xml:space="preserve"> ACR </w:t>
      </w:r>
      <w:r>
        <w:rPr>
          <w:rFonts w:hint="eastAsia"/>
        </w:rPr>
        <w:t xml:space="preserve">分别为</w:t>
      </w:r>
      <w:r>
        <w:t xml:space="preserve"> 1.0000、2.0000、1.2494 </w:t>
      </w:r>
      <w:r>
        <w:rPr>
          <w:rFonts w:hint="eastAsia"/>
        </w:rPr>
        <w:t xml:space="preserve">与</w:t>
      </w:r>
      <w:r>
        <w:t xml:space="preserve"> </w:t>
      </w:r>
      <w:r>
        <w:rPr>
          <w:rFonts w:hint="eastAsia"/>
        </w:rPr>
        <w:t xml:space="preserve">2.1525。该结果说明，性能改善并非仅由降频幅度决定，而与触发时机和高价值决策状态的匹配程度密切相关。</w:t>
      </w:r>
    </w:p>
    <w:p>
      <w:pPr>
        <w:pStyle w:val="BodyText"/>
      </w:pPr>
      <w:r>
        <w:rPr>
          <w:rFonts w:hint="eastAsia"/>
        </w:rPr>
        <w:t xml:space="preserve">在传统控制策略对照下，PID</w:t>
      </w:r>
      <w:r>
        <w:t xml:space="preserve"> </w:t>
      </w:r>
      <w:r>
        <w:rPr>
          <w:rFonts w:hint="eastAsia"/>
        </w:rPr>
        <w:t xml:space="preserve">与</w:t>
      </w:r>
      <w:r>
        <w:t xml:space="preserve"> RBC </w:t>
      </w:r>
      <w:r>
        <w:rPr>
          <w:rFonts w:hint="eastAsia"/>
        </w:rPr>
        <w:t xml:space="preserve">的日均能耗分别为</w:t>
      </w:r>
      <w:r>
        <w:t xml:space="preserve"> 8486.90 </w:t>
      </w:r>
      <w:r>
        <w:rPr>
          <w:rFonts w:hint="eastAsia"/>
        </w:rPr>
        <w:t xml:space="preserve">与</w:t>
      </w:r>
      <w:r>
        <w:t xml:space="preserve"> 8548.72 </w:t>
      </w:r>
      <w:r>
        <w:rPr>
          <w:rFonts w:hint="eastAsia"/>
        </w:rPr>
        <w:t xml:space="preserve">kWh/day，均高于强化学习策略组（7331.85</w:t>
      </w:r>
      <w:r>
        <w:t xml:space="preserve"> </w:t>
      </w:r>
      <w:r>
        <w:rPr>
          <w:rFonts w:hint="eastAsia"/>
        </w:rPr>
        <w:t xml:space="preserve">至</w:t>
      </w:r>
      <w:r>
        <w:t xml:space="preserve"> 7491.14 </w:t>
      </w:r>
      <w:r>
        <w:rPr>
          <w:rFonts w:hint="eastAsia"/>
        </w:rPr>
        <w:t xml:space="preserve">kWh/day）。其中，ET-PRL</w:t>
      </w:r>
      <w:r>
        <w:t xml:space="preserve"> </w:t>
      </w:r>
      <w:r>
        <w:rPr>
          <w:rFonts w:hint="eastAsia"/>
        </w:rPr>
        <w:t xml:space="preserve">的日均能耗最低，为</w:t>
      </w:r>
      <w:r>
        <w:t xml:space="preserve"> 7331.85 </w:t>
      </w:r>
      <w:r>
        <w:rPr>
          <w:rFonts w:hint="eastAsia"/>
        </w:rPr>
        <w:t xml:space="preserve">kWh/day；相较于</w:t>
      </w:r>
      <w:r>
        <w:t xml:space="preserve"> PID </w:t>
      </w:r>
      <w:r>
        <w:rPr>
          <w:rFonts w:hint="eastAsia"/>
        </w:rPr>
        <w:t xml:space="preserve">与</w:t>
      </w:r>
      <w:r>
        <w:t xml:space="preserve"> </w:t>
      </w:r>
      <w:r>
        <w:rPr>
          <w:rFonts w:hint="eastAsia"/>
        </w:rPr>
        <w:t xml:space="preserve">RBC，分别降低</w:t>
      </w:r>
      <w:r>
        <w:t xml:space="preserve"> 1155.05 </w:t>
      </w:r>
      <w:r>
        <w:rPr>
          <w:rFonts w:hint="eastAsia"/>
        </w:rPr>
        <w:t xml:space="preserve">与</w:t>
      </w:r>
      <w:r>
        <w:t xml:space="preserve"> 1216.87 </w:t>
      </w:r>
      <w:r>
        <w:rPr>
          <w:rFonts w:hint="eastAsia"/>
        </w:rPr>
        <w:t xml:space="preserve">kWh/day，对应降幅为</w:t>
      </w:r>
      <w:r>
        <w:t xml:space="preserve"> 13.61% </w:t>
      </w:r>
      <w:r>
        <w:rPr>
          <w:rFonts w:hint="eastAsia"/>
        </w:rPr>
        <w:t xml:space="preserve">与</w:t>
      </w:r>
      <w:r>
        <w:t xml:space="preserve"> </w:t>
      </w:r>
      <w:r>
        <w:rPr>
          <w:rFonts w:hint="eastAsia"/>
        </w:rPr>
        <w:t xml:space="preserve">14.24%。在功率指标上，ET-PRL</w:t>
      </w:r>
      <w:r>
        <w:t xml:space="preserve"> </w:t>
      </w:r>
      <w:r>
        <w:rPr>
          <w:rFonts w:hint="eastAsia"/>
        </w:rPr>
        <w:t xml:space="preserve">的平均功率</w:t>
      </w:r>
      <w:r>
        <w:t xml:space="preserve"> </w:t>
      </w:r>
      <m:oMath>
        <m:sSub>
          <m:e>
            <m:acc>
              <m:accPr>
                <m:chr m:val="‾"/>
              </m:accPr>
              <m:e>
                <m:r>
                  <m:t>P</m:t>
                </m:r>
              </m:e>
            </m:acc>
          </m:e>
          <m:sub>
            <m:r>
              <m:rPr>
                <m:nor/>
                <m:sty m:val="p"/>
              </m:rPr>
              <m:t>chiller</m:t>
            </m:r>
          </m:sub>
        </m:sSub>
        <m:r>
          <m:rPr>
            <m:sty m:val="p"/>
          </m:rPr>
          <m:t>=</m:t>
        </m:r>
        <m:r>
          <m:t>305.49</m:t>
        </m:r>
      </m:oMath>
      <w:r>
        <w:t xml:space="preserve"> </w:t>
      </w:r>
      <w:r>
        <w:rPr>
          <w:rFonts w:hint="eastAsia"/>
        </w:rPr>
        <w:t xml:space="preserve">kW，也低于</w:t>
      </w:r>
      <w:r>
        <w:t xml:space="preserve"> </w:t>
      </w:r>
      <w:r>
        <w:rPr>
          <w:rFonts w:hint="eastAsia"/>
        </w:rPr>
        <w:t xml:space="preserve">PID（353.62</w:t>
      </w:r>
      <w:r>
        <w:t xml:space="preserve"> </w:t>
      </w:r>
      <w:r>
        <w:rPr>
          <w:rFonts w:hint="eastAsia"/>
        </w:rPr>
        <w:t xml:space="preserve">kW）与</w:t>
      </w:r>
      <w:r>
        <w:t xml:space="preserve"> </w:t>
      </w:r>
      <w:r>
        <w:rPr>
          <w:rFonts w:hint="eastAsia"/>
        </w:rPr>
        <w:t xml:space="preserve">RBC（356.20</w:t>
      </w:r>
      <w:r>
        <w:t xml:space="preserve"> </w:t>
      </w:r>
      <w:r>
        <w:rPr>
          <w:rFonts w:hint="eastAsia"/>
        </w:rPr>
        <w:t xml:space="preserve">kW），表明其在本测试集上表现出一致的能效优势。</w:t>
      </w:r>
    </w:p>
    <w:p>
      <w:pPr>
        <w:pStyle w:val="BodyText"/>
      </w:pPr>
      <w:r>
        <w:rPr>
          <w:rFonts w:hint="eastAsia"/>
        </w:rPr>
        <w:t xml:space="preserve">在执行品质方面，ET-PRL</w:t>
      </w:r>
      <w:r>
        <w:t xml:space="preserve"> </w:t>
      </w:r>
      <w:r>
        <w:rPr>
          <w:rFonts w:hint="eastAsia"/>
        </w:rPr>
        <w:t xml:space="preserve">的动作平滑度</w:t>
      </w:r>
      <w:r>
        <w:t xml:space="preserve"> </w:t>
      </w:r>
      <m:oMath>
        <m:sSub>
          <m:e>
            <m:r>
              <m:t>σ</m:t>
            </m:r>
          </m:e>
          <m:sub>
            <m:r>
              <m:rPr>
                <m:sty m:val="p"/>
              </m:rPr>
              <m:t>Δ</m:t>
            </m:r>
            <m:r>
              <m:t>a</m:t>
            </m:r>
          </m:sub>
        </m:sSub>
        <m:r>
          <m:rPr>
            <m:sty m:val="p"/>
          </m:rPr>
          <m:t>=</m:t>
        </m:r>
        <m:r>
          <m:t>0.6014</m:t>
        </m:r>
      </m:oMath>
      <w:r>
        <w:rPr>
          <w:rFonts w:hint="eastAsia"/>
        </w:rPr>
        <w:t xml:space="preserve">，较</w:t>
      </w:r>
      <w:r>
        <w:t xml:space="preserve"> </w:t>
      </w:r>
      <w:r>
        <w:rPr>
          <w:rFonts w:hint="eastAsia"/>
        </w:rPr>
        <w:t xml:space="preserve">TTC-RL-1（0.8101）下降</w:t>
      </w:r>
      <w:r>
        <w:t xml:space="preserve"> </w:t>
      </w:r>
      <w:r>
        <w:rPr>
          <w:rFonts w:hint="eastAsia"/>
        </w:rPr>
        <w:t xml:space="preserve">25.76%，较</w:t>
      </w:r>
      <w:r>
        <w:t xml:space="preserve"> </w:t>
      </w:r>
      <w:r>
        <w:rPr>
          <w:rFonts w:hint="eastAsia"/>
        </w:rPr>
        <w:t xml:space="preserve">ST-ETC（0.7711）下降</w:t>
      </w:r>
      <w:r>
        <w:t xml:space="preserve"> </w:t>
      </w:r>
      <w:r>
        <w:rPr>
          <w:rFonts w:hint="eastAsia"/>
        </w:rPr>
        <w:t xml:space="preserve">22.01%，说明其在抑制高频抖动、降低执行器频繁调节方面具有优势。该值略高于</w:t>
      </w:r>
      <w:r>
        <w:t xml:space="preserve"> </w:t>
      </w:r>
      <w:r>
        <w:rPr>
          <w:rFonts w:hint="eastAsia"/>
        </w:rPr>
        <w:t xml:space="preserve">TTC-RL-2（0.5617），反映</w:t>
      </w:r>
      <w:r>
        <w:t xml:space="preserve"> ET-PRL </w:t>
      </w:r>
      <w:r>
        <w:rPr>
          <w:rFonts w:hint="eastAsia"/>
        </w:rPr>
        <w:t xml:space="preserve">在保持必要动作调整与抑制无效更新之间实现了相对平衡的折中。</w:t>
      </w:r>
    </w:p>
    <w:p>
      <w:pPr>
        <w:pStyle w:val="BodyText"/>
      </w:pPr>
      <w:r>
        <w:rPr>
          <w:rFonts w:hint="eastAsia"/>
        </w:rPr>
        <w:t xml:space="preserve">在奖励指标方面，应区分累计收益与单位更新收益两类口径。ET-PRL</w:t>
      </w:r>
      <w:r>
        <w:t xml:space="preserve"> </w:t>
      </w:r>
      <w:r>
        <w:rPr>
          <w:rFonts w:hint="eastAsia"/>
        </w:rPr>
        <w:t xml:space="preserve">的总奖励</w:t>
      </w:r>
      <w:r>
        <w:t xml:space="preserve"> </w:t>
      </w:r>
      <m:oMath>
        <m:sSub>
          <m:e>
            <m:r>
              <m:t>R</m:t>
            </m:r>
          </m:e>
          <m:sub>
            <m:r>
              <m:rPr>
                <m:nor/>
                <m:sty m:val="p"/>
              </m:rPr>
              <m:t>test</m:t>
            </m:r>
          </m:sub>
        </m:sSub>
      </m:oMath>
      <w:r>
        <w:t xml:space="preserve"> </w:t>
      </w:r>
      <w:r>
        <w:rPr>
          <w:rFonts w:hint="eastAsia"/>
        </w:rPr>
        <w:t xml:space="preserve">为</w:t>
      </w:r>
      <w:r>
        <w:t xml:space="preserve"> </w:t>
      </w:r>
      <w:r>
        <w:rPr>
          <w:rFonts w:hint="eastAsia"/>
        </w:rPr>
        <w:t xml:space="preserve">1939.74，低于</w:t>
      </w:r>
      <w:r>
        <w:t xml:space="preserve"> TTC-RL-1 </w:t>
      </w:r>
      <w:r>
        <w:rPr>
          <w:rFonts w:hint="eastAsia"/>
        </w:rPr>
        <w:t xml:space="preserve">的</w:t>
      </w:r>
      <w:r>
        <w:t xml:space="preserve"> </w:t>
      </w:r>
      <w:r>
        <w:rPr>
          <w:rFonts w:hint="eastAsia"/>
        </w:rPr>
        <w:t xml:space="preserve">2054.63，对应</w:t>
      </w:r>
      <w:r>
        <w:t xml:space="preserve"> PPR </w:t>
      </w:r>
      <w:r>
        <w:rPr>
          <w:rFonts w:hint="eastAsia"/>
        </w:rPr>
        <w:t xml:space="preserve">为</w:t>
      </w:r>
      <w:r>
        <w:t xml:space="preserve"> </w:t>
      </w:r>
      <w:r>
        <w:rPr>
          <w:rFonts w:hint="eastAsia"/>
        </w:rPr>
        <w:t xml:space="preserve">94.41%；但其平均步奖励</w:t>
      </w:r>
      <w:r>
        <w:t xml:space="preserve"> </w:t>
      </w:r>
      <m:oMath>
        <m:sSub>
          <m:e>
            <m:acc>
              <m:accPr>
                <m:chr m:val="‾"/>
              </m:accPr>
              <m:e>
                <m:r>
                  <m:t>R</m:t>
                </m:r>
              </m:e>
            </m:acc>
          </m:e>
          <m:sub>
            <m:r>
              <m:rPr>
                <m:nor/>
                <m:sty m:val="p"/>
              </m:rPr>
              <m:t>step</m:t>
            </m:r>
          </m:sub>
        </m:sSub>
      </m:oMath>
      <w:r>
        <w:t xml:space="preserve"> </w:t>
      </w:r>
      <w:r>
        <w:rPr>
          <w:rFonts w:hint="eastAsia"/>
        </w:rPr>
        <w:t xml:space="preserve">为</w:t>
      </w:r>
      <w:r>
        <w:t xml:space="preserve"> </w:t>
      </w:r>
      <w:r>
        <w:rPr>
          <w:rFonts w:hint="eastAsia"/>
        </w:rPr>
        <w:t xml:space="preserve">0.9481，为强化学习策略中最高，较</w:t>
      </w:r>
      <w:r>
        <w:t xml:space="preserve"> </w:t>
      </w:r>
      <w:r>
        <w:rPr>
          <w:rFonts w:hint="eastAsia"/>
        </w:rPr>
        <w:t xml:space="preserve">TTC-RL-1（0.4665）提升约</w:t>
      </w:r>
      <w:r>
        <w:t xml:space="preserve"> </w:t>
      </w:r>
      <w:r>
        <w:rPr>
          <w:rFonts w:hint="eastAsia"/>
        </w:rPr>
        <w:t xml:space="preserve">103.24%，较</w:t>
      </w:r>
      <w:r>
        <w:t xml:space="preserve"> </w:t>
      </w:r>
      <w:r>
        <w:rPr>
          <w:rFonts w:hint="eastAsia"/>
        </w:rPr>
        <w:t xml:space="preserve">ST-ETC（0.5822）提升约</w:t>
      </w:r>
      <w:r>
        <w:t xml:space="preserve"> </w:t>
      </w:r>
      <w:r>
        <w:rPr>
          <w:rFonts w:hint="eastAsia"/>
        </w:rPr>
        <w:t xml:space="preserve">62.85%，也高于</w:t>
      </w:r>
      <w:r>
        <w:t xml:space="preserve"> </w:t>
      </w:r>
      <w:r>
        <w:rPr>
          <w:rFonts w:hint="eastAsia"/>
        </w:rPr>
        <w:t xml:space="preserve">TTC-RL-2（0.9186）。该结果表明，ET-PRL</w:t>
      </w:r>
      <w:r>
        <w:t xml:space="preserve"> </w:t>
      </w:r>
      <w:r>
        <w:rPr>
          <w:rFonts w:hint="eastAsia"/>
        </w:rPr>
        <w:t xml:space="preserve">将有限动作更新预算集中在更高价值的决策时刻，在仅损失部分累计收益的情况下显著提升了单位更新效率，这与事件驱动控制追求按需高效干预的设计目标一致。</w:t>
      </w:r>
    </w:p>
    <w:p>
      <w:pPr>
        <w:pStyle w:val="Compact"/>
        <w:numPr>
          <w:ilvl w:val="0"/>
          <w:numId w:val="1019"/>
        </w:numPr>
      </w:pPr>
      <w:r>
        <w:rPr>
          <w:rFonts w:hint="eastAsia"/>
        </w:rPr>
        <w:t xml:space="preserve">冷冻水供水温度设定值策略行为分析</w:t>
      </w:r>
    </w:p>
    <w:p>
      <w:pPr>
        <w:pStyle w:val="FirstParagraph"/>
      </w:pPr>
      <w:r>
        <w:rPr>
          <w:rFonts w:hint="eastAsia"/>
        </w:rPr>
        <w:t xml:space="preserve">在宏观分布层面，静态阈值策略</w:t>
      </w:r>
      <w:r>
        <w:t xml:space="preserve"> ST-ETC </w:t>
      </w:r>
      <w:r>
        <w:rPr>
          <w:rFonts w:hint="eastAsia"/>
        </w:rPr>
        <w:t xml:space="preserve">与</w:t>
      </w:r>
      <w:r>
        <w:t xml:space="preserve"> TTC-RL-1 </w:t>
      </w:r>
      <w:r>
        <w:rPr>
          <w:rFonts w:hint="eastAsia"/>
        </w:rPr>
        <w:t xml:space="preserve">的动作等效比率达到</w:t>
      </w:r>
      <w:r>
        <w:t xml:space="preserve"> </w:t>
      </w:r>
      <w:r>
        <w:rPr>
          <w:rFonts w:hint="eastAsia"/>
        </w:rPr>
        <w:t xml:space="preserve">99.2%，说明其主要表现为更新频率稀疏化，而非价值函数驱动的策略重构。基于此，图</w:t>
      </w:r>
      <w:r>
        <w:t xml:space="preserve"> 5-2-1 </w:t>
      </w:r>
      <w:r>
        <w:rPr>
          <w:rFonts w:hint="eastAsia"/>
        </w:rPr>
        <w:t xml:space="preserve">将</w:t>
      </w:r>
      <w:r>
        <w:t xml:space="preserve"> TTC-RL-1 </w:t>
      </w:r>
      <w:r>
        <w:rPr>
          <w:rFonts w:hint="eastAsia"/>
        </w:rPr>
        <w:t xml:space="preserve">与</w:t>
      </w:r>
      <w:r>
        <w:t xml:space="preserve"> ST-ETC </w:t>
      </w:r>
      <w:r>
        <w:rPr>
          <w:rFonts w:hint="eastAsia"/>
        </w:rPr>
        <w:t xml:space="preserve">的宏观分布合并展示，用于突出</w:t>
      </w:r>
      <w:r>
        <w:t xml:space="preserve"> ET-PRL </w:t>
      </w:r>
      <w:r>
        <w:rPr>
          <w:rFonts w:hint="eastAsia"/>
        </w:rPr>
        <w:t xml:space="preserve">在动作空间上的再分配特征。</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5-2-1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tc>
      </w:tr>
    </w:tbl>
    <w:p>
      <w:pPr>
        <w:pStyle w:val="ImageCaption"/>
      </w:pPr>
      <w:r>
        <w:rPr>
          <w:rFonts w:hint="eastAsia"/>
        </w:rPr>
        <w:t xml:space="preserve">图</w:t>
      </w:r>
      <w:r>
        <w:t xml:space="preserve"> 5-2-1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w:t>
      </w:r>
      <w:r>
        <w:t xml:space="preserve"> 5-2-1 ET-PRL、TTC-RL-1 </w:t>
      </w:r>
      <w:r>
        <w:rPr>
          <w:rFonts w:hint="eastAsia"/>
        </w:rPr>
        <w:t xml:space="preserve">与</w:t>
      </w:r>
      <w:r>
        <w:t xml:space="preserve"> ST-ETC </w:t>
      </w:r>
      <w:r>
        <w:rPr>
          <w:rFonts w:hint="eastAsia"/>
        </w:rPr>
        <w:t xml:space="preserve">的</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窗口分布对比（每个柱表示</w:t>
      </w:r>
      <w:r>
        <w:t xml:space="preserve"> 10 </w:t>
      </w:r>
      <w:r>
        <w:rPr>
          <w:rFonts w:hint="eastAsia"/>
        </w:rPr>
        <w:t xml:space="preserve">小时窗口内动作比例）</w:t>
      </w:r>
    </w:p>
    <w:p>
      <w:pPr>
        <w:pStyle w:val="BodyText"/>
      </w:pPr>
      <w:r>
        <w:rPr>
          <w:rFonts w:hint="eastAsia"/>
        </w:rPr>
        <w:t xml:space="preserve">图</w:t>
      </w:r>
      <w:r>
        <w:t xml:space="preserve"> 5-2-1 </w:t>
      </w:r>
      <w:r>
        <w:rPr>
          <w:rFonts w:hint="eastAsia"/>
        </w:rPr>
        <w:t xml:space="preserve">显示，在</w:t>
      </w:r>
      <w:r>
        <w:t xml:space="preserve"> 0-50h </w:t>
      </w:r>
      <w:r>
        <w:rPr>
          <w:rFonts w:hint="eastAsia"/>
        </w:rPr>
        <w:t xml:space="preserve">与</w:t>
      </w:r>
      <w:r>
        <w:t xml:space="preserve"> 200-250h </w:t>
      </w:r>
      <w:r>
        <w:rPr>
          <w:rFonts w:hint="eastAsia"/>
        </w:rPr>
        <w:t xml:space="preserve">等典型低负荷时段，ET-PRL</w:t>
      </w:r>
      <w:r>
        <w:t xml:space="preserve"> </w:t>
      </w:r>
      <w:r>
        <w:rPr>
          <w:rFonts w:hint="eastAsia"/>
        </w:rPr>
        <w:t xml:space="preserve">在离散动作空间高温端（15°C）对应区间的动作占比显著提升。该行为与冷水机组变工况热力学特性一致：当建筑冷量需求较弱时，上调</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等效于提高蒸发温度，可降低压缩机压比并提升性能系数（COP），从而在不突破室内热舒适边界的前提下降低单位冷量耗电。需要指出的是，ST-ETC</w:t>
      </w:r>
      <w:r>
        <w:t xml:space="preserve"> </w:t>
      </w:r>
      <w:r>
        <w:rPr>
          <w:rFonts w:hint="eastAsia"/>
        </w:rPr>
        <w:t xml:space="preserve">与</w:t>
      </w:r>
      <w:r>
        <w:t xml:space="preserve"> ET-PRL </w:t>
      </w:r>
      <w:r>
        <w:rPr>
          <w:rFonts w:hint="eastAsia"/>
        </w:rPr>
        <w:t xml:space="preserve">复用同一</w:t>
      </w:r>
      <w:r>
        <w:t xml:space="preserve"> TTC-RL-1 </w:t>
      </w:r>
      <w:r>
        <w:rPr>
          <w:rFonts w:hint="eastAsia"/>
        </w:rPr>
        <w:t xml:space="preserve">预训练</w:t>
      </w:r>
      <w:r>
        <w:t xml:space="preserve"> Q </w:t>
      </w:r>
      <w:r>
        <w:rPr>
          <w:rFonts w:hint="eastAsia"/>
        </w:rPr>
        <w:t xml:space="preserve">网络与同一状态输入，因此二者均具备基于预测特征的价值评估能力。两者差异主要来自门控层：ST-ETC</w:t>
      </w:r>
      <w:r>
        <w:t xml:space="preserve"> </w:t>
      </w:r>
      <w:r>
        <w:rPr>
          <w:rFonts w:hint="eastAsia"/>
        </w:rPr>
        <w:t xml:space="preserve">的静态阈值在跨时段分布漂移下更易出现边界失配，在非关键时刻产生误触发并缩短高效设定值的连续保持时长；ET-PRL</w:t>
      </w:r>
      <w:r>
        <w:t xml:space="preserve"> </w:t>
      </w:r>
      <w:r>
        <w:rPr>
          <w:rFonts w:hint="eastAsia"/>
        </w:rPr>
        <w:t xml:space="preserve">的流式双层动态阈值可在线校正触发边界，过滤高频噪声触发，为高设定温度动作提供更连续的执行窗口，从而实现更显著的动作空间再分配。</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5-2-2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tc>
      </w:tr>
    </w:tbl>
    <w:p>
      <w:pPr>
        <w:pStyle w:val="ImageCaption"/>
      </w:pPr>
      <w:r>
        <w:rPr>
          <w:rFonts w:hint="eastAsia"/>
        </w:rPr>
        <w:t xml:space="preserve">图</w:t>
      </w:r>
      <w:r>
        <w:t xml:space="preserve"> 5-2-2 </w:t>
      </w:r>
      <w:r>
        <w:rPr>
          <w:rFonts w:hint="eastAsia"/>
        </w:rPr>
        <w:t xml:space="preserve">事件触发局部响应与全局差值频次统计：面板(a)为</w:t>
      </w:r>
      <w:r>
        <w:t xml:space="preserve"> 65h-85h </w:t>
      </w:r>
      <w:r>
        <w:rPr>
          <w:rFonts w:hint="eastAsia"/>
        </w:rPr>
        <w:t xml:space="preserve">窗口内冷负荷与绝对设定值轨迹，面板(b)为</w:t>
      </w:r>
      <w:r>
        <w:t xml:space="preserve"> ST-ETC </w:t>
      </w:r>
      <w:r>
        <w:rPr>
          <w:rFonts w:hint="eastAsia"/>
        </w:rPr>
        <w:t xml:space="preserve">与</w:t>
      </w:r>
      <w:r>
        <w:t xml:space="preserve"> ET-PRL </w:t>
      </w:r>
      <w:r>
        <w:rPr>
          <w:rFonts w:hint="eastAsia"/>
        </w:rPr>
        <w:t xml:space="preserve">相对</w:t>
      </w:r>
      <w:r>
        <w:t xml:space="preserve"> TTC-RL-1 </w:t>
      </w:r>
      <w:r>
        <w:rPr>
          <w:rFonts w:hint="eastAsia"/>
        </w:rPr>
        <w:t xml:space="preserve">的</w:t>
      </w:r>
      <w:r>
        <w:t xml:space="preserve"> </w:t>
      </w:r>
      <m:oMath>
        <m:r>
          <m:rPr>
            <m:sty m:val="p"/>
          </m:rPr>
          <m:t>Δ</m:t>
        </m:r>
        <m:sSub>
          <m:e>
            <m:r>
              <m:t>T</m:t>
            </m:r>
          </m:e>
          <m:sub>
            <m:r>
              <m:rPr>
                <m:sty m:val="p"/>
              </m:rPr>
              <m:t>c</m:t>
            </m:r>
            <m:r>
              <m:rPr>
                <m:sty m:val="p"/>
              </m:rPr>
              <m:t>h</m:t>
            </m:r>
            <m:r>
              <m:rPr>
                <m:sty m:val="p"/>
              </m:rPr>
              <m:t>w</m:t>
            </m:r>
            <m:r>
              <m:rPr>
                <m:sty m:val="p"/>
              </m:rPr>
              <m:t>s</m:t>
            </m:r>
          </m:sub>
        </m:sSub>
      </m:oMath>
      <w:r>
        <w:t xml:space="preserve"> </w:t>
      </w:r>
      <w:r>
        <w:rPr>
          <w:rFonts w:hint="eastAsia"/>
        </w:rPr>
        <w:t xml:space="preserve">对数频次分布</w:t>
      </w:r>
    </w:p>
    <w:p>
      <w:pPr>
        <w:pStyle w:val="BodyText"/>
      </w:pPr>
      <w:r>
        <w:rPr>
          <w:rFonts w:hint="eastAsia"/>
        </w:rPr>
        <w:t xml:space="preserve">图</w:t>
      </w:r>
      <w:r>
        <w:t xml:space="preserve"> 5-2-2 </w:t>
      </w:r>
      <w:r>
        <w:rPr>
          <w:rFonts w:hint="eastAsia"/>
        </w:rPr>
        <w:t xml:space="preserve">事件触发局部响应与全局差值频次统计</w:t>
      </w:r>
    </w:p>
    <w:p>
      <w:pPr>
        <w:pStyle w:val="BodyText"/>
      </w:pPr>
      <w:r>
        <w:rPr>
          <w:rFonts w:hint="eastAsia"/>
        </w:rPr>
        <w:t xml:space="preserve">在微观轨迹层面，图</w:t>
      </w:r>
      <w:r>
        <w:t xml:space="preserve"> 5-2-2(a) </w:t>
      </w:r>
      <w:r>
        <w:rPr>
          <w:rFonts w:hint="eastAsia"/>
        </w:rPr>
        <w:t xml:space="preserve">选取</w:t>
      </w:r>
      <w:r>
        <w:t xml:space="preserve"> 65h-85h </w:t>
      </w:r>
      <w:r>
        <w:rPr>
          <w:rFonts w:hint="eastAsia"/>
        </w:rPr>
        <w:t xml:space="preserve">典型窗口，显示</w:t>
      </w:r>
      <w:r>
        <w:t xml:space="preserve"> ET-PRL </w:t>
      </w:r>
      <w:r>
        <w:rPr>
          <w:rFonts w:hint="eastAsia"/>
        </w:rPr>
        <w:t xml:space="preserve">呈现更长周期的阶梯保持，仅在关键扰动出现时更新设定值；TTC-RL-1</w:t>
      </w:r>
      <w:r>
        <w:t xml:space="preserve"> </w:t>
      </w:r>
      <w:r>
        <w:rPr>
          <w:rFonts w:hint="eastAsia"/>
        </w:rPr>
        <w:t xml:space="preserve">则维持高频时间触发更新。结合同一预训练</w:t>
      </w:r>
      <w:r>
        <w:t xml:space="preserve"> Q </w:t>
      </w:r>
      <w:r>
        <w:rPr>
          <w:rFonts w:hint="eastAsia"/>
        </w:rPr>
        <w:t xml:space="preserve">网络这一前提可知，该差异并非源于策略网络能力差异，而是源于触发时机质量差异：ST-ETC</w:t>
      </w:r>
      <w:r>
        <w:t xml:space="preserve"> </w:t>
      </w:r>
      <w:r>
        <w:rPr>
          <w:rFonts w:hint="eastAsia"/>
        </w:rPr>
        <w:t xml:space="preserve">受静态边界约束，更易在边界附近误触发，导致控制序列被频繁打断并回退至与基线近似的保守输出；ET-PRL</w:t>
      </w:r>
      <w:r>
        <w:t xml:space="preserve"> </w:t>
      </w:r>
      <w:r>
        <w:rPr>
          <w:rFonts w:hint="eastAsia"/>
        </w:rPr>
        <w:t xml:space="preserve">通过双层动态阈值与最小触发间隔抑制噪声驱动更新，使预测型</w:t>
      </w:r>
      <w:r>
        <w:t xml:space="preserve"> Q </w:t>
      </w:r>
      <w:r>
        <w:rPr>
          <w:rFonts w:hint="eastAsia"/>
        </w:rPr>
        <w:t xml:space="preserve">网络能够在低负荷窗口稳定维持长周期高效设定。</w:t>
      </w:r>
    </w:p>
    <w:p>
      <w:pPr>
        <w:pStyle w:val="BodyText"/>
      </w:pPr>
      <w:r>
        <w:rPr>
          <w:rFonts w:hint="eastAsia"/>
        </w:rPr>
        <w:t xml:space="preserve">在全局差值统计层面，图</w:t>
      </w:r>
      <w:r>
        <w:t xml:space="preserve"> 5-2-2(b) </w:t>
      </w:r>
      <w:r>
        <w:rPr>
          <w:rFonts w:hint="eastAsia"/>
        </w:rPr>
        <w:t xml:space="preserve">显示</w:t>
      </w:r>
      <w:r>
        <w:t xml:space="preserve"> ST-ETC </w:t>
      </w:r>
      <w:r>
        <w:rPr>
          <w:rFonts w:hint="eastAsia"/>
        </w:rPr>
        <w:t xml:space="preserve">相对</w:t>
      </w:r>
      <w:r>
        <w:t xml:space="preserve"> TTC-RL-1 </w:t>
      </w:r>
      <w:r>
        <w:rPr>
          <w:rFonts w:hint="eastAsia"/>
        </w:rPr>
        <w:t xml:space="preserve">的非零差值占比仅为</w:t>
      </w:r>
      <w:r>
        <w:t xml:space="preserve"> </w:t>
      </w:r>
      <w:r>
        <w:rPr>
          <w:rFonts w:hint="eastAsia"/>
        </w:rPr>
        <w:t xml:space="preserve">0.82%，而</w:t>
      </w:r>
      <w:r>
        <w:t xml:space="preserve"> ET-PRL </w:t>
      </w:r>
      <w:r>
        <w:rPr>
          <w:rFonts w:hint="eastAsia"/>
        </w:rPr>
        <w:t xml:space="preserve">的非零差值占比为</w:t>
      </w:r>
      <w:r>
        <w:t xml:space="preserve"> </w:t>
      </w:r>
      <w:r>
        <w:rPr>
          <w:rFonts w:hint="eastAsia"/>
        </w:rPr>
        <w:t xml:space="preserve">14.12%；对应全样本差值方差分别为</w:t>
      </w:r>
      <w:r>
        <w:t xml:space="preserve"> </w:t>
      </w:r>
      <m:oMath>
        <m:r>
          <m:t>0.446</m:t>
        </m:r>
      </m:oMath>
      <w:r>
        <w:t xml:space="preserve"> </w:t>
      </w:r>
      <w:r>
        <w:rPr>
          <w:rFonts w:hint="eastAsia"/>
        </w:rPr>
        <w:t xml:space="preserve">与</w:t>
      </w:r>
      <w:r>
        <w:t xml:space="preserve"> </w:t>
      </w:r>
      <m:oMath>
        <m:r>
          <m:t>5.879</m:t>
        </m:r>
      </m:oMath>
      <w:r>
        <w:rPr>
          <w:rFonts w:hint="eastAsia"/>
        </w:rPr>
        <w:t xml:space="preserve">。这表明</w:t>
      </w:r>
      <w:r>
        <w:t xml:space="preserve"> ST-ETC </w:t>
      </w:r>
      <w:r>
        <w:rPr>
          <w:rFonts w:hint="eastAsia"/>
        </w:rPr>
        <w:t xml:space="preserve">的动作输出仍高度黏附于基线策略，难以形成实质性的温度设定优化；ET-PRL</w:t>
      </w:r>
      <w:r>
        <w:t xml:space="preserve"> </w:t>
      </w:r>
      <w:r>
        <w:rPr>
          <w:rFonts w:hint="eastAsia"/>
        </w:rPr>
        <w:t xml:space="preserve">则在保持稀疏执行的同时实现了更充分的动作空间重构。</w:t>
      </w:r>
    </w:p>
    <w:p>
      <w:pPr>
        <w:pStyle w:val="Compact"/>
        <w:numPr>
          <w:ilvl w:val="0"/>
          <w:numId w:val="1020"/>
        </w:numPr>
      </w:pPr>
      <w:r>
        <w:rPr>
          <w:rFonts w:hint="eastAsia"/>
        </w:rPr>
        <w:t xml:space="preserve">事件触发的控制稀疏性与时序动态分析</w:t>
      </w:r>
    </w:p>
    <w:p>
      <w:pPr>
        <w:pStyle w:val="FirstParagraph"/>
      </w:pPr>
      <w:r>
        <w:rPr>
          <w:rFonts w:hint="eastAsia"/>
        </w:rPr>
        <w:t xml:space="preserve">为克服单一绝对数值评估的局限性并全面展现控制行为的时域演化过程，本节在统一标准下对</w:t>
      </w:r>
      <w:r>
        <w:t xml:space="preserve"> ET-PRL、ST-ETC </w:t>
      </w:r>
      <w:r>
        <w:rPr>
          <w:rFonts w:hint="eastAsia"/>
        </w:rPr>
        <w:t xml:space="preserve">与</w:t>
      </w:r>
      <w:r>
        <w:t xml:space="preserve"> TTC-RL-1 </w:t>
      </w:r>
      <w:r>
        <w:rPr>
          <w:rFonts w:hint="eastAsia"/>
        </w:rPr>
        <w:t xml:space="preserve">展开横向比较。为准确描述系统时序动态行为，首先明确两个关键指标：触发间隔（Trigger</w:t>
      </w:r>
      <w:r>
        <w:t xml:space="preserve"> </w:t>
      </w:r>
      <w:r>
        <w:rPr>
          <w:rFonts w:hint="eastAsia"/>
        </w:rPr>
        <w:t xml:space="preserve">Interval）定义为相邻两次事件触发机制被激活，即事件触发指示器</w:t>
      </w:r>
      <w:r>
        <w:t xml:space="preserve"> </w:t>
      </w:r>
      <m:oMath>
        <m:sSub>
          <m:e>
            <m:r>
              <m:t>I</m:t>
            </m:r>
          </m:e>
          <m:sub>
            <m:r>
              <m:rPr>
                <m:nor/>
                <m:sty m:val="p"/>
              </m:rPr>
              <m:t>trigger</m:t>
            </m:r>
          </m:sub>
        </m:sSub>
        <m:r>
          <m:rPr>
            <m:sty m:val="p"/>
          </m:rPr>
          <m:t>=</m:t>
        </m:r>
        <m:r>
          <m:t>1</m:t>
        </m:r>
      </m:oMath>
      <w:r>
        <w:t xml:space="preserve"> </w:t>
      </w:r>
      <w:r>
        <w:rPr>
          <w:rFonts w:hint="eastAsia"/>
        </w:rPr>
        <w:t xml:space="preserve">之间的时间步长；动作保持长度（Hold</w:t>
      </w:r>
      <w:r>
        <w:t xml:space="preserve"> </w:t>
      </w:r>
      <w:r>
        <w:rPr>
          <w:rFonts w:hint="eastAsia"/>
        </w:rPr>
        <w:t xml:space="preserve">Length）定义为控制设定值</w:t>
      </w:r>
      <w:r>
        <w:t xml:space="preserve"> </w:t>
      </w:r>
      <m:oMath>
        <m:sSub>
          <m:e>
            <m:r>
              <m:t>T</m:t>
            </m:r>
          </m:e>
          <m:sub>
            <m:r>
              <m:rPr>
                <m:sty m:val="p"/>
              </m:rPr>
              <m:t>c</m:t>
            </m:r>
            <m:r>
              <m:rPr>
                <m:sty m:val="p"/>
              </m:rPr>
              <m:t>h</m:t>
            </m:r>
            <m:r>
              <m:rPr>
                <m:sty m:val="p"/>
              </m:rPr>
              <m:t>w</m:t>
            </m:r>
            <m:r>
              <m:rPr>
                <m:sty m:val="p"/>
              </m:rPr>
              <m:t>s</m:t>
            </m:r>
          </m:sub>
        </m:sSub>
      </m:oMath>
      <w:r>
        <w:t xml:space="preserve"> </w:t>
      </w:r>
      <w:r>
        <w:rPr>
          <w:rFonts w:hint="eastAsia"/>
        </w:rPr>
        <w:t xml:space="preserve">连续维持在同一水平的时间步长。</w:t>
      </w:r>
    </w:p>
    <w:p>
      <w:pPr>
        <w:pStyle w:val="BodyText"/>
      </w:pPr>
      <w:r>
        <w:rPr>
          <w:rFonts w:hint="eastAsia"/>
        </w:rPr>
        <w:t xml:space="preserve">上述两项指标在物理意义上存在显著差异。在事件触发机制被激活时，若策略网络输出的最优设定值与上一时刻一致，则会出现触发动作已执行但控制设定值未发生改变的现象。因此，在实际运行轨迹中，动作保持长度通常大于或等于触发间隔。</w:t>
      </w:r>
    </w:p>
    <w:p>
      <w:pPr>
        <w:pStyle w:val="BodyText"/>
      </w:pPr>
      <w:r>
        <w:rPr>
          <w:rFonts w:hint="eastAsia"/>
        </w:rPr>
        <w:t xml:space="preserve">基于上述定义统计可得，ET-PRL</w:t>
      </w:r>
      <w:r>
        <w:t xml:space="preserve"> </w:t>
      </w:r>
      <w:r>
        <w:rPr>
          <w:rFonts w:hint="eastAsia"/>
        </w:rPr>
        <w:t xml:space="preserve">的触发间隔均值为</w:t>
      </w:r>
      <w:r>
        <w:t xml:space="preserve"> 2.117 </w:t>
      </w:r>
      <w:r>
        <w:rPr>
          <w:rFonts w:hint="eastAsia"/>
        </w:rPr>
        <w:t xml:space="preserve">步，显著高于</w:t>
      </w:r>
      <w:r>
        <w:t xml:space="preserve"> ST-ETC </w:t>
      </w:r>
      <w:r>
        <w:rPr>
          <w:rFonts w:hint="eastAsia"/>
        </w:rPr>
        <w:t xml:space="preserve">的</w:t>
      </w:r>
      <w:r>
        <w:t xml:space="preserve"> 1.249 </w:t>
      </w:r>
      <w:r>
        <w:rPr>
          <w:rFonts w:hint="eastAsia"/>
        </w:rPr>
        <w:t xml:space="preserve">步与</w:t>
      </w:r>
      <w:r>
        <w:t xml:space="preserve"> TTC-RL-1 </w:t>
      </w:r>
      <w:r>
        <w:rPr>
          <w:rFonts w:hint="eastAsia"/>
        </w:rPr>
        <w:t xml:space="preserve">的</w:t>
      </w:r>
      <w:r>
        <w:t xml:space="preserve"> 1.000 </w:t>
      </w:r>
      <w:r>
        <w:rPr>
          <w:rFonts w:hint="eastAsia"/>
        </w:rPr>
        <w:t xml:space="preserve">步；按自然日聚合统计的日均触发次数分别为</w:t>
      </w:r>
      <w:r>
        <w:t xml:space="preserve"> 127.88 </w:t>
      </w:r>
      <w:r>
        <w:rPr>
          <w:rFonts w:hint="eastAsia"/>
        </w:rPr>
        <w:t xml:space="preserve">次、220.31</w:t>
      </w:r>
      <w:r>
        <w:t xml:space="preserve"> </w:t>
      </w:r>
      <w:r>
        <w:rPr>
          <w:rFonts w:hint="eastAsia"/>
        </w:rPr>
        <w:t xml:space="preserve">次与</w:t>
      </w:r>
      <w:r>
        <w:t xml:space="preserve"> 275.25 </w:t>
      </w:r>
      <w:r>
        <w:rPr>
          <w:rFonts w:hint="eastAsia"/>
        </w:rPr>
        <w:t xml:space="preserve">次。在动作保持长度方面，ET-PRL</w:t>
      </w:r>
      <w:r>
        <w:t xml:space="preserve"> </w:t>
      </w:r>
      <w:r>
        <w:rPr>
          <w:rFonts w:hint="eastAsia"/>
        </w:rPr>
        <w:t xml:space="preserve">的均值为</w:t>
      </w:r>
      <w:r>
        <w:t xml:space="preserve"> 11.56 </w:t>
      </w:r>
      <w:r>
        <w:rPr>
          <w:rFonts w:hint="eastAsia"/>
        </w:rPr>
        <w:t xml:space="preserve">步，同样高于</w:t>
      </w:r>
      <w:r>
        <w:t xml:space="preserve"> ST-ETC </w:t>
      </w:r>
      <w:r>
        <w:rPr>
          <w:rFonts w:hint="eastAsia"/>
        </w:rPr>
        <w:t xml:space="preserve">的</w:t>
      </w:r>
      <w:r>
        <w:t xml:space="preserve"> 7.89 </w:t>
      </w:r>
      <w:r>
        <w:rPr>
          <w:rFonts w:hint="eastAsia"/>
        </w:rPr>
        <w:t xml:space="preserve">步与</w:t>
      </w:r>
      <w:r>
        <w:t xml:space="preserve"> TTC-RL-1 </w:t>
      </w:r>
      <w:r>
        <w:rPr>
          <w:rFonts w:hint="eastAsia"/>
        </w:rPr>
        <w:t xml:space="preserve">的</w:t>
      </w:r>
      <w:r>
        <w:t xml:space="preserve"> 7.57 </w:t>
      </w:r>
      <w:r>
        <w:rPr>
          <w:rFonts w:hint="eastAsia"/>
        </w:rPr>
        <w:t xml:space="preserve">步；其统计分布呈现显著长尾特征，第</w:t>
      </w:r>
      <w:r>
        <w:t xml:space="preserve"> 95 </w:t>
      </w:r>
      <w:r>
        <w:rPr>
          <w:rFonts w:hint="eastAsia"/>
        </w:rPr>
        <w:t xml:space="preserve">百分位数</w:t>
      </w:r>
      <w:r>
        <w:t xml:space="preserve"> </w:t>
      </w:r>
      <m:oMath>
        <m:sSub>
          <m:e>
            <m:r>
              <m:t>P</m:t>
            </m:r>
          </m:e>
          <m:sub>
            <m:r>
              <m:t>95</m:t>
            </m:r>
          </m:sub>
        </m:sSub>
      </m:oMath>
      <w:r>
        <w:t xml:space="preserve"> </w:t>
      </w:r>
      <w:r>
        <w:rPr>
          <w:rFonts w:hint="eastAsia"/>
        </w:rPr>
        <w:t xml:space="preserve">达到</w:t>
      </w:r>
      <w:r>
        <w:t xml:space="preserve"> 57.0 </w:t>
      </w:r>
      <w:r>
        <w:rPr>
          <w:rFonts w:hint="eastAsia"/>
        </w:rPr>
        <w:t xml:space="preserve">步，即约</w:t>
      </w:r>
      <w:r>
        <w:t xml:space="preserve"> 4.75 </w:t>
      </w:r>
      <w:r>
        <w:rPr>
          <w:rFonts w:hint="eastAsia"/>
        </w:rPr>
        <w:t xml:space="preserve">小时，而</w:t>
      </w:r>
      <w:r>
        <w:t xml:space="preserve"> ST-ETC </w:t>
      </w:r>
      <w:r>
        <w:rPr>
          <w:rFonts w:hint="eastAsia"/>
        </w:rPr>
        <w:t xml:space="preserve">与</w:t>
      </w:r>
      <w:r>
        <w:t xml:space="preserve"> TTC-RL-1 </w:t>
      </w:r>
      <w:r>
        <w:rPr>
          <w:rFonts w:hint="eastAsia"/>
        </w:rPr>
        <w:t xml:space="preserve">的对应值仅为</w:t>
      </w:r>
      <w:r>
        <w:t xml:space="preserve"> 43.3 </w:t>
      </w:r>
      <w:r>
        <w:rPr>
          <w:rFonts w:hint="eastAsia"/>
        </w:rPr>
        <w:t xml:space="preserve">步与</w:t>
      </w:r>
      <w:r>
        <w:t xml:space="preserve"> 42.9 </w:t>
      </w:r>
      <w:r>
        <w:rPr>
          <w:rFonts w:hint="eastAsia"/>
        </w:rPr>
        <w:t xml:space="preserve">步。上述结果表明，动态阈值门控机制在抑制控制系统冗余更新方面具备更优的持续静息能力。</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5-2-3 </w:t>
            </w:r>
            <w:r>
              <w:rPr>
                <w:rFonts w:hint="eastAsia"/>
              </w:rPr>
              <w:t xml:space="preserve">不同控制策略下动作更新间隔分布（主图为离散类别分箱占比，插图为长尾区间放大）</w:t>
            </w:r>
          </w:p>
        </w:tc>
      </w:tr>
    </w:tbl>
    <w:p>
      <w:pPr>
        <w:pStyle w:val="ImageCaption"/>
      </w:pPr>
      <w:r>
        <w:rPr>
          <w:rFonts w:hint="eastAsia"/>
        </w:rPr>
        <w:t xml:space="preserve">图</w:t>
      </w:r>
      <w:r>
        <w:t xml:space="preserve"> 5-2-3 </w:t>
      </w:r>
      <w:r>
        <w:rPr>
          <w:rFonts w:hint="eastAsia"/>
        </w:rPr>
        <w:t xml:space="preserve">不同控制策略下动作更新间隔分布（主图为离散类别分箱占比，插图为长尾区间放大）</w:t>
      </w:r>
    </w:p>
    <w:p>
      <w:pPr>
        <w:pStyle w:val="BodyText"/>
      </w:pPr>
      <w:r>
        <w:rPr>
          <w:rFonts w:hint="eastAsia"/>
        </w:rPr>
        <w:t xml:space="preserve">图</w:t>
      </w:r>
      <w:r>
        <w:t xml:space="preserve"> 5-2-3 </w:t>
      </w:r>
      <w:r>
        <w:rPr>
          <w:rFonts w:hint="eastAsia"/>
        </w:rPr>
        <w:t xml:space="preserve">不同控制策略下动作更新间隔分布。主图展示了时间触发基线（TTC-RL-1）、静态事件触发控制（ST-ETC）以及本文提出的动态事件触发框架（ET-PRL）在各离散类别区间中的更新间隔占比。插图给出了间隔</w:t>
      </w:r>
      <w:r>
        <w:t xml:space="preserve"> </w:t>
      </w:r>
      <m:oMath>
        <m:r>
          <m:rPr>
            <m:sty m:val="p"/>
          </m:rPr>
          <m:t>≥</m:t>
        </m:r>
        <m:r>
          <m:t>4</m:t>
        </m:r>
      </m:oMath>
      <w:r>
        <w:t xml:space="preserve"> </w:t>
      </w:r>
      <w:r>
        <w:rPr>
          <w:rFonts w:hint="eastAsia"/>
        </w:rPr>
        <w:t xml:space="preserve">步的长尾分布放大视图。值得注意的是，ET-PRL</w:t>
      </w:r>
      <w:r>
        <w:t xml:space="preserve"> </w:t>
      </w:r>
      <w:r>
        <w:rPr>
          <w:rFonts w:hint="eastAsia"/>
        </w:rPr>
        <w:t xml:space="preserve">表现出显著长尾特征，在低扰动时段最大触发间隔达到</w:t>
      </w:r>
      <w:r>
        <w:t xml:space="preserve"> 74 </w:t>
      </w:r>
      <w:r>
        <w:rPr>
          <w:rFonts w:hint="eastAsia"/>
        </w:rPr>
        <w:t xml:space="preserve">步。相比之下，TTC-RL-1</w:t>
      </w:r>
      <w:r>
        <w:t xml:space="preserve"> </w:t>
      </w:r>
      <w:r>
        <w:rPr>
          <w:rFonts w:hint="eastAsia"/>
        </w:rPr>
        <w:t xml:space="preserve">严格按每步更新（因此在尾部分箱中不出现），ST-ETC</w:t>
      </w:r>
      <w:r>
        <w:t xml:space="preserve"> </w:t>
      </w:r>
      <w:r>
        <w:rPr>
          <w:rFonts w:hint="eastAsia"/>
        </w:rPr>
        <w:t xml:space="preserve">的动作主要集中于短间隔区间，进一步凸显了所提动态门控机制在执行稀疏性方面的优势。</w:t>
      </w:r>
    </w:p>
    <w:p>
      <w:pPr>
        <w:pStyle w:val="BodyText"/>
      </w:pPr>
      <w:r>
        <w:rPr>
          <w:rFonts w:hint="eastAsia"/>
        </w:rPr>
        <w:t xml:space="preserve">如图</w:t>
      </w:r>
      <w:r>
        <w:t xml:space="preserve"> 5-2-3 </w:t>
      </w:r>
      <w:r>
        <w:rPr>
          <w:rFonts w:hint="eastAsia"/>
        </w:rPr>
        <w:t xml:space="preserve">所示，ET-PRL</w:t>
      </w:r>
      <w:r>
        <w:t xml:space="preserve"> </w:t>
      </w:r>
      <w:r>
        <w:rPr>
          <w:rFonts w:hint="eastAsia"/>
        </w:rPr>
        <w:t xml:space="preserve">的触发间隔分布呈现短间隔高频与长间隔长尾并存的结构特征，最大触发间隔达到</w:t>
      </w:r>
      <w:r>
        <w:t xml:space="preserve"> 74 </w:t>
      </w:r>
      <w:r>
        <w:rPr>
          <w:rFonts w:hint="eastAsia"/>
        </w:rPr>
        <w:t xml:space="preserve">步。若以动作保持长度作为系统底层执行机构静息状态的衡量标准，其最大值可达</w:t>
      </w:r>
      <w:r>
        <w:t xml:space="preserve"> 193 </w:t>
      </w:r>
      <w:r>
        <w:rPr>
          <w:rFonts w:hint="eastAsia"/>
        </w:rPr>
        <w:t xml:space="preserve">步，即约</w:t>
      </w:r>
      <w:r>
        <w:t xml:space="preserve"> 16.08 </w:t>
      </w:r>
      <w:r>
        <w:rPr>
          <w:rFonts w:hint="eastAsia"/>
        </w:rPr>
        <w:t xml:space="preserve">小时。需要强调的是，此类超长保持现象并非源于控制器响应失效，而是智能体在低环境扰动窗口期内的主动静息行为。深入分析最长保持时间段内的系统状态可见，仅有</w:t>
      </w:r>
      <w:r>
        <w:t xml:space="preserve"> 8.81% </w:t>
      </w:r>
      <w:r>
        <w:rPr>
          <w:rFonts w:hint="eastAsia"/>
        </w:rPr>
        <w:t xml:space="preserve">的样本落入冷负荷变化量绝对值的极高变化区域，即变化量大于整体样本的第</w:t>
      </w:r>
      <w:r>
        <w:t xml:space="preserve"> 85 </w:t>
      </w:r>
      <w:r>
        <w:rPr>
          <w:rFonts w:hint="eastAsia"/>
        </w:rPr>
        <w:t xml:space="preserve">百分位数</w:t>
      </w:r>
      <w:r>
        <w:t xml:space="preserve"> </w:t>
      </w:r>
      <m:oMath>
        <m:sSub>
          <m:e>
            <m:r>
              <m:t>q</m:t>
            </m:r>
          </m:e>
          <m:sub>
            <m:r>
              <m:t>85</m:t>
            </m:r>
          </m:sub>
        </m:sSub>
      </m:oMath>
      <w:r>
        <w:rPr>
          <w:rFonts w:hint="eastAsia"/>
        </w:rPr>
        <w:t xml:space="preserve">；且该时间段内热舒适度评价指标（Thermal</w:t>
      </w:r>
      <w:r>
        <w:t xml:space="preserve"> Comfort Score,</w:t>
      </w:r>
      <w:r>
        <w:t xml:space="preserve"> </w:t>
      </w:r>
      <m:oMath>
        <m:sSub>
          <m:e>
            <m:r>
              <m:t>S</m:t>
            </m:r>
          </m:e>
          <m:sub>
            <m:r>
              <m:rPr>
                <m:nor/>
                <m:sty m:val="p"/>
              </m:rPr>
              <m:t>comfort</m:t>
            </m:r>
          </m:sub>
        </m:sSub>
      </m:oMath>
      <w:r>
        <w:rPr>
          <w:rFonts w:hint="eastAsia"/>
        </w:rPr>
        <w:t xml:space="preserve">）的</w:t>
      </w:r>
      <w:r>
        <w:t xml:space="preserve"> 10 </w:t>
      </w:r>
      <w:r>
        <w:rPr>
          <w:rFonts w:hint="eastAsia"/>
        </w:rPr>
        <w:t xml:space="preserve">分位数仍维持在</w:t>
      </w:r>
      <w:r>
        <w:t xml:space="preserve"> </w:t>
      </w:r>
      <w:r>
        <w:rPr>
          <w:rFonts w:hint="eastAsia"/>
        </w:rPr>
        <w:t xml:space="preserve">0.215，系统未出现热舒适度失稳塌陷。追溯系统运行日志可知，该最长保持段横跨测试集第</w:t>
      </w:r>
      <w:r>
        <w:t xml:space="preserve"> 3 </w:t>
      </w:r>
      <w:r>
        <w:rPr>
          <w:rFonts w:hint="eastAsia"/>
        </w:rPr>
        <w:t xml:space="preserve">天</w:t>
      </w:r>
      <w:r>
        <w:t xml:space="preserve"> 13:45 </w:t>
      </w:r>
      <w:r>
        <w:rPr>
          <w:rFonts w:hint="eastAsia"/>
        </w:rPr>
        <w:t xml:space="preserve">至第</w:t>
      </w:r>
      <w:r>
        <w:t xml:space="preserve"> 4 </w:t>
      </w:r>
      <w:r>
        <w:rPr>
          <w:rFonts w:hint="eastAsia"/>
        </w:rPr>
        <w:t xml:space="preserve">天</w:t>
      </w:r>
      <w:r>
        <w:t xml:space="preserve"> </w:t>
      </w:r>
      <w:r>
        <w:rPr>
          <w:rFonts w:hint="eastAsia"/>
        </w:rPr>
        <w:t xml:space="preserve">05:45，其中约</w:t>
      </w:r>
      <w:r>
        <w:t xml:space="preserve"> 61.1% </w:t>
      </w:r>
      <w:r>
        <w:rPr>
          <w:rFonts w:hint="eastAsia"/>
        </w:rPr>
        <w:t xml:space="preserve">的时长处于夜间至凌晨非营业低谷时段。此时外部气象扰动强度与室内人员冷负荷需求均处于较低水平，建筑热力系统接近稳态基载工况。结合在线流式事件门控判定逻辑，该行为实质上属于满足热力约束条件下的策略休眠，而非被动系统停滞。</w:t>
      </w:r>
    </w:p>
    <w:p>
      <w:pPr>
        <w:pStyle w:val="BodyText"/>
      </w:pPr>
      <w:r>
        <w:rPr>
          <w:rFonts w:hint="eastAsia"/>
        </w:rPr>
        <w:t xml:space="preserve">为揭示系统负荷动态变化与触发动作之间的时序映射关系，图</w:t>
      </w:r>
      <w:r>
        <w:t xml:space="preserve"> 5-2-4 </w:t>
      </w:r>
      <w:r>
        <w:rPr>
          <w:rFonts w:hint="eastAsia"/>
        </w:rPr>
        <w:t xml:space="preserve">进一步展示了典型单日工况（第</w:t>
      </w:r>
      <w:r>
        <w:t xml:space="preserve"> 5 </w:t>
      </w:r>
      <w:r>
        <w:rPr>
          <w:rFonts w:hint="eastAsia"/>
        </w:rPr>
        <w:t xml:space="preserve">天）下的时序对齐结果。</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5-2-4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tc>
      </w:tr>
    </w:tbl>
    <w:p>
      <w:pPr>
        <w:pStyle w:val="ImageCaption"/>
      </w:pPr>
      <w:r>
        <w:rPr>
          <w:rFonts w:hint="eastAsia"/>
        </w:rPr>
        <w:t xml:space="preserve">图</w:t>
      </w:r>
      <w:r>
        <w:t xml:space="preserve"> 5-2-4 </w:t>
      </w:r>
      <w:r>
        <w:rPr>
          <w:rFonts w:hint="eastAsia"/>
        </w:rPr>
        <w:t xml:space="preserve">典型日负荷变化与触发时刻对齐关系（第5天，5</w:t>
      </w:r>
      <w:r>
        <w:t xml:space="preserve"> </w:t>
      </w:r>
      <w:r>
        <w:rPr>
          <w:rFonts w:hint="eastAsia"/>
        </w:rPr>
        <w:t xml:space="preserve">min采样）：面板(a)为冷负荷曲线，面板(b)为</w:t>
      </w:r>
      <w:r>
        <w:t xml:space="preserve"> ET-PRL、ST-ETC </w:t>
      </w:r>
      <w:r>
        <w:rPr>
          <w:rFonts w:hint="eastAsia"/>
        </w:rPr>
        <w:t xml:space="preserve">与</w:t>
      </w:r>
      <w:r>
        <w:t xml:space="preserve"> TTC-RL-1 </w:t>
      </w:r>
      <w:r>
        <w:rPr>
          <w:rFonts w:hint="eastAsia"/>
        </w:rPr>
        <w:t xml:space="preserve">触发脉冲栅格，跨面板阴影带表示典型高负荷变化时段</w:t>
      </w:r>
    </w:p>
    <w:p>
      <w:pPr>
        <w:pStyle w:val="BodyText"/>
      </w:pPr>
      <w:r>
        <w:rPr>
          <w:rFonts w:hint="eastAsia"/>
        </w:rPr>
        <w:t xml:space="preserve">图</w:t>
      </w:r>
      <w:r>
        <w:t xml:space="preserve"> 5-2-4 </w:t>
      </w:r>
      <w:r>
        <w:rPr>
          <w:rFonts w:hint="eastAsia"/>
        </w:rPr>
        <w:t xml:space="preserve">典型日负荷变化与触发时刻对齐关系（第5天，5</w:t>
      </w:r>
      <w:r>
        <w:t xml:space="preserve"> </w:t>
      </w:r>
      <w:r>
        <w:rPr>
          <w:rFonts w:hint="eastAsia"/>
        </w:rPr>
        <w:t xml:space="preserve">min采样）</w:t>
      </w:r>
    </w:p>
    <w:p>
      <w:pPr>
        <w:pStyle w:val="BodyText"/>
      </w:pPr>
      <w:r>
        <w:rPr>
          <w:rFonts w:hint="eastAsia"/>
        </w:rPr>
        <w:t xml:space="preserve">对比可见，ET-PRL</w:t>
      </w:r>
      <w:r>
        <w:t xml:space="preserve"> </w:t>
      </w:r>
      <w:r>
        <w:rPr>
          <w:rFonts w:hint="eastAsia"/>
        </w:rPr>
        <w:t xml:space="preserve">的触发控制脉冲在负荷爬坡与突变阶段分布密集，而在夜间等平稳时段显著稀疏；相比之下，ST-ETC</w:t>
      </w:r>
      <w:r>
        <w:t xml:space="preserve"> </w:t>
      </w:r>
      <w:r>
        <w:rPr>
          <w:rFonts w:hint="eastAsia"/>
        </w:rPr>
        <w:t xml:space="preserve">由于采用固定判定边界，触发动作更趋密集，而</w:t>
      </w:r>
      <w:r>
        <w:t xml:space="preserve"> TTC-RL-1 </w:t>
      </w:r>
      <w:r>
        <w:rPr>
          <w:rFonts w:hint="eastAsia"/>
        </w:rPr>
        <w:t xml:space="preserve">呈现全时段无差别触发。</w:t>
      </w:r>
    </w:p>
    <w:p>
      <w:pPr>
        <w:pStyle w:val="BodyText"/>
      </w:pPr>
      <w:r>
        <w:rPr>
          <w:rFonts w:hint="eastAsia"/>
        </w:rPr>
        <w:t xml:space="preserve">在全测试集评估尺度上，将冷负荷变化量绝对值大于系统整体第</w:t>
      </w:r>
      <w:r>
        <w:t xml:space="preserve"> 85 </w:t>
      </w:r>
      <w:r>
        <w:rPr>
          <w:rFonts w:hint="eastAsia"/>
        </w:rPr>
        <w:t xml:space="preserve">百分位数</w:t>
      </w:r>
      <w:r>
        <w:t xml:space="preserve"> </w:t>
      </w:r>
      <m:oMath>
        <m:sSub>
          <m:e>
            <m:r>
              <m:t>q</m:t>
            </m:r>
          </m:e>
          <m:sub>
            <m:r>
              <m:t>85</m:t>
            </m:r>
          </m:sub>
        </m:sSub>
      </m:oMath>
      <w:r>
        <w:t xml:space="preserve"> </w:t>
      </w:r>
      <w:r>
        <w:rPr>
          <w:rFonts w:hint="eastAsia"/>
        </w:rPr>
        <w:t xml:space="preserve">的区间定义为高变化区，小于第</w:t>
      </w:r>
      <w:r>
        <w:t xml:space="preserve"> 30 </w:t>
      </w:r>
      <w:r>
        <w:rPr>
          <w:rFonts w:hint="eastAsia"/>
        </w:rPr>
        <w:t xml:space="preserve">百分位数</w:t>
      </w:r>
      <w:r>
        <w:t xml:space="preserve"> </w:t>
      </w:r>
      <m:oMath>
        <m:sSub>
          <m:e>
            <m:r>
              <m:t>q</m:t>
            </m:r>
          </m:e>
          <m:sub>
            <m:r>
              <m:t>30</m:t>
            </m:r>
          </m:sub>
        </m:sSub>
      </m:oMath>
      <w:r>
        <w:t xml:space="preserve"> </w:t>
      </w:r>
      <w:r>
        <w:rPr>
          <w:rFonts w:hint="eastAsia"/>
        </w:rPr>
        <w:t xml:space="preserve">的区间定义为低变化区，即热平衡基载段。统计表明，ET-PRL</w:t>
      </w:r>
      <w:r>
        <w:t xml:space="preserve"> </w:t>
      </w:r>
      <w:r>
        <w:rPr>
          <w:rFonts w:hint="eastAsia"/>
        </w:rPr>
        <w:t xml:space="preserve">在高变化区的触发率达</w:t>
      </w:r>
      <w:r>
        <w:t xml:space="preserve"> </w:t>
      </w:r>
      <w:r>
        <w:rPr>
          <w:rFonts w:hint="eastAsia"/>
        </w:rPr>
        <w:t xml:space="preserve">0.707，在低变化区降至</w:t>
      </w:r>
      <w:r>
        <w:t xml:space="preserve"> </w:t>
      </w:r>
      <w:r>
        <w:rPr>
          <w:rFonts w:hint="eastAsia"/>
        </w:rPr>
        <w:t xml:space="preserve">0.350，两者比值为</w:t>
      </w:r>
      <w:r>
        <w:t xml:space="preserve"> </w:t>
      </w:r>
      <w:r>
        <w:rPr>
          <w:rFonts w:hint="eastAsia"/>
        </w:rPr>
        <w:t xml:space="preserve">2.02；同期</w:t>
      </w:r>
      <w:r>
        <w:t xml:space="preserve"> ST-ETC </w:t>
      </w:r>
      <w:r>
        <w:rPr>
          <w:rFonts w:hint="eastAsia"/>
        </w:rPr>
        <w:t xml:space="preserve">的对应比值为</w:t>
      </w:r>
      <w:r>
        <w:t xml:space="preserve"> </w:t>
      </w:r>
      <w:r>
        <w:rPr>
          <w:rFonts w:hint="eastAsia"/>
        </w:rPr>
        <w:t xml:space="preserve">1.73，TTC-RL-1</w:t>
      </w:r>
      <w:r>
        <w:t xml:space="preserve"> </w:t>
      </w:r>
      <w:r>
        <w:rPr>
          <w:rFonts w:hint="eastAsia"/>
        </w:rPr>
        <w:t xml:space="preserve">则恒定为</w:t>
      </w:r>
      <w:r>
        <w:t xml:space="preserve"> </w:t>
      </w:r>
      <w:r>
        <w:rPr>
          <w:rFonts w:hint="eastAsia"/>
        </w:rPr>
        <w:t xml:space="preserve">1.00。为验证上述结论的鲁棒性，本文进一步放宽分位点阈值约束。当评价区间分别替换为第</w:t>
      </w:r>
      <w:r>
        <w:t xml:space="preserve"> 80 </w:t>
      </w:r>
      <w:r>
        <w:rPr>
          <w:rFonts w:hint="eastAsia"/>
        </w:rPr>
        <w:t xml:space="preserve">与</w:t>
      </w:r>
      <w:r>
        <w:t xml:space="preserve"> 20 </w:t>
      </w:r>
      <w:r>
        <w:rPr>
          <w:rFonts w:hint="eastAsia"/>
        </w:rPr>
        <w:t xml:space="preserve">百分位数组合、第</w:t>
      </w:r>
      <w:r>
        <w:t xml:space="preserve"> 90 </w:t>
      </w:r>
      <w:r>
        <w:rPr>
          <w:rFonts w:hint="eastAsia"/>
        </w:rPr>
        <w:t xml:space="preserve">与</w:t>
      </w:r>
      <w:r>
        <w:t xml:space="preserve"> 40 </w:t>
      </w:r>
      <w:r>
        <w:rPr>
          <w:rFonts w:hint="eastAsia"/>
        </w:rPr>
        <w:t xml:space="preserve">百分位数组合时，ET-PRL</w:t>
      </w:r>
      <w:r>
        <w:t xml:space="preserve"> </w:t>
      </w:r>
      <w:r>
        <w:rPr>
          <w:rFonts w:hint="eastAsia"/>
        </w:rPr>
        <w:t xml:space="preserve">的高低变化区触发率比值依然稳定在</w:t>
      </w:r>
      <w:r>
        <w:t xml:space="preserve"> 1.91 </w:t>
      </w:r>
      <w:r>
        <w:rPr>
          <w:rFonts w:hint="eastAsia"/>
        </w:rPr>
        <w:t xml:space="preserve">与</w:t>
      </w:r>
      <w:r>
        <w:t xml:space="preserve"> 2.02。</w:t>
      </w:r>
    </w:p>
    <w:p>
      <w:pPr>
        <w:pStyle w:val="BodyText"/>
      </w:pPr>
      <w:r>
        <w:rPr>
          <w:rFonts w:hint="eastAsia"/>
        </w:rPr>
        <w:t xml:space="preserve">从系统能效优化的内在机理看，控制动作稀疏化带来的收益不仅体现在执行机构机械磨损的物理衰减，更体现在对冷水机组频繁调节所致瞬态能效惩罚的抑制。传统固定步长高频反馈控制会促使离心式冷水机组反复进入非稳态过渡阶段，偏离最优性能系数对应的稳态运行边界；而</w:t>
      </w:r>
      <w:r>
        <w:t xml:space="preserve"> ET-PRL </w:t>
      </w:r>
      <w:r>
        <w:rPr>
          <w:rFonts w:hint="eastAsia"/>
        </w:rPr>
        <w:t xml:space="preserve">展现出的长时保持特性，为机组提供了更宽裕的连续稳态运行时间窗口。该工作模式能够规避由工况高频切换导致的额外能耗损失，实现设备损耗抑制与运行能效提升的协同优化。</w:t>
      </w:r>
    </w:p>
    <w:p>
      <w:pPr>
        <w:pStyle w:val="BodyText"/>
      </w:pPr>
      <w:r>
        <w:rPr>
          <w:rFonts w:hint="eastAsia"/>
        </w:rPr>
        <w:t xml:space="preserve">综上所述，所提</w:t>
      </w:r>
      <w:r>
        <w:t xml:space="preserve"> ET-PRL </w:t>
      </w:r>
      <w:r>
        <w:rPr>
          <w:rFonts w:hint="eastAsia"/>
        </w:rPr>
        <w:t xml:space="preserve">框架在时序动态行为上呈现扰动期敏捷响应、平稳期长时静息的非对称自适应特征。该特征印证了流式门控机制中多尺度异常分数融合在捕捉多频带时序扰动上的有效性，以及双层动态阈值在抑制边界控制震荡方面的积极作用，共同构成了具有较强物理可解释性的稀疏控制基础。</w:t>
      </w:r>
    </w:p>
    <w:p>
      <w:pPr>
        <w:pStyle w:val="Compact"/>
        <w:numPr>
          <w:ilvl w:val="0"/>
          <w:numId w:val="1021"/>
        </w:numPr>
      </w:pPr>
      <w:r>
        <w:rPr>
          <w:rFonts w:hint="eastAsia"/>
        </w:rPr>
        <w:t xml:space="preserve">消融实验分析</w:t>
      </w:r>
    </w:p>
    <w:p>
      <w:pPr>
        <w:pStyle w:val="FirstParagraph"/>
      </w:pPr>
      <w:r>
        <w:rPr>
          <w:rFonts w:hint="eastAsia"/>
        </w:rPr>
        <w:t xml:space="preserve">为验证所提框架各组成模块的实际贡献，本节采用控制变量法开展消融实验。除特别说明外，各组实验保持一致的训练配置、测试数据集与评价协议。消融组共</w:t>
      </w:r>
      <w:r>
        <w:t xml:space="preserve"> 6 </w:t>
      </w:r>
      <w:r>
        <w:rPr>
          <w:rFonts w:hint="eastAsia"/>
        </w:rPr>
        <w:t xml:space="preserve">种策略，用于分别考察双阈值退化、单尺度退化及完整模型在统一比较基线下的表现。表</w:t>
      </w:r>
      <w:r>
        <w:t xml:space="preserve"> 5-4 </w:t>
      </w:r>
      <w:r>
        <w:rPr>
          <w:rFonts w:hint="eastAsia"/>
        </w:rPr>
        <w:t xml:space="preserve">汇总了不同策略在测试集上的结果。相关指标的计算基线均为固定步长策略</w:t>
      </w:r>
      <w:r>
        <w:t xml:space="preserve"> TTC-RL-1。</w:t>
      </w:r>
    </w:p>
    <w:p>
      <w:pPr>
        <w:pStyle w:val="BodyText"/>
      </w:pPr>
      <w:r>
        <w:rPr>
          <w:rFonts w:hint="eastAsia"/>
        </w:rPr>
        <w:t xml:space="preserve">表</w:t>
      </w:r>
      <w:r>
        <w:t xml:space="preserve"> 5-4 </w:t>
      </w:r>
      <w:r>
        <w:rPr>
          <w:rFonts w:hint="eastAsia"/>
        </w:rPr>
        <w:t xml:space="preserve">关键模块消融实验结果</w:t>
      </w:r>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rPr>
                <w:rFonts w:hint="eastAsia"/>
                <w:b/>
                <w:bCs/>
              </w:rPr>
              <w:t xml:space="preserve">方法</w:t>
            </w:r>
          </w:p>
        </w:tc>
        <w:tc>
          <w:tcPr/>
          <w:p>
            <w:pPr>
              <w:pStyle w:val="Compact"/>
            </w:pPr>
            <m:oMath>
              <m:sSub>
                <m:e>
                  <m:r>
                    <m:t>R</m:t>
                  </m:r>
                </m:e>
                <m:sub>
                  <m:r>
                    <m:rPr>
                      <m:nor/>
                      <m:sty m:val="p"/>
                    </m:rPr>
                    <m:t>test</m:t>
                  </m:r>
                </m:sub>
              </m:sSub>
            </m:oMath>
          </w:p>
        </w:tc>
        <w:tc>
          <w:tcPr/>
          <w:p>
            <w:pPr>
              <w:pStyle w:val="Compact"/>
            </w:pPr>
            <m:oMath>
              <m:sSub>
                <m:e>
                  <m:r>
                    <m:t>N</m:t>
                  </m:r>
                </m:e>
                <m:sub>
                  <m:r>
                    <m:rPr>
                      <m:nor/>
                      <m:sty m:val="p"/>
                    </m:rPr>
                    <m:t>update</m:t>
                  </m:r>
                </m:sub>
              </m:sSub>
            </m:oMath>
          </w:p>
        </w:tc>
        <w:tc>
          <w:tcPr/>
          <w:p>
            <w:pPr>
              <w:pStyle w:val="Compact"/>
            </w:pPr>
            <m:oMath>
              <m:sSub>
                <m:e>
                  <m:r>
                    <m:t>N</m:t>
                  </m:r>
                </m:e>
                <m:sub>
                  <m:r>
                    <m:rPr>
                      <m:nor/>
                      <m:sty m:val="p"/>
                    </m:rPr>
                    <m:t>daily</m:t>
                  </m:r>
                </m:sub>
              </m:sSub>
            </m:oMath>
          </w:p>
        </w:tc>
        <w:tc>
          <w:tcPr/>
          <w:p>
            <w:pPr>
              <w:pStyle w:val="Compact"/>
            </w:pPr>
            <m:oMath>
              <m:sSub>
                <m:e>
                  <m:r>
                    <m:t>E</m:t>
                  </m:r>
                </m:e>
                <m:sub>
                  <m:r>
                    <m:rPr>
                      <m:nor/>
                      <m:sty m:val="p"/>
                    </m:rPr>
                    <m:t>daily</m:t>
                  </m:r>
                </m:sub>
              </m:sSub>
            </m:oMath>
            <w:r>
              <w:t xml:space="preserve"> </w:t>
            </w:r>
            <w:r>
              <w:t xml:space="preserve">(kWh/day)</w:t>
            </w:r>
          </w:p>
        </w:tc>
        <w:tc>
          <w:tcPr/>
          <w:p>
            <w:pPr>
              <w:pStyle w:val="Compact"/>
            </w:pPr>
            <w:r>
              <w:t xml:space="preserve">ACR</w:t>
            </w:r>
          </w:p>
        </w:tc>
        <w:tc>
          <w:tcPr/>
          <w:p>
            <w:pPr>
              <w:pStyle w:val="Compact"/>
            </w:pPr>
            <w:r>
              <w:t xml:space="preserve">PPR</w:t>
            </w:r>
          </w:p>
        </w:tc>
      </w:tr>
      <w:tr>
        <w:tc>
          <w:tcPr/>
          <w:p>
            <w:pPr>
              <w:pStyle w:val="Compact"/>
            </w:pPr>
            <w:r>
              <w:t xml:space="preserve">TTC-RL-1 (Reference)</w:t>
            </w:r>
          </w:p>
        </w:tc>
        <w:tc>
          <w:tcPr/>
          <w:p>
            <w:pPr>
              <w:pStyle w:val="Compact"/>
            </w:pPr>
            <w:r>
              <w:t xml:space="preserve">2054.63</w:t>
            </w:r>
          </w:p>
        </w:tc>
        <w:tc>
          <w:tcPr/>
          <w:p>
            <w:pPr>
              <w:pStyle w:val="Compact"/>
            </w:pPr>
            <w:r>
              <w:t xml:space="preserve">4404</w:t>
            </w:r>
          </w:p>
        </w:tc>
        <w:tc>
          <w:tcPr/>
          <w:p>
            <w:pPr>
              <w:pStyle w:val="Compact"/>
            </w:pPr>
            <w:r>
              <w:t xml:space="preserve">288.00</w:t>
            </w:r>
          </w:p>
        </w:tc>
        <w:tc>
          <w:tcPr/>
          <w:p>
            <w:pPr>
              <w:pStyle w:val="Compact"/>
            </w:pPr>
            <w:r>
              <w:t xml:space="preserve">7491.14</w:t>
            </w:r>
          </w:p>
        </w:tc>
        <w:tc>
          <w:tcPr/>
          <w:p>
            <w:pPr>
              <w:pStyle w:val="Compact"/>
            </w:pPr>
            <w:r>
              <w:t xml:space="preserve">1.0000</w:t>
            </w:r>
          </w:p>
        </w:tc>
        <w:tc>
          <w:tcPr/>
          <w:p>
            <w:pPr>
              <w:pStyle w:val="Compact"/>
            </w:pPr>
            <w:r>
              <w:t xml:space="preserve">100.00%</w:t>
            </w:r>
          </w:p>
        </w:tc>
      </w:tr>
      <w:tr>
        <w:tc>
          <w:tcPr/>
          <w:p>
            <w:pPr>
              <w:pStyle w:val="Compact"/>
            </w:pPr>
            <w:r>
              <w:t xml:space="preserve">Local Threshold Only</w:t>
            </w:r>
          </w:p>
        </w:tc>
        <w:tc>
          <w:tcPr/>
          <w:p>
            <w:pPr>
              <w:pStyle w:val="Compact"/>
            </w:pPr>
            <w:r>
              <w:t xml:space="preserve">1958.05</w:t>
            </w:r>
          </w:p>
        </w:tc>
        <w:tc>
          <w:tcPr/>
          <w:p>
            <w:pPr>
              <w:pStyle w:val="Compact"/>
            </w:pPr>
            <w:r>
              <w:t xml:space="preserve">2257</w:t>
            </w:r>
          </w:p>
        </w:tc>
        <w:tc>
          <w:tcPr/>
          <w:p>
            <w:pPr>
              <w:pStyle w:val="Compact"/>
            </w:pPr>
            <w:r>
              <w:t xml:space="preserve">147.60</w:t>
            </w:r>
          </w:p>
        </w:tc>
        <w:tc>
          <w:tcPr/>
          <w:p>
            <w:pPr>
              <w:pStyle w:val="Compact"/>
            </w:pPr>
            <w:r>
              <w:t xml:space="preserve">7367.57</w:t>
            </w:r>
          </w:p>
        </w:tc>
        <w:tc>
          <w:tcPr/>
          <w:p>
            <w:pPr>
              <w:pStyle w:val="Compact"/>
            </w:pPr>
            <w:r>
              <w:t xml:space="preserve">1.9513</w:t>
            </w:r>
          </w:p>
        </w:tc>
        <w:tc>
          <w:tcPr/>
          <w:p>
            <w:pPr>
              <w:pStyle w:val="Compact"/>
            </w:pPr>
            <w:r>
              <w:t xml:space="preserve">95.30%</w:t>
            </w:r>
          </w:p>
        </w:tc>
      </w:tr>
      <w:tr>
        <w:tc>
          <w:tcPr/>
          <w:p>
            <w:pPr>
              <w:pStyle w:val="Compact"/>
            </w:pPr>
            <w:r>
              <w:t xml:space="preserve">Global Threshold Only</w:t>
            </w:r>
          </w:p>
        </w:tc>
        <w:tc>
          <w:tcPr/>
          <w:p>
            <w:pPr>
              <w:pStyle w:val="Compact"/>
            </w:pPr>
            <w:r>
              <w:t xml:space="preserve">1977.54</w:t>
            </w:r>
          </w:p>
        </w:tc>
        <w:tc>
          <w:tcPr/>
          <w:p>
            <w:pPr>
              <w:pStyle w:val="Compact"/>
            </w:pPr>
            <w:r>
              <w:t xml:space="preserve">2251</w:t>
            </w:r>
          </w:p>
        </w:tc>
        <w:tc>
          <w:tcPr/>
          <w:p>
            <w:pPr>
              <w:pStyle w:val="Compact"/>
            </w:pPr>
            <w:r>
              <w:t xml:space="preserve">147.20</w:t>
            </w:r>
          </w:p>
        </w:tc>
        <w:tc>
          <w:tcPr/>
          <w:p>
            <w:pPr>
              <w:pStyle w:val="Compact"/>
            </w:pPr>
            <w:r>
              <w:t xml:space="preserve">7409.42</w:t>
            </w:r>
          </w:p>
        </w:tc>
        <w:tc>
          <w:tcPr/>
          <w:p>
            <w:pPr>
              <w:pStyle w:val="Compact"/>
            </w:pPr>
            <w:r>
              <w:t xml:space="preserve">1.9565</w:t>
            </w:r>
          </w:p>
        </w:tc>
        <w:tc>
          <w:tcPr/>
          <w:p>
            <w:pPr>
              <w:pStyle w:val="Compact"/>
            </w:pPr>
            <w:r>
              <w:t xml:space="preserve">96.25%</w:t>
            </w:r>
          </w:p>
        </w:tc>
      </w:tr>
      <w:tr>
        <w:tc>
          <w:tcPr/>
          <w:p>
            <w:pPr>
              <w:pStyle w:val="Compact"/>
            </w:pPr>
            <w:r>
              <w:t xml:space="preserve">Short-scale Only</w:t>
            </w:r>
          </w:p>
        </w:tc>
        <w:tc>
          <w:tcPr/>
          <w:p>
            <w:pPr>
              <w:pStyle w:val="Compact"/>
            </w:pPr>
            <w:r>
              <w:t xml:space="preserve">1951.74</w:t>
            </w:r>
          </w:p>
        </w:tc>
        <w:tc>
          <w:tcPr/>
          <w:p>
            <w:pPr>
              <w:pStyle w:val="Compact"/>
            </w:pPr>
            <w:r>
              <w:t xml:space="preserve">2122</w:t>
            </w:r>
          </w:p>
        </w:tc>
        <w:tc>
          <w:tcPr/>
          <w:p>
            <w:pPr>
              <w:pStyle w:val="Compact"/>
            </w:pPr>
            <w:r>
              <w:t xml:space="preserve">138.77</w:t>
            </w:r>
          </w:p>
        </w:tc>
        <w:tc>
          <w:tcPr/>
          <w:p>
            <w:pPr>
              <w:pStyle w:val="Compact"/>
            </w:pPr>
            <w:r>
              <w:t xml:space="preserve">7407.03</w:t>
            </w:r>
          </w:p>
        </w:tc>
        <w:tc>
          <w:tcPr/>
          <w:p>
            <w:pPr>
              <w:pStyle w:val="Compact"/>
            </w:pPr>
            <w:r>
              <w:t xml:space="preserve">2.0754</w:t>
            </w:r>
          </w:p>
        </w:tc>
        <w:tc>
          <w:tcPr/>
          <w:p>
            <w:pPr>
              <w:pStyle w:val="Compact"/>
            </w:pPr>
            <w:r>
              <w:t xml:space="preserve">94.99%</w:t>
            </w:r>
          </w:p>
        </w:tc>
      </w:tr>
      <w:tr>
        <w:tc>
          <w:tcPr/>
          <w:p>
            <w:pPr>
              <w:pStyle w:val="Compact"/>
            </w:pPr>
            <w:r>
              <w:t xml:space="preserve">Medium-scale Only</w:t>
            </w:r>
          </w:p>
        </w:tc>
        <w:tc>
          <w:tcPr/>
          <w:p>
            <w:pPr>
              <w:pStyle w:val="Compact"/>
            </w:pPr>
            <w:r>
              <w:t xml:space="preserve">2041.96</w:t>
            </w:r>
          </w:p>
        </w:tc>
        <w:tc>
          <w:tcPr/>
          <w:p>
            <w:pPr>
              <w:pStyle w:val="Compact"/>
            </w:pPr>
            <w:r>
              <w:t xml:space="preserve">3891</w:t>
            </w:r>
          </w:p>
        </w:tc>
        <w:tc>
          <w:tcPr/>
          <w:p>
            <w:pPr>
              <w:pStyle w:val="Compact"/>
            </w:pPr>
            <w:r>
              <w:t xml:space="preserve">254.45</w:t>
            </w:r>
          </w:p>
        </w:tc>
        <w:tc>
          <w:tcPr/>
          <w:p>
            <w:pPr>
              <w:pStyle w:val="Compact"/>
            </w:pPr>
            <w:r>
              <w:t xml:space="preserve">7484.70</w:t>
            </w:r>
          </w:p>
        </w:tc>
        <w:tc>
          <w:tcPr/>
          <w:p>
            <w:pPr>
              <w:pStyle w:val="Compact"/>
            </w:pPr>
            <w:r>
              <w:t xml:space="preserve">1.1318</w:t>
            </w:r>
          </w:p>
        </w:tc>
        <w:tc>
          <w:tcPr/>
          <w:p>
            <w:pPr>
              <w:pStyle w:val="Compact"/>
            </w:pPr>
            <w:r>
              <w:t xml:space="preserve">99.38%</w:t>
            </w:r>
          </w:p>
        </w:tc>
      </w:tr>
      <w:tr>
        <w:tc>
          <w:tcPr/>
          <w:p>
            <w:pPr>
              <w:pStyle w:val="Compact"/>
            </w:pPr>
            <w:r>
              <w:t xml:space="preserve">Long-scale Only</w:t>
            </w:r>
          </w:p>
        </w:tc>
        <w:tc>
          <w:tcPr/>
          <w:p>
            <w:pPr>
              <w:pStyle w:val="Compact"/>
            </w:pPr>
            <w:r>
              <w:t xml:space="preserve">2032.01</w:t>
            </w:r>
          </w:p>
        </w:tc>
        <w:tc>
          <w:tcPr/>
          <w:p>
            <w:pPr>
              <w:pStyle w:val="Compact"/>
            </w:pPr>
            <w:r>
              <w:t xml:space="preserve">4334</w:t>
            </w:r>
          </w:p>
        </w:tc>
        <w:tc>
          <w:tcPr/>
          <w:p>
            <w:pPr>
              <w:pStyle w:val="Compact"/>
            </w:pPr>
            <w:r>
              <w:t xml:space="preserve">283.42</w:t>
            </w:r>
          </w:p>
        </w:tc>
        <w:tc>
          <w:tcPr/>
          <w:p>
            <w:pPr>
              <w:pStyle w:val="Compact"/>
            </w:pPr>
            <w:r>
              <w:t xml:space="preserve">7431.26</w:t>
            </w:r>
          </w:p>
        </w:tc>
        <w:tc>
          <w:tcPr/>
          <w:p>
            <w:pPr>
              <w:pStyle w:val="Compact"/>
            </w:pPr>
            <w:r>
              <w:t xml:space="preserve">1.0162</w:t>
            </w:r>
          </w:p>
        </w:tc>
        <w:tc>
          <w:tcPr/>
          <w:p>
            <w:pPr>
              <w:pStyle w:val="Compact"/>
            </w:pPr>
            <w:r>
              <w:t xml:space="preserve">98.90%</w:t>
            </w:r>
          </w:p>
        </w:tc>
      </w:tr>
      <w:tr>
        <w:tc>
          <w:tcPr/>
          <w:p>
            <w:pPr>
              <w:pStyle w:val="Compact"/>
            </w:pPr>
            <w:r>
              <w:rPr>
                <w:b/>
                <w:bCs/>
              </w:rPr>
              <w:t xml:space="preserve">Full ET-PRL (Ours)</w:t>
            </w:r>
          </w:p>
        </w:tc>
        <w:tc>
          <w:tcPr/>
          <w:p>
            <w:pPr>
              <w:pStyle w:val="Compact"/>
            </w:pPr>
            <w:r>
              <w:rPr>
                <w:b/>
                <w:bCs/>
              </w:rPr>
              <w:t xml:space="preserve">1939.74</w:t>
            </w:r>
          </w:p>
        </w:tc>
        <w:tc>
          <w:tcPr/>
          <w:p>
            <w:pPr>
              <w:pStyle w:val="Compact"/>
            </w:pPr>
            <w:r>
              <w:rPr>
                <w:b/>
                <w:bCs/>
              </w:rPr>
              <w:t xml:space="preserve">2046</w:t>
            </w:r>
          </w:p>
        </w:tc>
        <w:tc>
          <w:tcPr/>
          <w:p>
            <w:pPr>
              <w:pStyle w:val="Compact"/>
            </w:pPr>
            <w:r>
              <w:rPr>
                <w:b/>
                <w:bCs/>
              </w:rPr>
              <w:t xml:space="preserve">133.80</w:t>
            </w:r>
          </w:p>
        </w:tc>
        <w:tc>
          <w:tcPr/>
          <w:p>
            <w:pPr>
              <w:pStyle w:val="Compact"/>
            </w:pPr>
            <w:r>
              <w:rPr>
                <w:b/>
                <w:bCs/>
              </w:rPr>
              <w:t xml:space="preserve">7331.85</w:t>
            </w:r>
          </w:p>
        </w:tc>
        <w:tc>
          <w:tcPr/>
          <w:p>
            <w:pPr>
              <w:pStyle w:val="Compact"/>
            </w:pPr>
            <w:r>
              <w:rPr>
                <w:b/>
                <w:bCs/>
              </w:rPr>
              <w:t xml:space="preserve">2.1525</w:t>
            </w:r>
          </w:p>
        </w:tc>
        <w:tc>
          <w:tcPr/>
          <w:p>
            <w:pPr>
              <w:pStyle w:val="Compact"/>
            </w:pPr>
            <w:r>
              <w:rPr>
                <w:b/>
                <w:bCs/>
              </w:rPr>
              <w:t xml:space="preserve">94.41%</w:t>
            </w:r>
          </w:p>
        </w:tc>
      </w:tr>
    </w:tbl>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5-2-5 </w:t>
            </w:r>
            <w:r>
              <w:rPr>
                <w:rFonts w:hint="eastAsia"/>
              </w:rPr>
              <w:t xml:space="preserve">消融策略多目标权衡散点图</w:t>
            </w:r>
          </w:p>
        </w:tc>
      </w:tr>
    </w:tbl>
    <w:p>
      <w:pPr>
        <w:pStyle w:val="ImageCaption"/>
      </w:pPr>
      <w:r>
        <w:rPr>
          <w:rFonts w:hint="eastAsia"/>
        </w:rPr>
        <w:t xml:space="preserve">图</w:t>
      </w:r>
      <w:r>
        <w:t xml:space="preserve"> 5-2-5 </w:t>
      </w:r>
      <w:r>
        <w:rPr>
          <w:rFonts w:hint="eastAsia"/>
        </w:rPr>
        <w:t xml:space="preserve">消融策略多目标权衡散点图</w:t>
      </w:r>
    </w:p>
    <w:p>
      <w:pPr>
        <w:pStyle w:val="BodyText"/>
      </w:pPr>
      <w:r>
        <w:rPr>
          <w:rFonts w:hint="eastAsia"/>
        </w:rPr>
        <w:t xml:space="preserve">图</w:t>
      </w:r>
      <w:r>
        <w:t xml:space="preserve"> 5-2-5 </w:t>
      </w:r>
      <w:r>
        <w:rPr>
          <w:rFonts w:hint="eastAsia"/>
        </w:rPr>
        <w:t xml:space="preserve">消融策略能耗-性能-稀疏性三目标权衡散点图（横轴为日均能耗，纵轴为</w:t>
      </w:r>
      <w:r>
        <w:t xml:space="preserve"> </w:t>
      </w:r>
      <w:r>
        <w:rPr>
          <w:rFonts w:hint="eastAsia"/>
        </w:rPr>
        <w:t xml:space="preserve">PPR；颜色表示</w:t>
      </w:r>
      <w:r>
        <w:t xml:space="preserve"> </w:t>
      </w:r>
      <w:r>
        <w:rPr>
          <w:rFonts w:hint="eastAsia"/>
        </w:rPr>
        <w:t xml:space="preserve">ACR；文本标签标注各消融策略）</w:t>
      </w:r>
    </w:p>
    <w:p>
      <w:pPr>
        <w:pStyle w:val="BodyText"/>
      </w:pPr>
      <w:r>
        <w:rPr>
          <w:rFonts w:hint="eastAsia"/>
        </w:rPr>
        <w:t xml:space="preserve">由图</w:t>
      </w:r>
      <w:r>
        <w:t xml:space="preserve"> 5-2-5 </w:t>
      </w:r>
      <w:r>
        <w:rPr>
          <w:rFonts w:hint="eastAsia"/>
        </w:rPr>
        <w:t xml:space="preserve">可见，在以</w:t>
      </w:r>
      <w:r>
        <w:t xml:space="preserve"> </w:t>
      </w:r>
      <m:oMath>
        <m:sSub>
          <m:e>
            <m:r>
              <m:t>E</m:t>
            </m:r>
          </m:e>
          <m:sub>
            <m:r>
              <m:rPr>
                <m:nor/>
                <m:sty m:val="p"/>
              </m:rPr>
              <m:t>daily</m:t>
            </m:r>
          </m:sub>
        </m:sSub>
      </m:oMath>
      <w:r>
        <w:t xml:space="preserve"> </w:t>
      </w:r>
      <w:r>
        <w:rPr>
          <w:rFonts w:hint="eastAsia"/>
        </w:rPr>
        <w:t xml:space="preserve">最小化、PPR</w:t>
      </w:r>
      <w:r>
        <w:t xml:space="preserve"> </w:t>
      </w:r>
      <w:r>
        <w:rPr>
          <w:rFonts w:hint="eastAsia"/>
        </w:rPr>
        <w:t xml:space="preserve">与</w:t>
      </w:r>
      <w:r>
        <w:t xml:space="preserve"> ACR </w:t>
      </w:r>
      <w:r>
        <w:rPr>
          <w:rFonts w:hint="eastAsia"/>
        </w:rPr>
        <w:t xml:space="preserve">最大化为目标的三目标权衡中，Full</w:t>
      </w:r>
      <w:r>
        <w:t xml:space="preserve"> ET-PRL </w:t>
      </w:r>
      <w:r>
        <w:rPr>
          <w:rFonts w:hint="eastAsia"/>
        </w:rPr>
        <w:t xml:space="preserve">位于低能耗-高稀疏性区域，并在</w:t>
      </w:r>
      <w:r>
        <w:t xml:space="preserve"> PPR </w:t>
      </w:r>
      <w:r>
        <w:rPr>
          <w:rFonts w:hint="eastAsia"/>
        </w:rPr>
        <w:t xml:space="preserve">保持</w:t>
      </w:r>
      <w:r>
        <w:t xml:space="preserve"> 94.41% </w:t>
      </w:r>
      <w:r>
        <w:rPr>
          <w:rFonts w:hint="eastAsia"/>
        </w:rPr>
        <w:t xml:space="preserve">的前提下取得消融组最低</w:t>
      </w:r>
      <w:r>
        <w:t xml:space="preserve"> </w:t>
      </w:r>
      <m:oMath>
        <m:sSub>
          <m:e>
            <m:r>
              <m:t>E</m:t>
            </m:r>
          </m:e>
          <m:sub>
            <m:r>
              <m:rPr>
                <m:nor/>
                <m:sty m:val="p"/>
              </m:rPr>
              <m:t>daily</m:t>
            </m:r>
          </m:sub>
        </m:sSub>
      </m:oMath>
      <w:r>
        <w:t xml:space="preserve"> </w:t>
      </w:r>
      <w:r>
        <w:rPr>
          <w:rFonts w:hint="eastAsia"/>
        </w:rPr>
        <w:t xml:space="preserve">与最高</w:t>
      </w:r>
      <w:r>
        <w:t xml:space="preserve"> </w:t>
      </w:r>
      <w:r>
        <w:rPr>
          <w:rFonts w:hint="eastAsia"/>
        </w:rPr>
        <w:t xml:space="preserve">ACR，因此在当前样本集上表现为更接近理想综合折衷解的候选点。</w:t>
      </w:r>
    </w:p>
    <w:p>
      <w:pPr>
        <w:pStyle w:val="BodyText"/>
      </w:pPr>
      <w:r>
        <w:rPr>
          <w:rFonts w:hint="eastAsia"/>
        </w:rPr>
        <w:t xml:space="preserve">在时序尺度消融方面，Short-scale</w:t>
      </w:r>
      <w:r>
        <w:t xml:space="preserve"> Only </w:t>
      </w:r>
      <w:r>
        <w:rPr>
          <w:rFonts w:hint="eastAsia"/>
        </w:rPr>
        <w:t xml:space="preserve">相比</w:t>
      </w:r>
      <w:r>
        <w:t xml:space="preserve"> Full ET-PRL </w:t>
      </w:r>
      <w:r>
        <w:rPr>
          <w:rFonts w:hint="eastAsia"/>
        </w:rPr>
        <w:t xml:space="preserve">的</w:t>
      </w:r>
      <w:r>
        <w:t xml:space="preserve"> PPR </w:t>
      </w:r>
      <w:r>
        <w:rPr>
          <w:rFonts w:hint="eastAsia"/>
        </w:rPr>
        <w:t xml:space="preserve">略高（94.99%</w:t>
      </w:r>
      <w:r>
        <w:t xml:space="preserve"> vs </w:t>
      </w:r>
      <w:r>
        <w:rPr>
          <w:rFonts w:hint="eastAsia"/>
        </w:rPr>
        <w:t xml:space="preserve">94.41%），但其</w:t>
      </w:r>
      <w:r>
        <w:t xml:space="preserve"> ACR </w:t>
      </w:r>
      <w:r>
        <w:rPr>
          <w:rFonts w:hint="eastAsia"/>
        </w:rPr>
        <w:t xml:space="preserve">下降</w:t>
      </w:r>
      <w:r>
        <w:t xml:space="preserve"> </w:t>
      </w:r>
      <w:r>
        <w:rPr>
          <w:rFonts w:hint="eastAsia"/>
        </w:rPr>
        <w:t xml:space="preserve">3.58%（2.0754</w:t>
      </w:r>
      <w:r>
        <w:t xml:space="preserve"> vs </w:t>
      </w:r>
      <w:r>
        <w:rPr>
          <w:rFonts w:hint="eastAsia"/>
        </w:rPr>
        <w:t xml:space="preserve">2.1525），且日均能耗增加</w:t>
      </w:r>
      <w:r>
        <w:t xml:space="preserve"> 75.18 </w:t>
      </w:r>
      <w:r>
        <w:rPr>
          <w:rFonts w:hint="eastAsia"/>
        </w:rPr>
        <w:t xml:space="preserve">kWh/day（7407.03</w:t>
      </w:r>
      <w:r>
        <w:t xml:space="preserve"> vs </w:t>
      </w:r>
      <w:r>
        <w:rPr>
          <w:rFonts w:hint="eastAsia"/>
        </w:rPr>
        <w:t xml:space="preserve">7331.85）。在本研究设定的舒适约束下，两者</w:t>
      </w:r>
      <w:r>
        <w:t xml:space="preserve"> PPR </w:t>
      </w:r>
      <w:r>
        <w:rPr>
          <w:rFonts w:hint="eastAsia"/>
        </w:rPr>
        <w:t xml:space="preserve">均处于</w:t>
      </w:r>
      <w:r>
        <w:t xml:space="preserve"> 94% </w:t>
      </w:r>
      <w:r>
        <w:rPr>
          <w:rFonts w:hint="eastAsia"/>
        </w:rPr>
        <w:t xml:space="preserve">以上区间，0.58</w:t>
      </w:r>
      <w:r>
        <w:t xml:space="preserve"> </w:t>
      </w:r>
      <w:r>
        <w:rPr>
          <w:rFonts w:hint="eastAsia"/>
        </w:rPr>
        <w:t xml:space="preserve">个百分点的差异属于有限边际变化；与之对应，动作压缩能力下降与能耗增加会直接转化为执行层负担与运行成本上升。进一步地，Medium-scale</w:t>
      </w:r>
      <w:r>
        <w:t xml:space="preserve"> Only </w:t>
      </w:r>
      <w:r>
        <w:rPr>
          <w:rFonts w:hint="eastAsia"/>
        </w:rPr>
        <w:t xml:space="preserve">与</w:t>
      </w:r>
      <w:r>
        <w:t xml:space="preserve"> Long-scale Only </w:t>
      </w:r>
      <w:r>
        <w:rPr>
          <w:rFonts w:hint="eastAsia"/>
        </w:rPr>
        <w:t xml:space="preserve">虽保持较高</w:t>
      </w:r>
      <w:r>
        <w:t xml:space="preserve"> </w:t>
      </w:r>
      <w:r>
        <w:rPr>
          <w:rFonts w:hint="eastAsia"/>
        </w:rPr>
        <w:t xml:space="preserve">PPR（99.38%</w:t>
      </w:r>
      <w:r>
        <w:t xml:space="preserve"> </w:t>
      </w:r>
      <w:r>
        <w:rPr>
          <w:rFonts w:hint="eastAsia"/>
        </w:rPr>
        <w:t xml:space="preserve">和</w:t>
      </w:r>
      <w:r>
        <w:t xml:space="preserve"> </w:t>
      </w:r>
      <w:r>
        <w:rPr>
          <w:rFonts w:hint="eastAsia"/>
        </w:rPr>
        <w:t xml:space="preserve">98.90%），但触发稀疏性显著退化（</w:t>
      </w:r>
      <m:oMath>
        <m:sSub>
          <m:e>
            <m:r>
              <m:t>N</m:t>
            </m:r>
          </m:e>
          <m:sub>
            <m:r>
              <m:rPr>
                <m:nor/>
                <m:sty m:val="p"/>
              </m:rPr>
              <m:t>daily</m:t>
            </m:r>
          </m:sub>
        </m:sSub>
      </m:oMath>
      <w:r>
        <w:t xml:space="preserve"> </w:t>
      </w:r>
      <w:r>
        <w:rPr>
          <w:rFonts w:hint="eastAsia"/>
        </w:rPr>
        <w:t xml:space="preserve">分别为</w:t>
      </w:r>
      <w:r>
        <w:t xml:space="preserve"> 254.45 </w:t>
      </w:r>
      <w:r>
        <w:rPr>
          <w:rFonts w:hint="eastAsia"/>
        </w:rPr>
        <w:t xml:space="preserve">和</w:t>
      </w:r>
      <w:r>
        <w:t xml:space="preserve"> </w:t>
      </w:r>
      <w:r>
        <w:rPr>
          <w:rFonts w:hint="eastAsia"/>
        </w:rPr>
        <w:t xml:space="preserve">283.42），且能耗改善不明显（7484.70</w:t>
      </w:r>
      <w:r>
        <w:t xml:space="preserve"> </w:t>
      </w:r>
      <w:r>
        <w:rPr>
          <w:rFonts w:hint="eastAsia"/>
        </w:rPr>
        <w:t xml:space="preserve">和</w:t>
      </w:r>
      <w:r>
        <w:t xml:space="preserve"> 7431.26 </w:t>
      </w:r>
      <w:r>
        <w:rPr>
          <w:rFonts w:hint="eastAsia"/>
        </w:rPr>
        <w:t xml:space="preserve">kWh/day）。该组结果表明，单一尺度统计难以同时兼顾短时扰动响应与长期漂移纠偏。</w:t>
      </w:r>
    </w:p>
    <w:p>
      <w:pPr>
        <w:pStyle w:val="BodyText"/>
      </w:pPr>
      <w:r>
        <w:rPr>
          <w:rFonts w:hint="eastAsia"/>
        </w:rPr>
        <w:t xml:space="preserve">本研究采用紧凑的</w:t>
      </w:r>
      <w:r>
        <w:t xml:space="preserve"> 3 </w:t>
      </w:r>
      <w:r>
        <w:rPr>
          <w:rFonts w:hint="eastAsia"/>
        </w:rPr>
        <w:t xml:space="preserve">维状态空间</w:t>
      </w:r>
      <w:r>
        <w:t xml:space="preserve"> </w:t>
      </w:r>
      <m:oMath>
        <m:d>
          <m:dPr>
            <m:begChr m:val="("/>
            <m:sepChr m:val=""/>
            <m:endChr m:val=")"/>
            <m:grow/>
          </m:dPr>
          <m:e>
            <m:sSubSup>
              <m:e>
                <m:r>
                  <m:t>Q</m:t>
                </m:r>
              </m:e>
              <m:sub>
                <m:r>
                  <m:rPr>
                    <m:sty m:val="p"/>
                  </m:rPr>
                  <m:t>l</m:t>
                </m:r>
                <m:r>
                  <m:rPr>
                    <m:sty m:val="p"/>
                  </m:rPr>
                  <m:t>o</m:t>
                </m:r>
                <m:r>
                  <m:rPr>
                    <m:sty m:val="p"/>
                  </m:rPr>
                  <m:t>a</m:t>
                </m:r>
                <m:r>
                  <m:rPr>
                    <m:sty m:val="p"/>
                  </m:rPr>
                  <m:t>d</m:t>
                </m:r>
              </m:sub>
              <m:sup>
                <m:r>
                  <m:t>t</m:t>
                </m:r>
              </m:sup>
            </m:sSubSup>
            <m:r>
              <m:rPr>
                <m:sty m:val="p"/>
              </m:rPr>
              <m:t>,</m:t>
            </m:r>
            <m:r>
              <m:t> </m:t>
            </m:r>
            <m:sSubSup>
              <m:e>
                <m:r>
                  <m:t>T</m:t>
                </m:r>
              </m:e>
              <m:sub>
                <m:r>
                  <m:t>w</m:t>
                </m:r>
                <m:r>
                  <m:t>b</m:t>
                </m:r>
              </m:sub>
              <m:sup>
                <m:r>
                  <m:t>t</m:t>
                </m:r>
              </m:sup>
            </m:sSubSup>
            <m:r>
              <m:rPr>
                <m:sty m:val="p"/>
              </m:rPr>
              <m:t>,</m:t>
            </m:r>
            <m:r>
              <m:t> </m:t>
            </m:r>
            <m:sSubSup>
              <m:e>
                <m:acc>
                  <m:accPr>
                    <m:chr m:val="̂"/>
                  </m:accPr>
                  <m:e>
                    <m:r>
                      <m:t>Q</m:t>
                    </m:r>
                  </m:e>
                </m:acc>
              </m:e>
              <m:sub>
                <m:r>
                  <m:rPr>
                    <m:sty m:val="p"/>
                  </m:rPr>
                  <m:t>l</m:t>
                </m:r>
                <m:r>
                  <m:rPr>
                    <m:sty m:val="p"/>
                  </m:rPr>
                  <m:t>o</m:t>
                </m:r>
                <m:r>
                  <m:rPr>
                    <m:sty m:val="p"/>
                  </m:rPr>
                  <m:t>a</m:t>
                </m:r>
                <m:r>
                  <m:rPr>
                    <m:sty m:val="p"/>
                  </m:rPr>
                  <m:t>d</m:t>
                </m:r>
              </m:sub>
              <m:sup>
                <m:r>
                  <m:t>t</m:t>
                </m:r>
                <m:r>
                  <m:rPr>
                    <m:sty m:val="p"/>
                  </m:rPr>
                  <m:t>+</m:t>
                </m:r>
                <m:r>
                  <m:t>1</m:t>
                </m:r>
              </m:sup>
            </m:sSubSup>
          </m:e>
        </m:d>
      </m:oMath>
      <w:r>
        <w:rPr>
          <w:rFonts w:hint="eastAsia"/>
        </w:rPr>
        <w:t xml:space="preserve">，未引入高维历史序列堆叠。该设计降低了在线推理开销，但也意味着长期历史信息需由门控机制补偿。若仅依赖短尺度统计，门控分数易对慢漂移产生同化，削弱对长期能效退化的识别能力。其物理含义在于：换季过程中建筑围护结构等效热阻与蓄热状态会缓慢变化，且冷机长期运行可能带来换热器污垢热阻累积，这些慢变量会逐步抬升系统达到同等供冷效果所需的有效冷量。短尺度门控可能将该慢性偏移同化为局部稳态基线，导致在应触发策略修正的阶段仍保持静息，进而使控制设定长期停留在局部稳定但全局非优区间（例如维持在较高设定温度</w:t>
      </w:r>
      <w:r>
        <w:t xml:space="preserve"> 15°C </w:t>
      </w:r>
      <w:r>
        <w:rPr>
          <w:rFonts w:hint="eastAsia"/>
        </w:rPr>
        <w:t xml:space="preserve">附近），并使机组持续运行于偏离最优</w:t>
      </w:r>
      <w:r>
        <w:t xml:space="preserve"> COP </w:t>
      </w:r>
      <w:r>
        <w:rPr>
          <w:rFonts w:hint="eastAsia"/>
        </w:rPr>
        <w:t xml:space="preserve">的工况，最终表现为日均能耗上升。Full</w:t>
      </w:r>
      <w:r>
        <w:t xml:space="preserve"> ET-PRL </w:t>
      </w:r>
      <w:r>
        <w:rPr>
          <w:rFonts w:hint="eastAsia"/>
        </w:rPr>
        <w:t xml:space="preserve">通过引入中长尺度分数，为紧凑状态智能体提供隐式历史信息补偿，能够将慢性设备衰退与季节漂移重新识别为需干预事件，从而在季节尺度上维持全局能效下界。</w:t>
      </w:r>
    </w:p>
    <w:p>
      <w:pPr>
        <w:pStyle w:val="BodyText"/>
      </w:pPr>
      <w:r>
        <w:rPr>
          <w:rFonts w:hint="eastAsia"/>
        </w:rPr>
        <w:t xml:space="preserve">在双阈值机制消融方面，Local</w:t>
      </w:r>
      <w:r>
        <w:t xml:space="preserve"> Threshold Only </w:t>
      </w:r>
      <w:r>
        <w:rPr>
          <w:rFonts w:hint="eastAsia"/>
        </w:rPr>
        <w:t xml:space="preserve">与</w:t>
      </w:r>
      <w:r>
        <w:t xml:space="preserve"> Global Threshold Only </w:t>
      </w:r>
      <w:r>
        <w:rPr>
          <w:rFonts w:hint="eastAsia"/>
        </w:rPr>
        <w:t xml:space="preserve">的</w:t>
      </w:r>
      <w:r>
        <w:t xml:space="preserve"> ACR </w:t>
      </w:r>
      <w:r>
        <w:rPr>
          <w:rFonts w:hint="eastAsia"/>
        </w:rPr>
        <w:t xml:space="preserve">分别为</w:t>
      </w:r>
      <w:r>
        <w:t xml:space="preserve"> 1.9513 </w:t>
      </w:r>
      <w:r>
        <w:rPr>
          <w:rFonts w:hint="eastAsia"/>
        </w:rPr>
        <w:t xml:space="preserve">和</w:t>
      </w:r>
      <w:r>
        <w:t xml:space="preserve"> </w:t>
      </w:r>
      <w:r>
        <w:rPr>
          <w:rFonts w:hint="eastAsia"/>
        </w:rPr>
        <w:t xml:space="preserve">1.9565，均低于</w:t>
      </w:r>
      <w:r>
        <w:t xml:space="preserve"> Full ET-PRL </w:t>
      </w:r>
      <w:r>
        <w:rPr>
          <w:rFonts w:hint="eastAsia"/>
        </w:rPr>
        <w:t xml:space="preserve">的</w:t>
      </w:r>
      <w:r>
        <w:t xml:space="preserve"> </w:t>
      </w:r>
      <w:r>
        <w:rPr>
          <w:rFonts w:hint="eastAsia"/>
        </w:rPr>
        <w:t xml:space="preserve">2.1525；其日均能耗分别为</w:t>
      </w:r>
      <w:r>
        <w:t xml:space="preserve"> 7367.57 </w:t>
      </w:r>
      <w:r>
        <w:rPr>
          <w:rFonts w:hint="eastAsia"/>
        </w:rPr>
        <w:t xml:space="preserve">和</w:t>
      </w:r>
      <w:r>
        <w:t xml:space="preserve"> 7409.42 </w:t>
      </w:r>
      <w:r>
        <w:rPr>
          <w:rFonts w:hint="eastAsia"/>
        </w:rPr>
        <w:t xml:space="preserve">kWh/day，也均高于</w:t>
      </w:r>
      <w:r>
        <w:t xml:space="preserve"> Full </w:t>
      </w:r>
      <w:r>
        <w:rPr>
          <w:rFonts w:hint="eastAsia"/>
        </w:rPr>
        <w:t xml:space="preserve">ET-PRL。机理上，Local</w:t>
      </w:r>
      <w:r>
        <w:t xml:space="preserve"> Threshold Only </w:t>
      </w:r>
      <w:r>
        <w:rPr>
          <w:rFonts w:hint="eastAsia"/>
        </w:rPr>
        <w:t xml:space="preserve">易出现短视跟随，即对短时扰动过敏而缺乏慢变量基线约束；Global</w:t>
      </w:r>
      <w:r>
        <w:t xml:space="preserve"> Threshold Only </w:t>
      </w:r>
      <w:r>
        <w:rPr>
          <w:rFonts w:hint="eastAsia"/>
        </w:rPr>
        <w:t xml:space="preserve">易出现响应滞后，即对分钟级外扰吸收不足并在后续需要更大幅度补偿控制。两类退化分别对应快速响应能力与长期稳态约束的单侧缺失。两者协同后，ET-PRL</w:t>
      </w:r>
      <w:r>
        <w:t xml:space="preserve"> </w:t>
      </w:r>
      <w:r>
        <w:rPr>
          <w:rFonts w:hint="eastAsia"/>
        </w:rPr>
        <w:t xml:space="preserve">才能在能耗、性能保持率与动作稀疏性之间实现稳定且可复现的综合优势。</w:t>
      </w:r>
    </w:p>
    <w:p>
      <w:pPr>
        <w:pStyle w:val="Compact"/>
        <w:numPr>
          <w:ilvl w:val="0"/>
          <w:numId w:val="1022"/>
        </w:numPr>
      </w:pPr>
      <w:r>
        <w:rPr>
          <w:rFonts w:hint="eastAsia"/>
        </w:rPr>
        <w:t xml:space="preserve">参数敏感性分析</w:t>
      </w:r>
    </w:p>
    <w:p>
      <w:pPr>
        <w:pStyle w:val="FirstParagraph"/>
      </w:pPr>
      <w:r>
        <w:rPr>
          <w:rFonts w:hint="eastAsia"/>
        </w:rPr>
        <w:t xml:space="preserve">为评估</w:t>
      </w:r>
      <w:r>
        <w:t xml:space="preserve"> ET-PRL </w:t>
      </w:r>
      <w:r>
        <w:rPr>
          <w:rFonts w:hint="eastAsia"/>
        </w:rPr>
        <w:t xml:space="preserve">门控机制对超参数扰动的稳健性，本文对在线异常门控关键参数开展敏感性分析。结合第</w:t>
      </w:r>
      <w:r>
        <w:t xml:space="preserve"> 3.2 </w:t>
      </w:r>
      <w:r>
        <w:rPr>
          <w:rFonts w:hint="eastAsia"/>
        </w:rPr>
        <w:t xml:space="preserve">节与第</w:t>
      </w:r>
      <w:r>
        <w:t xml:space="preserve"> 3.3 </w:t>
      </w:r>
      <w:r>
        <w:rPr>
          <w:rFonts w:hint="eastAsia"/>
        </w:rPr>
        <w:t xml:space="preserve">节的机制定义，相关参数可归纳为两类。其一为阈值判定参数，包括阈值偏置项、分位数阈值、MAD（Median</w:t>
      </w:r>
      <w:r>
        <w:t xml:space="preserve"> Absolute </w:t>
      </w:r>
      <w:r>
        <w:rPr>
          <w:rFonts w:hint="eastAsia"/>
        </w:rPr>
        <w:t xml:space="preserve">Deviation）尺度系数、阈值局部更新率与触发滞回边际，主要影响触发边界的位置与判定严格程度。其二为统计结构参数，包括局部窗口长度、全局指数滑动平均衰减率（EMA</w:t>
      </w:r>
      <w:r>
        <w:t xml:space="preserve"> </w:t>
      </w:r>
      <w:r>
        <w:rPr>
          <w:rFonts w:hint="eastAsia"/>
        </w:rPr>
        <w:t xml:space="preserve">decay）、参考样本规模与阈值优化最小样本数，主要影响门控对分布漂移的响应尺度与更新稳定性。</w:t>
      </w:r>
    </w:p>
    <w:p>
      <w:pPr>
        <w:pStyle w:val="BodyText"/>
      </w:pPr>
      <w:r>
        <w:rPr>
          <w:rFonts w:hint="eastAsia"/>
        </w:rPr>
        <w:t xml:space="preserve">优化结果显示，阈值判定参数对触发稀疏性与性能保持能力具有显著影响。较优参数组合对应阈值偏置项</w:t>
      </w:r>
      <w:r>
        <w:t xml:space="preserve"> </w:t>
      </w:r>
      <w:r>
        <w:rPr>
          <w:rFonts w:hint="eastAsia"/>
        </w:rPr>
        <w:t xml:space="preserve">-0.0431、分位数阈值</w:t>
      </w:r>
      <w:r>
        <w:t xml:space="preserve"> 0.6675、MAD </w:t>
      </w:r>
      <w:r>
        <w:rPr>
          <w:rFonts w:hint="eastAsia"/>
        </w:rPr>
        <w:t xml:space="preserve">尺度系数</w:t>
      </w:r>
      <w:r>
        <w:t xml:space="preserve"> </w:t>
      </w:r>
      <w:r>
        <w:rPr>
          <w:rFonts w:hint="eastAsia"/>
        </w:rPr>
        <w:t xml:space="preserve">1.1353、阈值局部更新率</w:t>
      </w:r>
      <w:r>
        <w:t xml:space="preserve"> </w:t>
      </w:r>
      <w:r>
        <w:rPr>
          <w:rFonts w:hint="eastAsia"/>
        </w:rPr>
        <w:t xml:space="preserve">0.5957、触发滞回边际</w:t>
      </w:r>
      <w:r>
        <w:t xml:space="preserve"> </w:t>
      </w:r>
      <w:r>
        <w:rPr>
          <w:rFonts w:hint="eastAsia"/>
        </w:rPr>
        <w:t xml:space="preserve">0.0218。该结果表明，在本研究数据条件下，门控边界需在分位数统计与鲁棒离散度估计之间实现平衡，并通过适度负偏置与滞回约束降低阈值邻域的高频切换。进一步地，当阈值设定偏松时，触发频次上升并趋近时间触发范式；当阈值设定偏紧时，必要更新被抑制，性能保持能力下降。因此，阈值判定参数宜在受约束区间内进行联合优化，而不宜采用单参数极端调节策略。</w:t>
      </w:r>
    </w:p>
    <w:p>
      <w:pPr>
        <w:pStyle w:val="BodyText"/>
      </w:pPr>
      <w:r>
        <w:rPr>
          <w:rFonts w:hint="eastAsia"/>
        </w:rPr>
        <w:t xml:space="preserve">从近最优解分布看，在目标函数值较最优值放宽</w:t>
      </w:r>
      <w:r>
        <w:t xml:space="preserve"> 10% </w:t>
      </w:r>
      <w:r>
        <w:rPr>
          <w:rFonts w:hint="eastAsia"/>
        </w:rPr>
        <w:t xml:space="preserve">的可行区域内，阈值偏置项稳定落在</w:t>
      </w:r>
      <w:r>
        <w:t xml:space="preserve"> -0.0431 </w:t>
      </w:r>
      <w:r>
        <w:rPr>
          <w:rFonts w:hint="eastAsia"/>
        </w:rPr>
        <w:t xml:space="preserve">至</w:t>
      </w:r>
      <w:r>
        <w:t xml:space="preserve"> </w:t>
      </w:r>
      <w:r>
        <w:rPr>
          <w:rFonts w:hint="eastAsia"/>
        </w:rPr>
        <w:t xml:space="preserve">-0.0329，分位数阈值稳定落在</w:t>
      </w:r>
      <w:r>
        <w:t xml:space="preserve"> 0.6338 </w:t>
      </w:r>
      <w:r>
        <w:rPr>
          <w:rFonts w:hint="eastAsia"/>
        </w:rPr>
        <w:t xml:space="preserve">至</w:t>
      </w:r>
      <w:r>
        <w:t xml:space="preserve"> </w:t>
      </w:r>
      <w:r>
        <w:rPr>
          <w:rFonts w:hint="eastAsia"/>
        </w:rPr>
        <w:t xml:space="preserve">0.6675，污染率参数稳定落在</w:t>
      </w:r>
      <w:r>
        <w:t xml:space="preserve"> 0.2571 </w:t>
      </w:r>
      <w:r>
        <w:rPr>
          <w:rFonts w:hint="eastAsia"/>
        </w:rPr>
        <w:t xml:space="preserve">至</w:t>
      </w:r>
      <w:r>
        <w:t xml:space="preserve"> </w:t>
      </w:r>
      <w:r>
        <w:rPr>
          <w:rFonts w:hint="eastAsia"/>
        </w:rPr>
        <w:t xml:space="preserve">0.3104。该结果进一步说明，阈值判定参数并非单点可行，而是在有限区间内存在可复现的稳定解域。</w:t>
      </w:r>
    </w:p>
    <w:p>
      <w:pPr>
        <w:pStyle w:val="BodyText"/>
      </w:pPr>
      <w:r>
        <w:rPr>
          <w:rFonts w:hint="eastAsia"/>
        </w:rPr>
        <w:t xml:space="preserve">优化结果同时表明，统计结构参数主要决定门控对短期扰动与长期漂移的折衷方式。较优参数组合为局部权重</w:t>
      </w:r>
      <w:r>
        <w:t xml:space="preserve"> </w:t>
      </w:r>
      <w:r>
        <w:rPr>
          <w:rFonts w:hint="eastAsia"/>
        </w:rPr>
        <w:t xml:space="preserve">0.9486、全局</w:t>
      </w:r>
      <w:r>
        <w:t xml:space="preserve"> EMA </w:t>
      </w:r>
      <w:r>
        <w:rPr>
          <w:rFonts w:hint="eastAsia"/>
        </w:rPr>
        <w:t xml:space="preserve">衰减率</w:t>
      </w:r>
      <w:r>
        <w:t xml:space="preserve"> </w:t>
      </w:r>
      <w:r>
        <w:rPr>
          <w:rFonts w:hint="eastAsia"/>
        </w:rPr>
        <w:t xml:space="preserve">0.0819、局部窗口长度</w:t>
      </w:r>
      <w:r>
        <w:t xml:space="preserve"> </w:t>
      </w:r>
      <w:r>
        <w:rPr>
          <w:rFonts w:hint="eastAsia"/>
        </w:rPr>
        <w:t xml:space="preserve">227、参考样本规模</w:t>
      </w:r>
      <w:r>
        <w:t xml:space="preserve"> </w:t>
      </w:r>
      <w:r>
        <w:rPr>
          <w:rFonts w:hint="eastAsia"/>
        </w:rPr>
        <w:t xml:space="preserve">910、阈值优化最小样本数</w:t>
      </w:r>
      <w:r>
        <w:t xml:space="preserve"> </w:t>
      </w:r>
      <w:r>
        <w:rPr>
          <w:rFonts w:hint="eastAsia"/>
        </w:rPr>
        <w:t xml:space="preserve">104。相较默认配置，局部窗口长度由</w:t>
      </w:r>
      <w:r>
        <w:t xml:space="preserve"> 135 </w:t>
      </w:r>
      <w:r>
        <w:rPr>
          <w:rFonts w:hint="eastAsia"/>
        </w:rPr>
        <w:t xml:space="preserve">增加至</w:t>
      </w:r>
      <w:r>
        <w:t xml:space="preserve"> </w:t>
      </w:r>
      <w:r>
        <w:rPr>
          <w:rFonts w:hint="eastAsia"/>
        </w:rPr>
        <w:t xml:space="preserve">227，参考样本规模由</w:t>
      </w:r>
      <w:r>
        <w:t xml:space="preserve"> 700 </w:t>
      </w:r>
      <w:r>
        <w:rPr>
          <w:rFonts w:hint="eastAsia"/>
        </w:rPr>
        <w:t xml:space="preserve">增加至</w:t>
      </w:r>
      <w:r>
        <w:t xml:space="preserve"> </w:t>
      </w:r>
      <w:r>
        <w:rPr>
          <w:rFonts w:hint="eastAsia"/>
        </w:rPr>
        <w:t xml:space="preserve">910，说明更充分的历史统计有助于抑制短时噪声对异常分数的放大效应。与此同时，较高局部权重意味着阈值融合更强调近期信息，而适中的全局平滑项为长期趋势提供稳定约束。阈值优化最小样本数的提高则进一步说明，阈值更新依赖足够样本支持，以降低冷启动阶段随机波动造成的估计偏差。</w:t>
      </w:r>
    </w:p>
    <w:p>
      <w:pPr>
        <w:pStyle w:val="BodyText"/>
      </w:pPr>
      <w:r>
        <w:rPr>
          <w:rFonts w:hint="eastAsia"/>
        </w:rPr>
        <w:t xml:space="preserve">进一步地，在目标函数值放宽</w:t>
      </w:r>
      <w:r>
        <w:t xml:space="preserve"> 10% </w:t>
      </w:r>
      <w:r>
        <w:rPr>
          <w:rFonts w:hint="eastAsia"/>
        </w:rPr>
        <w:t xml:space="preserve">的近最优区域中，局部权重集中于</w:t>
      </w:r>
      <w:r>
        <w:t xml:space="preserve"> 0.8965 </w:t>
      </w:r>
      <w:r>
        <w:rPr>
          <w:rFonts w:hint="eastAsia"/>
        </w:rPr>
        <w:t xml:space="preserve">至</w:t>
      </w:r>
      <w:r>
        <w:t xml:space="preserve"> </w:t>
      </w:r>
      <w:r>
        <w:rPr>
          <w:rFonts w:hint="eastAsia"/>
        </w:rPr>
        <w:t xml:space="preserve">0.9486，全局</w:t>
      </w:r>
      <w:r>
        <w:t xml:space="preserve"> EMA </w:t>
      </w:r>
      <w:r>
        <w:rPr>
          <w:rFonts w:hint="eastAsia"/>
        </w:rPr>
        <w:t xml:space="preserve">衰减率集中于</w:t>
      </w:r>
      <w:r>
        <w:t xml:space="preserve"> 0.0745 </w:t>
      </w:r>
      <w:r>
        <w:rPr>
          <w:rFonts w:hint="eastAsia"/>
        </w:rPr>
        <w:t xml:space="preserve">至</w:t>
      </w:r>
      <w:r>
        <w:t xml:space="preserve"> </w:t>
      </w:r>
      <w:r>
        <w:rPr>
          <w:rFonts w:hint="eastAsia"/>
        </w:rPr>
        <w:t xml:space="preserve">0.0819，局部窗口长度集中于</w:t>
      </w:r>
      <w:r>
        <w:t xml:space="preserve"> 225 </w:t>
      </w:r>
      <w:r>
        <w:rPr>
          <w:rFonts w:hint="eastAsia"/>
        </w:rPr>
        <w:t xml:space="preserve">至</w:t>
      </w:r>
      <w:r>
        <w:t xml:space="preserve"> </w:t>
      </w:r>
      <w:r>
        <w:rPr>
          <w:rFonts w:hint="eastAsia"/>
        </w:rPr>
        <w:t xml:space="preserve">227。该分布表明，统计结构参数的有效区间相对收敛，门控机制在该区间内表现出较好的配置稳定性。</w:t>
      </w:r>
    </w:p>
    <w:p>
      <w:pPr>
        <w:pStyle w:val="BodyText"/>
      </w:pPr>
      <w:r>
        <w:rPr>
          <w:rFonts w:hint="eastAsia"/>
        </w:rPr>
        <w:t xml:space="preserve">如图</w:t>
      </w:r>
      <w:r>
        <w:t xml:space="preserve"> 5-2-6 </w:t>
      </w:r>
      <w:r>
        <w:rPr>
          <w:rFonts w:hint="eastAsia"/>
        </w:rPr>
        <w:t xml:space="preserve">所示，各关键参数在近最优目标值邻域内均呈现出稳定区间，表明</w:t>
      </w:r>
      <w:r>
        <w:t xml:space="preserve"> ET-PRL </w:t>
      </w:r>
      <w:r>
        <w:rPr>
          <w:rFonts w:hint="eastAsia"/>
        </w:rPr>
        <w:t xml:space="preserve">门控参数并非单点可行，而是存在可复现的有效解域。</w:t>
      </w:r>
    </w:p>
    <w:tbl>
      <w:tblPr>
        <w:tblStyle w:val="FigureTable"/>
        <w:tblW w:type="auto" w:w="0"/>
        <w:jc w:val="center"/>
        <w:tblLook w:firstRow="0" w:lastRow="0" w:firstColumn="0" w:lastColumn="0"/>
      </w:tblPr>
      <w:tblGrid>
        <w:gridCol w:w="7920"/>
      </w:tblGrid>
      <w:tr>
        <w:tc>
          <w:tcPr/>
          <w:p>
            <w:pPr>
              <w:pStyle w:val="Compact"/>
              <w:jc w:val="center"/>
            </w:pPr>
            <w:r>
              <w:rPr>
                <w:rFonts w:hint="eastAsia"/>
              </w:rPr>
              <w:t xml:space="preserve">图</w:t>
            </w:r>
            <w:r>
              <w:t xml:space="preserve"> 5-2-6 </w:t>
            </w:r>
            <w:r>
              <w:rPr>
                <w:rFonts w:hint="eastAsia"/>
              </w:rPr>
              <w:t xml:space="preserve">门控关键参数敏感性与近最优解域</w:t>
            </w:r>
          </w:p>
        </w:tc>
      </w:tr>
    </w:tbl>
    <w:p>
      <w:pPr>
        <w:pStyle w:val="ImageCaption"/>
      </w:pPr>
      <w:r>
        <w:rPr>
          <w:rFonts w:hint="eastAsia"/>
        </w:rPr>
        <w:t xml:space="preserve">图</w:t>
      </w:r>
      <w:r>
        <w:t xml:space="preserve"> 5-2-6 </w:t>
      </w:r>
      <w:r>
        <w:rPr>
          <w:rFonts w:hint="eastAsia"/>
        </w:rPr>
        <w:t xml:space="preserve">门控关键参数敏感性与近最优解域</w:t>
      </w:r>
    </w:p>
    <w:p>
      <w:pPr>
        <w:pStyle w:val="BodyText"/>
      </w:pPr>
      <w:r>
        <w:rPr>
          <w:rFonts w:hint="eastAsia"/>
        </w:rPr>
        <w:t xml:space="preserve">图</w:t>
      </w:r>
      <w:r>
        <w:t xml:space="preserve"> 5-2-6 </w:t>
      </w:r>
      <w:r>
        <w:rPr>
          <w:rFonts w:hint="eastAsia"/>
        </w:rPr>
        <w:t xml:space="preserve">门控关键参数敏感性与近最优解域</w:t>
      </w:r>
    </w:p>
    <w:p>
      <w:pPr>
        <w:pStyle w:val="BodyText"/>
      </w:pPr>
      <w:r>
        <w:rPr>
          <w:rFonts w:hint="eastAsia"/>
        </w:rPr>
        <w:t xml:space="preserve">综上，ET-PRL</w:t>
      </w:r>
      <w:r>
        <w:t xml:space="preserve"> </w:t>
      </w:r>
      <w:r>
        <w:rPr>
          <w:rFonts w:hint="eastAsia"/>
        </w:rPr>
        <w:t xml:space="preserve">的参数敏感性本质上体现为触发稀疏性与控制保持能力之间的结构化权衡。过低阈值会导致更新过密，过高阈值会削弱对负荷变化的及时响应；局部窗口长度、参考样本规模与局部-全局融合权重共同决定该权衡在跨工况条件下的稳定性。由此可见，本框架的性能改进并非来源于单一参数取值，而是由阈值判定、统计平滑与多尺度分数融合的协同机制共同实现。</w:t>
      </w:r>
    </w:p>
    <w:bookmarkEnd w:id="21"/>
    <w:bookmarkEnd w:id="22"/>
    <w:bookmarkStart w:id="23" w:name="总结"/>
    <w:p>
      <w:pPr>
        <w:pStyle w:val="Heading1"/>
      </w:pPr>
      <w:r>
        <w:t xml:space="preserve">6. </w:t>
      </w:r>
      <w:r>
        <w:rPr>
          <w:rFonts w:hint="eastAsia"/>
        </w:rPr>
        <w:t xml:space="preserve">总结</w:t>
      </w:r>
    </w:p>
    <w:bookmarkEnd w:id="23"/>
    <w:bookmarkStart w:id="24" w:name="附录-a-评价指标体系与优化方向"/>
    <w:p>
      <w:pPr>
        <w:pStyle w:val="Heading1"/>
      </w:pPr>
      <w:r>
        <w:rPr>
          <w:rFonts w:hint="eastAsia"/>
        </w:rPr>
        <w:t xml:space="preserve">附录</w:t>
      </w:r>
      <w:r>
        <w:t xml:space="preserve"> A </w:t>
      </w:r>
      <w:r>
        <w:rPr>
          <w:rFonts w:hint="eastAsia"/>
        </w:rPr>
        <w:t xml:space="preserve">评价指标体系与优化方向</w:t>
      </w:r>
    </w:p>
    <w:p>
      <w:pPr>
        <w:pStyle w:val="FirstParagraph"/>
      </w:pPr>
      <w:r>
        <w:rPr>
          <w:rFonts w:hint="eastAsia"/>
        </w:rPr>
        <w:t xml:space="preserve">表</w:t>
      </w:r>
      <w:r>
        <w:t xml:space="preserve"> A </w:t>
      </w:r>
      <w:r>
        <w:rPr>
          <w:rFonts w:hint="eastAsia"/>
        </w:rPr>
        <w:t xml:space="preserve">评价指标体系与优化方向</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rPr>
                <w:rFonts w:hint="eastAsia"/>
                <w:b/>
                <w:bCs/>
              </w:rPr>
              <w:t xml:space="preserve">类别</w:t>
            </w:r>
            <w:r>
              <w:rPr>
                <w:b/>
                <w:bCs/>
              </w:rPr>
              <w:t xml:space="preserve"> (Category)</w:t>
            </w:r>
          </w:p>
        </w:tc>
        <w:tc>
          <w:tcPr/>
          <w:p>
            <w:pPr>
              <w:pStyle w:val="Compact"/>
            </w:pPr>
            <w:r>
              <w:rPr>
                <w:rFonts w:hint="eastAsia"/>
                <w:b/>
                <w:bCs/>
              </w:rPr>
              <w:t xml:space="preserve">指标名称</w:t>
            </w:r>
            <w:r>
              <w:rPr>
                <w:b/>
                <w:bCs/>
              </w:rPr>
              <w:t xml:space="preserve"> (Metric)</w:t>
            </w:r>
          </w:p>
        </w:tc>
        <w:tc>
          <w:tcPr/>
          <w:p>
            <w:pPr>
              <w:pStyle w:val="Compact"/>
            </w:pPr>
            <w:r>
              <w:rPr>
                <w:rFonts w:hint="eastAsia"/>
                <w:b/>
                <w:bCs/>
              </w:rPr>
              <w:t xml:space="preserve">符号</w:t>
            </w:r>
            <w:r>
              <w:rPr>
                <w:b/>
                <w:bCs/>
              </w:rPr>
              <w:t xml:space="preserve"> (Symbol)</w:t>
            </w:r>
          </w:p>
        </w:tc>
        <w:tc>
          <w:tcPr/>
          <w:p>
            <w:pPr>
              <w:pStyle w:val="Compact"/>
            </w:pPr>
            <w:r>
              <w:rPr>
                <w:rFonts w:hint="eastAsia"/>
                <w:b/>
                <w:bCs/>
              </w:rPr>
              <w:t xml:space="preserve">单位</w:t>
            </w:r>
            <w:r>
              <w:rPr>
                <w:b/>
                <w:bCs/>
              </w:rPr>
              <w:t xml:space="preserve"> (Unit)</w:t>
            </w:r>
          </w:p>
        </w:tc>
        <w:tc>
          <w:tcPr/>
          <w:p>
            <w:pPr>
              <w:pStyle w:val="Compact"/>
            </w:pPr>
            <w:r>
              <w:rPr>
                <w:rFonts w:hint="eastAsia"/>
                <w:b/>
                <w:bCs/>
              </w:rPr>
              <w:t xml:space="preserve">优化目标</w:t>
            </w:r>
            <w:r>
              <w:rPr>
                <w:b/>
                <w:bCs/>
              </w:rPr>
              <w:t xml:space="preserve"> (Goal)</w:t>
            </w:r>
          </w:p>
        </w:tc>
      </w:tr>
      <w:tr>
        <w:tc>
          <w:tcPr/>
          <w:p>
            <w:pPr>
              <w:pStyle w:val="Compact"/>
            </w:pPr>
            <w:r>
              <w:rPr>
                <w:rFonts w:hint="eastAsia"/>
                <w:b/>
                <w:bCs/>
              </w:rPr>
              <w:t xml:space="preserve">能耗效率</w:t>
            </w:r>
          </w:p>
        </w:tc>
        <w:tc>
          <w:tcPr/>
          <w:p>
            <w:pPr>
              <w:pStyle w:val="Compact"/>
            </w:pPr>
            <w:r>
              <w:rPr>
                <w:rFonts w:hint="eastAsia"/>
              </w:rPr>
              <w:t xml:space="preserve">日均能耗</w:t>
            </w:r>
          </w:p>
        </w:tc>
        <w:tc>
          <w:tcPr/>
          <w:p>
            <w:pPr>
              <w:pStyle w:val="Compact"/>
            </w:pPr>
            <m:oMath>
              <m:sSub>
                <m:e>
                  <m:r>
                    <m:t>E</m:t>
                  </m:r>
                </m:e>
                <m:sub>
                  <m:r>
                    <m:rPr>
                      <m:nor/>
                      <m:sty m:val="p"/>
                    </m:rPr>
                    <m:t>daily</m:t>
                  </m:r>
                </m:sub>
              </m:sSub>
            </m:oMath>
          </w:p>
        </w:tc>
        <w:tc>
          <w:tcPr/>
          <w:p>
            <w:pPr>
              <w:pStyle w:val="Compact"/>
            </w:pPr>
            <w:r>
              <w:t xml:space="preserve">kWh/day</w:t>
            </w:r>
          </w:p>
        </w:tc>
        <w:tc>
          <w:tcPr/>
          <w:p>
            <w:pPr>
              <w:pStyle w:val="Compact"/>
            </w:pPr>
            <w:r>
              <w:t xml:space="preserve">Minimize</w:t>
            </w:r>
          </w:p>
        </w:tc>
      </w:tr>
      <w:tr>
        <w:tc>
          <w:tcPr/>
          <w:p>
            <w:pPr>
              <w:pStyle w:val="Compact"/>
            </w:pPr>
          </w:p>
        </w:tc>
        <w:tc>
          <w:tcPr/>
          <w:p>
            <w:pPr>
              <w:pStyle w:val="Compact"/>
            </w:pPr>
            <w:r>
              <w:rPr>
                <w:rFonts w:hint="eastAsia"/>
              </w:rPr>
              <w:t xml:space="preserve">相对节能率</w:t>
            </w:r>
          </w:p>
        </w:tc>
        <w:tc>
          <w:tcPr/>
          <w:p>
            <w:pPr>
              <w:pStyle w:val="Compact"/>
            </w:pPr>
            <m:oMath>
              <m:sSub>
                <m:e>
                  <m:r>
                    <m:t>η</m:t>
                  </m:r>
                </m:e>
                <m:sub>
                  <m:r>
                    <m:rPr>
                      <m:nor/>
                      <m:sty m:val="p"/>
                    </m:rPr>
                    <m:t>saving</m:t>
                  </m:r>
                </m:sub>
              </m:sSub>
            </m:oMath>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平均冷机功率</w:t>
            </w:r>
          </w:p>
        </w:tc>
        <w:tc>
          <w:tcPr/>
          <w:p>
            <w:pPr>
              <w:pStyle w:val="Compact"/>
            </w:pPr>
            <m:oMath>
              <m:sSub>
                <m:e>
                  <m:acc>
                    <m:accPr>
                      <m:chr m:val="‾"/>
                    </m:accPr>
                    <m:e>
                      <m:r>
                        <m:t>P</m:t>
                      </m:r>
                    </m:e>
                  </m:acc>
                </m:e>
                <m:sub>
                  <m:r>
                    <m:rPr>
                      <m:nor/>
                      <m:sty m:val="p"/>
                    </m:rPr>
                    <m:t>chiller</m:t>
                  </m:r>
                </m:sub>
              </m:sSub>
            </m:oMath>
          </w:p>
        </w:tc>
        <w:tc>
          <w:tcPr/>
          <w:p>
            <w:pPr>
              <w:pStyle w:val="Compact"/>
            </w:pPr>
            <w:r>
              <w:t xml:space="preserve">kW</w:t>
            </w:r>
          </w:p>
        </w:tc>
        <w:tc>
          <w:tcPr/>
          <w:p>
            <w:pPr>
              <w:pStyle w:val="Compact"/>
            </w:pPr>
            <w:r>
              <w:t xml:space="preserve">Minimize</w:t>
            </w:r>
          </w:p>
        </w:tc>
      </w:tr>
      <w:tr>
        <w:tc>
          <w:tcPr/>
          <w:p>
            <w:pPr>
              <w:pStyle w:val="Compact"/>
            </w:pPr>
            <w:r>
              <w:rPr>
                <w:rFonts w:hint="eastAsia"/>
                <w:b/>
                <w:bCs/>
              </w:rPr>
              <w:t xml:space="preserve">温度控制</w:t>
            </w:r>
          </w:p>
        </w:tc>
        <w:tc>
          <w:tcPr/>
          <w:p>
            <w:pPr>
              <w:pStyle w:val="Compact"/>
            </w:pPr>
            <w:r>
              <w:rPr>
                <w:rFonts w:hint="eastAsia"/>
              </w:rPr>
              <w:t xml:space="preserve">动作平滑度</w:t>
            </w:r>
          </w:p>
        </w:tc>
        <w:tc>
          <w:tcPr/>
          <w:p>
            <w:pPr>
              <w:pStyle w:val="Compact"/>
            </w:pPr>
            <m:oMath>
              <m:sSub>
                <m:e>
                  <m:r>
                    <m:t>σ</m:t>
                  </m:r>
                </m:e>
                <m:sub>
                  <m:r>
                    <m:rPr>
                      <m:sty m:val="p"/>
                    </m:rPr>
                    <m:t>Δ</m:t>
                  </m:r>
                  <m:r>
                    <m:t>a</m:t>
                  </m:r>
                </m:sub>
              </m:sSub>
            </m:oMath>
          </w:p>
        </w:tc>
        <w:tc>
          <w:tcPr/>
          <w:p>
            <w:pPr>
              <w:pStyle w:val="Compact"/>
            </w:pPr>
            <w:r>
              <w:t xml:space="preserve">-</w:t>
            </w:r>
          </w:p>
        </w:tc>
        <w:tc>
          <w:tcPr/>
          <w:p>
            <w:pPr>
              <w:pStyle w:val="Compact"/>
            </w:pPr>
            <w:r>
              <w:t xml:space="preserve">Minimize</w:t>
            </w:r>
          </w:p>
        </w:tc>
      </w:tr>
      <w:tr>
        <w:tc>
          <w:tcPr/>
          <w:p>
            <w:pPr>
              <w:pStyle w:val="Compact"/>
            </w:pPr>
          </w:p>
        </w:tc>
        <w:tc>
          <w:tcPr/>
          <w:p>
            <w:pPr>
              <w:pStyle w:val="Compact"/>
            </w:pPr>
            <w:r>
              <w:rPr>
                <w:rFonts w:hint="eastAsia"/>
              </w:rPr>
              <w:t xml:space="preserve">性能保持率</w:t>
            </w:r>
          </w:p>
        </w:tc>
        <w:tc>
          <w:tcPr/>
          <w:p>
            <w:pPr>
              <w:pStyle w:val="Compact"/>
            </w:pPr>
            <w:r>
              <w:t xml:space="preserve">PPR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控制稀疏性</w:t>
            </w:r>
          </w:p>
        </w:tc>
        <w:tc>
          <w:tcPr/>
          <w:p>
            <w:pPr>
              <w:pStyle w:val="Compact"/>
            </w:pPr>
            <w:r>
              <w:rPr>
                <w:rFonts w:hint="eastAsia"/>
              </w:rPr>
              <w:t xml:space="preserve">日均触发次数</w:t>
            </w:r>
          </w:p>
        </w:tc>
        <w:tc>
          <w:tcPr/>
          <w:p>
            <w:pPr>
              <w:pStyle w:val="Compact"/>
            </w:pPr>
            <m:oMath>
              <m:sSub>
                <m:e>
                  <m:r>
                    <m:t>N</m:t>
                  </m:r>
                </m:e>
                <m:sub>
                  <m:r>
                    <m:rPr>
                      <m:nor/>
                      <m:sty m:val="p"/>
                    </m:rPr>
                    <m:t>daily</m:t>
                  </m:r>
                </m:sub>
              </m:sSub>
            </m:oMath>
          </w:p>
        </w:tc>
        <w:tc>
          <w:tcPr/>
          <w:p>
            <w:pPr>
              <w:pStyle w:val="Compact"/>
            </w:pPr>
            <w:r>
              <w:t xml:space="preserve">count/day</w:t>
            </w:r>
          </w:p>
        </w:tc>
        <w:tc>
          <w:tcPr/>
          <w:p>
            <w:pPr>
              <w:pStyle w:val="Compact"/>
            </w:pPr>
            <w:r>
              <w:t xml:space="preserve">Minimize</w:t>
            </w:r>
          </w:p>
        </w:tc>
      </w:tr>
      <w:tr>
        <w:tc>
          <w:tcPr/>
          <w:p>
            <w:pPr>
              <w:pStyle w:val="Compact"/>
            </w:pPr>
          </w:p>
        </w:tc>
        <w:tc>
          <w:tcPr/>
          <w:p>
            <w:pPr>
              <w:pStyle w:val="Compact"/>
            </w:pPr>
            <w:r>
              <w:rPr>
                <w:rFonts w:hint="eastAsia"/>
              </w:rPr>
              <w:t xml:space="preserve">动作更新总次数</w:t>
            </w:r>
          </w:p>
        </w:tc>
        <w:tc>
          <w:tcPr/>
          <w:p>
            <w:pPr>
              <w:pStyle w:val="Compact"/>
            </w:pPr>
            <m:oMath>
              <m:sSub>
                <m:e>
                  <m:r>
                    <m:t>N</m:t>
                  </m:r>
                </m:e>
                <m:sub>
                  <m:r>
                    <m:rPr>
                      <m:nor/>
                      <m:sty m:val="p"/>
                    </m:rPr>
                    <m:t>update</m:t>
                  </m:r>
                </m:sub>
              </m:sSub>
            </m:oMath>
          </w:p>
        </w:tc>
        <w:tc>
          <w:tcPr/>
          <w:p>
            <w:pPr>
              <w:pStyle w:val="Compact"/>
            </w:pPr>
            <w:r>
              <w:t xml:space="preserve">count</w:t>
            </w:r>
          </w:p>
        </w:tc>
        <w:tc>
          <w:tcPr/>
          <w:p>
            <w:pPr>
              <w:pStyle w:val="Compact"/>
            </w:pPr>
            <w:r>
              <w:t xml:space="preserve">Minimize</w:t>
            </w:r>
          </w:p>
        </w:tc>
      </w:tr>
      <w:tr>
        <w:tc>
          <w:tcPr/>
          <w:p>
            <w:pPr>
              <w:pStyle w:val="Compact"/>
            </w:pPr>
          </w:p>
        </w:tc>
        <w:tc>
          <w:tcPr/>
          <w:p>
            <w:pPr>
              <w:pStyle w:val="Compact"/>
            </w:pPr>
            <w:r>
              <w:rPr>
                <w:rFonts w:hint="eastAsia"/>
              </w:rPr>
              <w:t xml:space="preserve">动作压缩比</w:t>
            </w:r>
          </w:p>
        </w:tc>
        <w:tc>
          <w:tcPr/>
          <w:p>
            <w:pPr>
              <w:pStyle w:val="Compact"/>
            </w:pPr>
            <w:r>
              <w:t xml:space="preserve">ACR</w:t>
            </w:r>
          </w:p>
        </w:tc>
        <w:tc>
          <w:tcPr/>
          <w:p>
            <w:pPr>
              <w:pStyle w:val="Compact"/>
            </w:pPr>
            <w:r>
              <w:t xml:space="preserve">-</w:t>
            </w:r>
          </w:p>
        </w:tc>
        <w:tc>
          <w:tcPr/>
          <w:p>
            <w:pPr>
              <w:pStyle w:val="Compact"/>
            </w:pPr>
            <w:r>
              <w:t xml:space="preserve">Maximize</w:t>
            </w:r>
          </w:p>
        </w:tc>
      </w:tr>
      <w:tr>
        <w:tc>
          <w:tcPr/>
          <w:p>
            <w:pPr>
              <w:pStyle w:val="Compact"/>
            </w:pPr>
          </w:p>
        </w:tc>
        <w:tc>
          <w:tcPr/>
          <w:p>
            <w:pPr>
              <w:pStyle w:val="Compact"/>
            </w:pPr>
            <w:r>
              <w:rPr>
                <w:rFonts w:hint="eastAsia"/>
              </w:rPr>
              <w:t xml:space="preserve">动作减少率</w:t>
            </w:r>
          </w:p>
        </w:tc>
        <w:tc>
          <w:tcPr/>
          <w:p>
            <w:pPr>
              <w:pStyle w:val="Compact"/>
            </w:pPr>
            <w:r>
              <w:t xml:space="preserve">ARR</w:t>
            </w:r>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总奖励</w:t>
            </w:r>
          </w:p>
        </w:tc>
        <w:tc>
          <w:tcPr/>
          <w:p>
            <w:pPr>
              <w:pStyle w:val="Compact"/>
            </w:pPr>
            <m:oMath>
              <m:sSub>
                <m:e>
                  <m:r>
                    <m:t>R</m:t>
                  </m:r>
                </m:e>
                <m:sub>
                  <m:r>
                    <m:rPr>
                      <m:nor/>
                      <m:sty m:val="p"/>
                    </m:rPr>
                    <m:t>test</m:t>
                  </m:r>
                </m:sub>
              </m:sSub>
            </m:oMath>
          </w:p>
        </w:tc>
        <w:tc>
          <w:tcPr/>
          <w:p>
            <w:pPr>
              <w:pStyle w:val="Compact"/>
            </w:pPr>
            <w:r>
              <w:t xml:space="preserve">-</w:t>
            </w:r>
          </w:p>
        </w:tc>
        <w:tc>
          <w:tcPr/>
          <w:p>
            <w:pPr>
              <w:pStyle w:val="Compact"/>
            </w:pPr>
            <w:r>
              <w:t xml:space="preserve">Maximize</w:t>
            </w:r>
          </w:p>
        </w:tc>
      </w:tr>
      <w:tr>
        <w:tc>
          <w:tcPr/>
          <w:p>
            <w:pPr>
              <w:pStyle w:val="Compact"/>
            </w:pPr>
            <w:r>
              <w:rPr>
                <w:rFonts w:hint="eastAsia"/>
                <w:b/>
                <w:bCs/>
              </w:rPr>
              <w:t xml:space="preserve">机制与执行效率</w:t>
            </w:r>
          </w:p>
        </w:tc>
        <w:tc>
          <w:tcPr/>
          <w:p>
            <w:pPr>
              <w:pStyle w:val="Compact"/>
            </w:pPr>
            <w:r>
              <w:rPr>
                <w:rFonts w:hint="eastAsia"/>
              </w:rPr>
              <w:t xml:space="preserve">平均步奖励</w:t>
            </w:r>
          </w:p>
        </w:tc>
        <w:tc>
          <w:tcPr/>
          <w:p>
            <w:pPr>
              <w:pStyle w:val="Compact"/>
            </w:pPr>
            <m:oMath>
              <m:sSub>
                <m:e>
                  <m:acc>
                    <m:accPr>
                      <m:chr m:val="‾"/>
                    </m:accPr>
                    <m:e>
                      <m:r>
                        <m:t>R</m:t>
                      </m:r>
                    </m:e>
                  </m:acc>
                </m:e>
                <m:sub>
                  <m:r>
                    <m:rPr>
                      <m:nor/>
                      <m:sty m:val="p"/>
                    </m:rPr>
                    <m:t>step</m:t>
                  </m:r>
                </m:sub>
              </m:sSub>
            </m:oMath>
          </w:p>
        </w:tc>
        <w:tc>
          <w:tcPr/>
          <w:p>
            <w:pPr>
              <w:pStyle w:val="Compact"/>
            </w:pPr>
            <w:r>
              <w:t xml:space="preserve">-</w:t>
            </w:r>
          </w:p>
        </w:tc>
        <w:tc>
          <w:tcPr/>
          <w:p>
            <w:pPr>
              <w:pStyle w:val="Compact"/>
            </w:pPr>
            <w:r>
              <w:t xml:space="preserve">Maximize</w:t>
            </w:r>
          </w:p>
        </w:tc>
      </w:tr>
    </w:tbl>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2026-04-21T06:55:20Z</dcterms:created>
  <dcterms:modified xsi:type="dcterms:W3CDTF">2026-04-21T06:55:20Z</dcterms:modified>
</cp:coreProperties>
</file>

<file path=docProps/custom.xml><?xml version="1.0" encoding="utf-8"?>
<Properties xmlns="http://schemas.openxmlformats.org/officeDocument/2006/custom-properties" xmlns:vt="http://schemas.openxmlformats.org/officeDocument/2006/docPropsVTypes"/>
</file>