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1.svg" ContentType="image/svg+xml"/>
  <Override PartName="/word/media/rId21.svg" ContentType="image/svg+xml"/>
  <Override PartName="/word/media/rId24.svg" ContentType="image/svg+xml"/>
  <Override PartName="/word/media/rId33.svg" ContentType="image/svg+xml"/>
  <Override PartName="/word/media/rId36.svg" ContentType="image/svg+xml"/>
  <Override PartName="/word/media/rId39.svg" ContentType="image/svg+xml"/>
  <Override PartName="/word/media/rId42.svg" ContentType="image/svg+xml"/>
  <Override PartName="/word/media/rId4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4cee04bf2a246021ce4e654352c5fc897f90d4"/>
    <w:p>
      <w:pPr>
        <w:pStyle w:val="Heading1"/>
      </w:pPr>
      <w:r>
        <w:t xml:space="preserve">HVAC Predictive Control Method Based on Dynamic Event Triggering</w:t>
      </w:r>
    </w:p>
    <w:bookmarkEnd w:id="9"/>
    <w:bookmarkStart w:id="10" w:name="abstract"/>
    <w:p>
      <w:pPr>
        <w:pStyle w:val="Heading1"/>
      </w:pPr>
      <w:r>
        <w:t xml:space="preserve">Abstract</w:t>
      </w:r>
    </w:p>
    <w:p>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defined by expert experience and lack dynamic adaptability to long-term operating condition drift. To address these issues, we propose event-triggered predictive reinforcement learning with unsupervised dynamic event gating (ET-PRL), which reformulates event triggering as an online unsupervised anomaly detection problem. Specifically, a streaming isolation depth algorithm computes anomaly scores over multi-scale sliding windows, and a local-global two-layer adaptive threshold determines whether to trigger a control update, forming an adaptive gating module that is deeply coupled with a predictive DQN controller. When the gate triggers, the DQN generates a new chilled water supply temperature setpoint based on the current system state. Otherwise, the current setpoint is held. Experimental results show that, compared with the fixed-step baseline, the proposed method reduces action updates by 53.54%, achieves a 2.13% energy saving, and retains 94.41% of baseline performance, demonstrating robustness and practical deployability.</w:t>
      </w:r>
    </w:p>
    <w:bookmarkEnd w:id="10"/>
    <w:bookmarkStart w:id="14" w:name="introduction"/>
    <w:p>
      <w:pPr>
        <w:pStyle w:val="Heading1"/>
      </w:pPr>
      <w:r>
        <w:t xml:space="preserve">1. Introduction</w:t>
      </w:r>
    </w:p>
    <w:p>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2" name="Picture"/>
            <a:graphic>
              <a:graphicData uri="http://schemas.openxmlformats.org/drawingml/2006/picture">
                <pic:pic>
                  <pic:nvPicPr>
                    <pic:cNvPr descr="../pics/fig1_update_strategy_comparison.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t xml:space="preserve">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b/>
          <w:bCs/>
        </w:rPr>
        <w:t xml:space="preserve">Comprehensive experimental validation of effectiveness and robustness</w:t>
      </w:r>
      <w:r>
        <w:t xml:space="preserve">: Using 102 days of real chiller operation data, systematic comparisons, ablation and sensitivity studies show that the proposed method reduces action updates by 53.54%, achieves a 2.13% energy saving with average daily consumption reduced from 7491 to 7332 kWh/day, and retains 94.41% of baseline performance, demonstrating robustness and practical deployability.</w:t>
      </w:r>
    </w:p>
    <w:p>
      <w:pPr>
        <w:numPr>
          <w:ilvl w:val="0"/>
          <w:numId w:val="1001"/>
        </w:numPr>
      </w:pPr>
      <w:r>
        <w:rPr>
          <w:b/>
          <w:bCs/>
        </w:rPr>
        <w:t xml:space="preserve">Open source code and data</w:t>
      </w:r>
      <w:r>
        <w:t xml:space="preserve">: The code and data are publicly available at https://github.com/landfallbox/ET-PRL.git to support reproducible research.</w:t>
      </w:r>
    </w:p>
    <w:bookmarkEnd w:id="14"/>
    <w:bookmarkStart w:id="15" w:name="related-work"/>
    <w:p>
      <w:pPr>
        <w:pStyle w:val="Heading1"/>
      </w:pPr>
      <w:r>
        <w:t xml:space="preserve">2. Related Work</w:t>
      </w:r>
    </w:p>
    <w:p>
      <w:pPr>
        <w:pStyle w:val="FirstParagraph"/>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5"/>
    <w:bookmarkStart w:id="19" w:name="methodology"/>
    <w:p>
      <w:pPr>
        <w:pStyle w:val="Heading1"/>
      </w:pPr>
      <w:r>
        <w:t xml:space="preserve">3. Methodology</w:t>
      </w:r>
    </w:p>
    <w:p>
      <w:pPr>
        <w:pStyle w:val="FirstParagraph"/>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w:t>
      </w:r>
    </w:p>
    <w:p>
      <w:pPr>
        <w:pStyle w:val="BlockText"/>
      </w:pPr>
      <w:r>
        <w:rPr>
          <w:b/>
          <w:bCs/>
        </w:rPr>
        <w:t xml:space="preserve">Figure 2 placeholder: Overall ET-PRL method diagram</w:t>
      </w:r>
    </w:p>
    <w:bookmarkStart w:id="16" w:name="X9bb8af0081899262cc0b5b10d5c210e7c23309e"/>
    <w:p>
      <w:pPr>
        <w:pStyle w:val="Heading2"/>
      </w:pPr>
      <w:r>
        <w:t xml:space="preserve">3.1 Dynamic Event Triggering Design Based on Streaming Feature Tracking</w:t>
      </w:r>
    </w:p>
    <w:p>
      <w:pPr>
        <w:pStyle w:val="FirstParagraph"/>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Compact"/>
        <w:numPr>
          <w:ilvl w:val="0"/>
          <w:numId w:val="1002"/>
        </w:numPr>
      </w:pPr>
      <w:r>
        <w:t xml:space="preserve">Definition of System State Features</w:t>
      </w:r>
    </w:p>
    <w:p>
      <w:pPr>
        <w:pStyle w:val="FirstParagraph"/>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Compact"/>
        <w:numPr>
          <w:ilvl w:val="0"/>
          <w:numId w:val="1003"/>
        </w:numPr>
      </w:pPr>
      <w:r>
        <w:t xml:space="preserve">Streaming Isolation Depth and Multi-Scale Anomaly Tracking</w:t>
      </w:r>
    </w:p>
    <w:p>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Compact"/>
        <w:numPr>
          <w:ilvl w:val="0"/>
          <w:numId w:val="1004"/>
        </w:numPr>
      </w:pPr>
      <w:r>
        <w:t xml:space="preserve">Streaming Two-Layer Adaptive Threshold Optimization</w:t>
      </w:r>
    </w:p>
    <w:p>
      <w:pPr>
        <w:pStyle w:val="FirstParagraph"/>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6"/>
    <w:bookmarkStart w:id="17" w:name="X72a0f757d4b8bffff2d7dfe5703d413c5eb2231"/>
    <w:p>
      <w:pPr>
        <w:pStyle w:val="Heading2"/>
      </w:pPr>
      <w:r>
        <w:t xml:space="preserve">3.2 Online Streaming Event Gating Module Construction</w:t>
      </w:r>
    </w:p>
    <w:p>
      <w:pPr>
        <w:pStyle w:val="FirstParagraph"/>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7"/>
    <w:bookmarkStart w:id="18" w:name="Xaa88b99c3d00dddb9ea1ca418f985e9eb87907f"/>
    <w:p>
      <w:pPr>
        <w:pStyle w:val="Heading2"/>
      </w:pPr>
      <w:r>
        <w:t xml:space="preserve">3.3 Predictive RL Control Algorithm with Dynamic Event Triggering</w:t>
      </w:r>
    </w:p>
    <w:p>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Compact"/>
        <w:numPr>
          <w:ilvl w:val="0"/>
          <w:numId w:val="1005"/>
        </w:numPr>
      </w:pPr>
      <w:r>
        <w:t xml:space="preserve">Task formulation and problem definition</w:t>
      </w:r>
    </w:p>
    <w:p>
      <w:pPr>
        <w:pStyle w:val="FirstParagraph"/>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Compact"/>
        <w:numPr>
          <w:ilvl w:val="0"/>
          <w:numId w:val="1006"/>
        </w:numPr>
      </w:pPr>
      <w:r>
        <w:t xml:space="preserve">Predictive DQN network architecture and training procedure</w:t>
      </w:r>
    </w:p>
    <w:p>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Compact"/>
        <w:numPr>
          <w:ilvl w:val="0"/>
          <w:numId w:val="1007"/>
        </w:numPr>
      </w:pPr>
      <w:r>
        <w:t xml:space="preserve">Event-driven online execution algorithm</w:t>
      </w:r>
    </w:p>
    <w:p>
      <w:pPr>
        <w:pStyle w:val="FirstParagraph"/>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8"/>
    <w:bookmarkEnd w:id="19"/>
    <w:bookmarkStart w:id="28" w:name="case-system-and-simulation-environment"/>
    <w:p>
      <w:pPr>
        <w:pStyle w:val="Heading1"/>
      </w:pPr>
      <w:r>
        <w:t xml:space="preserve">4. Case System and Simulation Environment</w:t>
      </w:r>
    </w:p>
    <w:bookmarkStart w:id="20" w:name="building-thermal-system-modeling"/>
    <w:p>
      <w:pPr>
        <w:pStyle w:val="Heading2"/>
      </w:pPr>
      <w:r>
        <w:t xml:space="preserve">4.1 Building Thermal System Modeling</w:t>
      </w:r>
    </w:p>
    <w:p>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in Appendix A, where the coefficient of performance, COP, is defined as the ratio of cooling capacity to input power.</w:t>
      </w:r>
    </w:p>
    <w:bookmarkEnd w:id="20"/>
    <w:bookmarkStart w:id="27" w:name="weather-and-load-dataset-characteristics"/>
    <w:p>
      <w:pPr>
        <w:pStyle w:val="Heading2"/>
      </w:pPr>
      <w:r>
        <w:t xml:space="preserve">4.2 Weather and Load Dataset Characteristics</w:t>
      </w:r>
    </w:p>
    <w:p>
      <w:pPr>
        <w:pStyle w:val="FirstParagraph"/>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Figure 3 Visualization of dataset temporal characteristics, full period sequence and intraday statistical profiles" title="" id="22" name="Picture"/>
            <a:graphic>
              <a:graphicData uri="http://schemas.openxmlformats.org/drawingml/2006/picture">
                <pic:pic>
                  <pic:nvPicPr>
                    <pic:cNvPr descr="../pics/fig3_dataset_temporal_characteristics.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t xml:space="preserve">Figure 3 Visualization of dataset temporal characteristics, full period sequence and intraday statistical profiles</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Figure 4 Visualization of dataset distributions and feature dependence" title="" id="25" name="Picture"/>
            <a:graphic>
              <a:graphicData uri="http://schemas.openxmlformats.org/drawingml/2006/picture">
                <pic:pic>
                  <pic:nvPicPr>
                    <pic:cNvPr descr="../pics/fig4_dataset_distribution_and_correlation.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t xml:space="preserve">Figure 4 Visualization of dataset distributions and feature dependence</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27"/>
    <w:bookmarkEnd w:id="28"/>
    <w:bookmarkStart w:id="49" w:name="experiments-and-results"/>
    <w:p>
      <w:pPr>
        <w:pStyle w:val="Heading1"/>
      </w:pPr>
      <w:r>
        <w:t xml:space="preserve">5. Experiments and Results</w:t>
      </w:r>
    </w:p>
    <w:bookmarkStart w:id="32" w:name="experimental-setup"/>
    <w:p>
      <w:pPr>
        <w:pStyle w:val="Heading2"/>
      </w:pPr>
      <w:r>
        <w:t xml:space="preserve">5.1 Experimental Setup</w:t>
      </w:r>
    </w:p>
    <w:bookmarkStart w:id="29" w:name="experimental-and-hyperparameter-settings"/>
    <w:p>
      <w:pPr>
        <w:pStyle w:val="Heading3"/>
      </w:pPr>
      <w:r>
        <w:t xml:space="preserve">5.1.1 Experimental and Hyperparameter Settings</w:t>
      </w:r>
    </w:p>
    <w:p>
      <w:pPr>
        <w:pStyle w:val="FirstParagraph"/>
      </w:pPr>
      <w:r>
        <w:t xml:space="preserve">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bookmarkEnd w:id="29"/>
    <w:bookmarkStart w:id="30" w:name="comparison-methods"/>
    <w:p>
      <w:pPr>
        <w:pStyle w:val="Heading3"/>
      </w:pPr>
      <w:r>
        <w:t xml:space="preserve">5.1.2 Comparison Methods</w:t>
      </w:r>
    </w:p>
    <w:p>
      <w:pPr>
        <w:pStyle w:val="FirstParagraph"/>
      </w:pPr>
      <w:r>
        <w:t xml:space="preserve">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pPr>
        <w:pStyle w:val="BodyText"/>
      </w:pPr>
      <w:r>
        <w:t xml:space="preserve">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pPr>
        <w:pStyle w:val="BodyText"/>
      </w:pPr>
      <w:r>
        <w:t xml:space="preserve">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bookmarkEnd w:id="30"/>
    <w:bookmarkStart w:id="31" w:name="evaluation-metrics"/>
    <w:p>
      <w:pPr>
        <w:pStyle w:val="Heading3"/>
      </w:pPr>
      <w:r>
        <w:t xml:space="preserve">5.1.3 Evaluation Metrics</w:t>
      </w:r>
    </w:p>
    <w:p>
      <w:pPr>
        <w:pStyle w:val="FirstParagraph"/>
      </w:pPr>
      <w:r>
        <w:t xml:space="preserve">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pPr>
        <w:pStyle w:val="Compact"/>
        <w:numPr>
          <w:ilvl w:val="0"/>
          <w:numId w:val="1008"/>
        </w:numPr>
      </w:pPr>
      <w:r>
        <w:t xml:space="preserve">Energy efficiency metrics</w:t>
      </w:r>
    </w:p>
    <w:p>
      <w:pPr>
        <w:pStyle w:val="FirstParagraph"/>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9"/>
        </w:numPr>
      </w:pPr>
      <w:r>
        <w:t xml:space="preserve">Temperature control and stability metrics</w:t>
      </w:r>
    </w:p>
    <w:p>
      <w:pPr>
        <w:pStyle w:val="FirstParagraph"/>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10"/>
        </w:numPr>
      </w:pPr>
      <w:r>
        <w:t xml:space="preserve">Control sparsity metrics</w:t>
      </w:r>
    </w:p>
    <w:p>
      <w:pPr>
        <w:pStyle w:val="FirstParagraph"/>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11"/>
        </w:numPr>
      </w:pPr>
      <w:r>
        <w:t xml:space="preserve">Execution level statistics</w:t>
      </w:r>
    </w:p>
    <w:p>
      <w:pPr>
        <w:pStyle w:val="FirstParagraph"/>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t xml:space="preserve">The evaluation metrics and optimization objectives are summarized in Table A3 in Appendix A.</w:t>
      </w:r>
    </w:p>
    <w:bookmarkEnd w:id="31"/>
    <w:bookmarkEnd w:id="32"/>
    <w:bookmarkStart w:id="48" w:name="experimental-results-analysis"/>
    <w:p>
      <w:pPr>
        <w:pStyle w:val="Heading2"/>
      </w:pPr>
      <w:r>
        <w:t xml:space="preserve">5.2 Experimental Results Analysis</w:t>
      </w:r>
    </w:p>
    <w:p>
      <w:pPr>
        <w:pStyle w:val="Compact"/>
        <w:numPr>
          <w:ilvl w:val="0"/>
          <w:numId w:val="1012"/>
        </w:numPr>
      </w:pPr>
      <w:r>
        <w:t xml:space="preserve">Overall Performance Analysis</w:t>
      </w:r>
    </w:p>
    <w:p>
      <w:pPr>
        <w:pStyle w:val="FirstParagraph"/>
      </w:pPr>
      <w:r>
        <w:t xml:space="preserve">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53.54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94.41</w:t>
            </w:r>
          </w:p>
        </w:tc>
      </w:tr>
    </w:tbl>
    <w:p>
      <w:pPr>
        <w:pStyle w:val="BodyText"/>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t xml:space="preserve">For the reward,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Compact"/>
        <w:numPr>
          <w:ilvl w:val="0"/>
          <w:numId w:val="1013"/>
        </w:numPr>
      </w:pPr>
      <w:r>
        <w:t xml:space="preserve">Chilled Water Supply Temperature Setpoint Strategy Behavior Analysis</w:t>
      </w:r>
    </w:p>
    <w:p>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pPr>
        <w:pStyle w:val="CaptionedFigure"/>
      </w:pPr>
      <w:r>
        <w:drawing>
          <wp:inline>
            <wp:extent cx="5334000" cy="3230339"/>
            <wp:effectExtent b="0" l="0" r="0" t="0"/>
            <wp:docPr descr="Figure 5 Comparison of the T_{\mathrm{chws}} window distributions for ET-PRL, TTC-RL-1, and ST-ETC. Each bar represents the action proportion within a 10 h window" title="" id="34" name="Picture"/>
            <a:graphic>
              <a:graphicData uri="http://schemas.openxmlformats.org/drawingml/2006/picture">
                <pic:pic>
                  <pic:nvPicPr>
                    <pic:cNvPr descr="../pics/fig6_t_chws_macro_distribution.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3230339"/>
            <wp:effectExtent b="0" l="0" r="0" t="0"/>
            <wp:docPr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37" name="Picture"/>
            <a:graphic>
              <a:graphicData uri="http://schemas.openxmlformats.org/drawingml/2006/picture">
                <pic:pic>
                  <pic:nvPicPr>
                    <pic:cNvPr descr="../pics/fig7_t_chws_delta_analysis.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Compact"/>
        <w:numPr>
          <w:ilvl w:val="0"/>
          <w:numId w:val="1014"/>
        </w:numPr>
      </w:pPr>
      <w:r>
        <w:t xml:space="preserve">Event Triggered Control Sparsity and Temporal Dynamics Analysis</w:t>
      </w:r>
    </w:p>
    <w:p>
      <w:pPr>
        <w:pStyle w:val="FirstParagraph"/>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Trigger Interval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Mean Action Holding Length (steps)</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95th percentile</w:t>
            </w:r>
            <w:r>
              <w:rPr>
                <w:b/>
                <w:bCs/>
              </w:rPr>
              <w:t xml:space="preserve"> </w:t>
            </w:r>
            <m:oMath>
              <m:sSub>
                <m:e>
                  <m:r>
                    <m:t>P</m:t>
                  </m:r>
                </m:e>
                <m:sub>
                  <m:r>
                    <m:t>95</m:t>
                  </m:r>
                </m:sub>
              </m:sSub>
            </m:oMath>
            <w:r>
              <w:rPr>
                <w:b/>
                <w:bCs/>
              </w:rPr>
              <w:t xml:space="preserve"> </w:t>
            </w:r>
            <w:r>
              <w:rPr>
                <w:b/>
                <w:bCs/>
              </w:rP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275.25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42.9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220.31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2.117</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127.88</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11.56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57.0</w:t>
            </w:r>
          </w:p>
        </w:tc>
      </w:tr>
    </w:tbl>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230339"/>
            <wp:effectExtent b="0" l="0" r="0" t="0"/>
            <wp:docPr descr="Figure 7 Distribution of action update intervals under different control strategies. The main panel shows the share of each discrete bin, and the inset enlarges the long tail region" title="" id="40" name="Picture"/>
            <a:graphic>
              <a:graphicData uri="http://schemas.openxmlformats.org/drawingml/2006/picture">
                <pic:pic>
                  <pic:nvPicPr>
                    <pic:cNvPr descr="../pics/fig8_action_update_interval_distribution.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7 Distribution of action update intervals under different control strategies. The main panel shows the share of each discrete bin, and the inset enlarges the long tail region</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Figure 8 Alignment of daily load variation and trigger times on day 5 with 5 min sampling. Panel a shows the cooling load curve, panel b shows the trigger pulse raster of ET-PRL, ST-ETC, and TTC-RL-1, and the shaded band across panels indicates a typical high variation period" title="" id="43" name="Picture"/>
            <a:graphic>
              <a:graphicData uri="http://schemas.openxmlformats.org/drawingml/2006/picture">
                <pic:pic>
                  <pic:nvPicPr>
                    <pic:cNvPr descr="../pics/fig9_trigger_load_alignment.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Compact"/>
        <w:numPr>
          <w:ilvl w:val="0"/>
          <w:numId w:val="1015"/>
        </w:numPr>
      </w:pPr>
      <w:r>
        <w:t xml:space="preserve">Ablation Study Analysis</w:t>
      </w:r>
    </w:p>
    <w:p>
      <w:pPr>
        <w:pStyle w:val="FirstParagraph"/>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94.41%</w:t>
            </w:r>
          </w:p>
        </w:tc>
      </w:tr>
    </w:tbl>
    <w:p>
      <w:pPr>
        <w:pStyle w:val="CaptionedFigure"/>
      </w:pPr>
      <w:r>
        <w:drawing>
          <wp:inline>
            <wp:extent cx="5334000" cy="3230339"/>
            <wp:effectExtent b="0" l="0" r="0" t="0"/>
            <wp:docPr descr="Figure 9 Scatter plot of ablation strategies under the tradeoff among energy consumption, performance, and sparsity. The x axis indicates average daily energy consumption, the y axis indicates PPR, color encodes ACR, and text labels identify each ablation strategy" title="" id="46" name="Picture"/>
            <a:graphic>
              <a:graphicData uri="http://schemas.openxmlformats.org/drawingml/2006/picture">
                <pic:pic>
                  <pic:nvPicPr>
                    <pic:cNvPr descr="../pics/fig10_ablation_pareto_scatte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t xml:space="preserve">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pPr>
        <w:pStyle w:val="Compact"/>
        <w:numPr>
          <w:ilvl w:val="0"/>
          <w:numId w:val="1016"/>
        </w:numPr>
      </w:pPr>
      <w:r>
        <w:t xml:space="preserve">Parameter Sensitivity Analysis</w:t>
      </w:r>
    </w:p>
    <w:p>
      <w:pPr>
        <w:pStyle w:val="FirstParagraph"/>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17"/>
        </w:numPr>
      </w:pPr>
      <w:r>
        <w:t xml:space="preserve">Quantile Level</w:t>
      </w:r>
      <w:r>
        <w:t xml:space="preserve"> </w:t>
      </w:r>
      <m:oMath>
        <m:r>
          <m:t>q</m:t>
        </m:r>
      </m:oMath>
    </w:p>
    <w:p>
      <w:pPr>
        <w:pStyle w:val="FirstParagraph"/>
      </w:pPr>
      <w:r>
        <w:rPr>
          <w:b/>
          <w:bCs/>
        </w:rPr>
        <w:t xml:space="preserve">Table 3</w:t>
      </w:r>
      <w:r>
        <w:t xml:space="preserve"> </w:t>
      </w:r>
      <w:r>
        <w:t xml:space="preserve">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3,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18"/>
        </w:numPr>
      </w:pPr>
      <w:r>
        <w:t xml:space="preserve">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b/>
          <w:bCs/>
        </w:rPr>
        <w:t xml:space="preserve">Table 4</w:t>
      </w:r>
      <w:r>
        <w:t xml:space="preserve"> </w:t>
      </w:r>
      <w:r>
        <w:t xml:space="preserve">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7638.46</w:t>
            </w:r>
          </w:p>
        </w:tc>
      </w:tr>
    </w:tbl>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4,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of</w:t>
      </w:r>
      <w:r>
        <w:t xml:space="preserve"> </w:t>
      </w:r>
      <m:oMath>
        <m:sSub>
          <m:e>
            <m:r>
              <m:t>b</m:t>
            </m:r>
          </m:e>
          <m:sub>
            <m:r>
              <m:rPr>
                <m:sty m:val="p"/>
              </m:rPr>
              <m:t>b</m:t>
            </m:r>
            <m:r>
              <m:rPr>
                <m:sty m:val="p"/>
              </m:rPr>
              <m:t>i</m:t>
            </m:r>
            <m:r>
              <m:rPr>
                <m:sty m:val="p"/>
              </m:rPr>
              <m:t>a</m:t>
            </m:r>
            <m:r>
              <m:rPr>
                <m:sty m:val="p"/>
              </m:rPr>
              <m:t>s</m:t>
            </m:r>
          </m:sub>
        </m:sSub>
      </m:oMath>
      <w:r>
        <w:t xml:space="preserve"> </w:t>
      </w:r>
      <w:r>
        <w:t xml:space="preserve">can substantially improve reward, but an overly high value maintains high energy consumption while providing limited additional benefit.</w:t>
      </w:r>
    </w:p>
    <w:p>
      <w:pPr>
        <w:pStyle w:val="Compact"/>
        <w:numPr>
          <w:ilvl w:val="0"/>
          <w:numId w:val="1019"/>
        </w:numPr>
      </w:pPr>
      <w:r>
        <w:t xml:space="preserve">Hysteresis Margin</w:t>
      </w:r>
      <w:r>
        <w:t xml:space="preserve"> </w:t>
      </w:r>
      <m:oMath>
        <m:sSub>
          <m:e>
            <m:r>
              <m:t>m</m:t>
            </m:r>
          </m:e>
          <m:sub>
            <m:r>
              <m:rPr>
                <m:sty m:val="p"/>
              </m:rPr>
              <m:t>h</m:t>
            </m:r>
            <m:r>
              <m:rPr>
                <m:sty m:val="p"/>
              </m:rPr>
              <m:t>y</m:t>
            </m:r>
            <m:r>
              <m:rPr>
                <m:sty m:val="p"/>
              </m:rPr>
              <m:t>s</m:t>
            </m:r>
          </m:sub>
        </m:sSub>
      </m:oMath>
    </w:p>
    <w:p>
      <w:pPr>
        <w:pStyle w:val="FirstParagraph"/>
      </w:pPr>
      <w:r>
        <w:rPr>
          <w:b/>
          <w:bCs/>
        </w:rPr>
        <w:t xml:space="preserve">Table 5</w:t>
      </w:r>
      <w:r>
        <w:t xml:space="preserve"> </w:t>
      </w:r>
      <w:r>
        <w:t xml:space="preserve">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bl>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5,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20"/>
        </w:numPr>
      </w:pPr>
      <w:r>
        <w:t xml:space="preserve">Local Window Length</w:t>
      </w:r>
      <w:r>
        <w:t xml:space="preserve"> </w:t>
      </w:r>
      <m:oMath>
        <m:r>
          <m:t>W</m:t>
        </m:r>
      </m:oMath>
    </w:p>
    <w:p>
      <w:pPr>
        <w:pStyle w:val="FirstParagraph"/>
      </w:pPr>
      <w:r>
        <w:rPr>
          <w:b/>
          <w:bCs/>
        </w:rPr>
        <w:t xml:space="preserve">Table 6</w:t>
      </w:r>
      <w:r>
        <w:t xml:space="preserve"> </w:t>
      </w:r>
      <w:r>
        <w:t xml:space="preserve">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6157.48</w:t>
            </w:r>
          </w:p>
        </w:tc>
      </w:tr>
    </w:tbl>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6, under the window setting</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0.85 to 1.83, energy consumption decreases to 5971.89 to 7115.59 kWh/day, and the reward becomes lower than under the short window setting.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21"/>
        </w:numPr>
      </w:pPr>
      <w:r>
        <w:t xml:space="preserve">Short Scale Weight</w:t>
      </w:r>
      <w:r>
        <w:t xml:space="preserve"> </w:t>
      </w:r>
      <m:oMath>
        <m:sSub>
          <m:e>
            <m:r>
              <m:t>w</m:t>
            </m:r>
          </m:e>
          <m:sub>
            <m:r>
              <m:t>s</m:t>
            </m:r>
          </m:sub>
        </m:sSub>
      </m:oMath>
    </w:p>
    <w:p>
      <w:pPr>
        <w:pStyle w:val="FirstParagraph"/>
      </w:pPr>
      <w:r>
        <w:rPr>
          <w:b/>
          <w:bCs/>
        </w:rPr>
        <w:t xml:space="preserve">Table 7</w:t>
      </w:r>
      <w:r>
        <w:t xml:space="preserve"> </w:t>
      </w:r>
      <w:r>
        <w:t xml:space="preserve">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Parameter Value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7806.51</w:t>
            </w:r>
          </w:p>
        </w:tc>
      </w:tr>
    </w:tbl>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7,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48"/>
    <w:bookmarkEnd w:id="49"/>
    <w:bookmarkStart w:id="50" w:name="conclusion"/>
    <w:p>
      <w:pPr>
        <w:pStyle w:val="Heading1"/>
      </w:pPr>
      <w:r>
        <w:t xml:space="preserve">6. Conclusion</w:t>
      </w:r>
    </w:p>
    <w:p>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demonstrating its ability to achieve an effective trade-off between control accuracy and execution cost. The multi-scale fusion weights and adaptive threshold parameters of the proposed ET-PRL method are currently determined through offline Bayesian optimization. Future work could incorporate these parameters into an end-to-end training framework for joint optimization with the reinforcement learning policy, enabling the gating trigger boundary to update alongside policy evolution and reducing manual effort in offline tuning. In addition, since our current experiments are based on a single chiller scenario, we could extend the proposed method to cooling source systems with multiple chillers operating in parallel by introducing distributed or hierarchical event-triggering mechanisms across units, allowing each chiller to independently decide its control update timing based on its own load conditions, thereby reducing total system computational overhead while maintaining overall energy efficiency.</w:t>
      </w:r>
    </w:p>
    <w:bookmarkEnd w:id="50"/>
    <w:bookmarkStart w:id="51" w:name="appendix-a-supplementary-tables"/>
    <w:p>
      <w:pPr>
        <w:pStyle w:val="Heading1"/>
      </w:pPr>
      <w:r>
        <w:t xml:space="preserve">Appendix A: Supplementary Tables</w:t>
      </w:r>
    </w:p>
    <w:p>
      <w:pPr>
        <w:pStyle w:val="FirstParagraph"/>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power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cooling capacity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flow rate (</w:t>
            </w:r>
            <m:oMath>
              <m:sSup>
                <m:e>
                  <m:r>
                    <m:rPr>
                      <m:sty m:val="p"/>
                    </m:rPr>
                    <m:t>m</m:t>
                  </m:r>
                </m:e>
                <m:sup>
                  <m:r>
                    <m:rPr>
                      <m:sty m:val="p"/>
                    </m:rPr>
                    <m:t>3</m:t>
                  </m:r>
                </m:sup>
              </m:sSup>
              <m:r>
                <m:rPr>
                  <m:sty m:val="p"/>
                </m:rPr>
                <m:t>/</m:t>
              </m:r>
              <m:r>
                <m:rPr>
                  <m:sty m:val="p"/>
                </m:rPr>
                <m:t>h</m:t>
              </m:r>
            </m:oMath>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range is</w:t>
            </w:r>
            <w:r>
              <w:t xml:space="preserve"> </w:t>
            </w:r>
            <m:oMath>
              <m:r>
                <m:rPr>
                  <m:sty m:val="p"/>
                </m:rPr>
                <m:t>[</m:t>
              </m:r>
              <m:r>
                <m:t>6</m:t>
              </m:r>
              <m:r>
                <m:rPr>
                  <m:sty m:val="p"/>
                </m:rPr>
                <m:t>,</m:t>
              </m:r>
              <m:r>
                <m:t>15</m:t>
              </m:r>
              <m:r>
                <m:rPr>
                  <m:sty m:val="p"/>
                </m:rPr>
                <m:t>]</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0.9620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0.0045</m:t>
              </m:r>
              <m:r>
                <m:rPr>
                  <m:sty m:val="p"/>
                </m:rPr>
                <m:t>,</m:t>
              </m:r>
              <m:r>
                <m:t>0.6109</m:t>
              </m:r>
              <m:r>
                <m:rPr>
                  <m:sty m:val="p"/>
                </m:rPr>
                <m:t>]</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0.5957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0.6750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0.0431</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0.6675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1.1353</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0.5750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0.0218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0.5500</m:t>
              </m:r>
              <m:r>
                <m:rPr>
                  <m:sty m:val="p"/>
                </m:rPr>
                <m:t>,</m:t>
              </m:r>
              <m:r>
                <m:t>0.2750</m:t>
              </m:r>
              <m:r>
                <m:rPr>
                  <m:sty m:val="p"/>
                </m:rPr>
                <m:t>,</m:t>
              </m:r>
              <m:r>
                <m:t>0.1750</m:t>
              </m:r>
            </m:oMath>
          </w:p>
        </w:tc>
      </w:tr>
    </w:tbl>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Category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Unit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Goal</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Energy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daily energy consumption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Relative energy saving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chiller power</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Temperature control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smoothness</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Performance preservation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Control sparsity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Daily trigger count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Total action updates</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Actuation compression ratio</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Action reduction rate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Trigger interval</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Hold length</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Execution efficiency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Cumulative test reward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Average reward per update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1"/>
    <w:bookmarkStart w:id="52"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svg"/><Relationship Id="rId11" Type="http://schemas.openxmlformats.org/officeDocument/2006/relationships/image" Target="media/rId11.svg"/><Relationship Id="rId21" Type="http://schemas.openxmlformats.org/officeDocument/2006/relationships/image" Target="media/rId21.svg"/><Relationship Id="rId24" Type="http://schemas.openxmlformats.org/officeDocument/2006/relationships/image" Target="media/rId24.svg"/><Relationship Id="rId33" Type="http://schemas.openxmlformats.org/officeDocument/2006/relationships/image" Target="media/rId33.svg"/><Relationship Id="rId36" Type="http://schemas.openxmlformats.org/officeDocument/2006/relationships/image" Target="media/rId36.svg"/><Relationship Id="rId39" Type="http://schemas.openxmlformats.org/officeDocument/2006/relationships/image" Target="media/rId39.svg"/><Relationship Id="rId42" Type="http://schemas.openxmlformats.org/officeDocument/2006/relationships/image" Target="media/rId4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2026-06-24T04:01:51Z</dcterms:created>
  <dcterms:modified xsi:type="dcterms:W3CDTF">2026-06-24T04:01:51Z</dcterms:modified>
</cp:coreProperties>
</file>

<file path=docProps/custom.xml><?xml version="1.0" encoding="utf-8"?>
<Properties xmlns="http://schemas.openxmlformats.org/officeDocument/2006/custom-properties" xmlns:vt="http://schemas.openxmlformats.org/officeDocument/2006/docPropsVTypes"/>
</file>