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1.svg" ContentType="image/svg+xml"/>
  <Override PartName="/word/media/rId16.svg" ContentType="image/svg+xml"/>
  <Override PartName="/word/media/rId24.svg" ContentType="image/svg+xml"/>
  <Override PartName="/word/media/rId27.svg" ContentType="image/svg+xml"/>
  <Override PartName="/word/media/rId36.svg" ContentType="image/svg+xml"/>
  <Override PartName="/word/media/rId39.svg" ContentType="image/svg+xml"/>
  <Override PartName="/word/media/rId42.svg" ContentType="image/svg+xml"/>
  <Override PartName="/word/media/rId45.svg" ContentType="image/svg+xml"/>
  <Override PartName="/word/media/rId4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04cee04bf2a246021ce4e654352c5fc897f90d4"/>
    <w:p>
      <w:pPr>
        <w:pStyle w:val="Heading1"/>
      </w:pPr>
      <w:r>
        <w:t xml:space="preserve">HVAC Predictive Control Method Based on Dynamic Event Triggering</w:t>
      </w:r>
    </w:p>
    <w:bookmarkEnd w:id="9"/>
    <w:bookmarkStart w:id="10" w:name="abstract"/>
    <w:p>
      <w:pPr>
        <w:pStyle w:val="Heading1"/>
      </w:pPr>
      <w:r>
        <w:t xml:space="preserve">Abstract</w:t>
      </w:r>
    </w:p>
    <w:p>
      <w:pPr>
        <w:pStyle w:val="FirstParagraph"/>
      </w:pPr>
      <w:r>
        <w:t xml:space="preserve">Deep reinforcement learning (DRL) has shown strong potential for HVAC control, yet existing methods generally follow a fixed time-step control paradigm that cannot adapt the decision frequency to the intensity of load disturbances, resulting in an inherent trade-off between response speed and control cost. Event-triggered control (ETC) can mitigate this issue through on-demand update mechanisms, but existing schemes rely on static triggering rules that lack dynamic adaptability to long-term operating condition drift. To address these issues, we propose event-triggered predictive reinforcement learning with unsupervised dynamic event gating (ET-PRL), an on-demand control method that couples streaming anomaly gating with predictive reinforcement learning. ET-PRL reformulates event triggering as an online unsupervised anomaly detection problem, computes multi-scale anomaly scores through a streaming isolation depth mechanism, and determines whether to trigger a control update using a local-global two-layer adaptive threshold. This enables the method to update the chilled water supply temperature setpoint only when the system state deviates significantly from recent patterns, while holding the previous setpoint via a zero-order hold during stable periods, which reduces unnecessary actuator switching, allows the chiller to maintain steady-state operation for longer durations, and suppresses cycling losses caused by frequent adjustments. Experiments on 102 days of real chiller operation data show that ET-PRL reduces action updates by 53.54%, achieves a 2.13% energy saving, and retains 94.41% of baseline performance, thereby offering a better trade-off between control accuracy and execution cost for building HVAC control.</w:t>
      </w:r>
    </w:p>
    <w:bookmarkEnd w:id="10"/>
    <w:bookmarkStart w:id="14" w:name="introduction"/>
    <w:p>
      <w:pPr>
        <w:pStyle w:val="Heading1"/>
      </w:pPr>
      <w:r>
        <w:t xml:space="preserve">1. Introduction</w:t>
      </w:r>
    </w:p>
    <w:p>
      <w:pPr>
        <w:pStyle w:val="FirstParagraph"/>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pPr>
        <w:pStyle w:val="BodyText"/>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pPr>
        <w:pStyle w:val="BodyText"/>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periods to suppress redundant execution. Therefore, the dynamic-threshold update strategy enables a more effective balance between control responsiveness and execution cost.</w:t>
      </w:r>
    </w:p>
    <w:p>
      <w:pPr>
        <w:pStyle w:val="CaptionedFigure"/>
      </w:pPr>
      <w:r>
        <w:drawing>
          <wp:inline>
            <wp:extent cx="5334000" cy="1738273"/>
            <wp:effectExtent b="0" l="0" r="0" t="0"/>
            <wp:docPr descr="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title="" id="12" name="Picture"/>
            <a:graphic>
              <a:graphicData uri="http://schemas.openxmlformats.org/drawingml/2006/picture">
                <pic:pic>
                  <pic:nvPicPr>
                    <pic:cNvPr descr="../pics/fig1_update_strategy_comparison.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5334000" cy="1738273"/>
                    </a:xfrm>
                    <a:prstGeom prst="rect">
                      <a:avLst/>
                    </a:prstGeom>
                    <a:noFill/>
                    <a:ln w="9525">
                      <a:noFill/>
                      <a:headEnd/>
                      <a:tailEnd/>
                    </a:ln>
                  </pic:spPr>
                </pic:pic>
              </a:graphicData>
            </a:graphic>
          </wp:inline>
        </w:drawing>
      </w:r>
    </w:p>
    <w:p>
      <w:pPr>
        <w:pStyle w:val="ImageCaption"/>
      </w:pPr>
      <w:r>
        <w:t xml:space="preserve">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pPr>
        <w:pStyle w:val="BodyText"/>
      </w:pPr>
      <w:r>
        <w:t xml:space="preserve">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pPr>
        <w:numPr>
          <w:ilvl w:val="0"/>
          <w:numId w:val="1001"/>
        </w:numPr>
      </w:pPr>
      <w:r>
        <w:rPr>
          <w:b/>
          <w:bCs/>
        </w:rPr>
        <w:t xml:space="preserve">We reformulate HVAC event triggering as an online unsupervised anomaly detection problem</w:t>
      </w:r>
      <w:r>
        <w:t xml:space="preserve">: Instead of relying on expert-defined static thresholds, we redefine triggering as whether the current system state has deviated significantly from its recent normal pattern, enabling a data-driven gating mechanism that adapts to varying operating conditions without site-specific tuning.</w:t>
      </w:r>
    </w:p>
    <w:p>
      <w:pPr>
        <w:numPr>
          <w:ilvl w:val="0"/>
          <w:numId w:val="1001"/>
        </w:numPr>
      </w:pPr>
      <w:r>
        <w:rPr>
          <w:b/>
          <w:bCs/>
        </w:rPr>
        <w:t xml:space="preserve">We design a streaming multi-scale isolation depth gating mechanism with a two-layer adaptive threshold</w:t>
      </w:r>
      <w:r>
        <w:t xml:space="preserve">: We develop a gating module that computes scale-specific anomaly scores via streaming isolation depth over short, medium, and long sliding windows, fuses them through weighted aggregation, and determines triggering decisions through a local-global two-layer adaptive threshold to jointly capture high-frequency disturbances, intraday cycles, and seasonal drift.</w:t>
      </w:r>
    </w:p>
    <w:p>
      <w:pPr>
        <w:numPr>
          <w:ilvl w:val="0"/>
          <w:numId w:val="1001"/>
        </w:numPr>
      </w:pPr>
      <w:r>
        <w:rPr>
          <w:b/>
          <w:bCs/>
        </w:rPr>
        <w:t xml:space="preserve">We construct an event-driven predictive execution scheme and validate it on real-world chiller data</w:t>
      </w:r>
      <w:r>
        <w:t xml:space="preserve">: We build an execution scheme that decouples triggering from policy inference, where the predictive DQN is activated only upon a trigger while a zero-order hold maintains the previous setpoint during stable periods. Validated on real commercial building chiller data, the proposed method substantially reduces action updates, achieves energy savings, and retains most of the baseline performance. The code and data are available at https://github.com/landfallbox/ET-PRL.git.</w:t>
      </w:r>
    </w:p>
    <w:bookmarkEnd w:id="14"/>
    <w:bookmarkStart w:id="15" w:name="related-work"/>
    <w:p>
      <w:pPr>
        <w:pStyle w:val="Heading1"/>
      </w:pPr>
      <w:r>
        <w:t xml:space="preserve">2. Related Work</w:t>
      </w:r>
    </w:p>
    <w:p>
      <w:pPr>
        <w:pStyle w:val="FirstParagraph"/>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pPr>
        <w:pStyle w:val="BodyText"/>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pPr>
        <w:pStyle w:val="BodyText"/>
      </w:pPr>
      <w:r>
        <w:t xml:space="preserve">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pPr>
        <w:pStyle w:val="BodyText"/>
      </w:pPr>
      <w:r>
        <w:t xml:space="preserve">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bookmarkEnd w:id="15"/>
    <w:bookmarkStart w:id="22" w:name="methodology"/>
    <w:p>
      <w:pPr>
        <w:pStyle w:val="Heading1"/>
      </w:pPr>
      <w:r>
        <w:t xml:space="preserve">3. Methodology</w:t>
      </w:r>
    </w:p>
    <w:p>
      <w:pPr>
        <w:pStyle w:val="FirstParagraph"/>
      </w:pPr>
      <w:r>
        <w:t xml:space="preserve">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 The overall architecture of the proposed method is shown in Figure 2.</w:t>
      </w:r>
    </w:p>
    <w:p>
      <w:pPr>
        <w:pStyle w:val="CaptionedFigure"/>
      </w:pPr>
      <w:r>
        <w:drawing>
          <wp:inline>
            <wp:extent cx="5334000" cy="2000539"/>
            <wp:effectExtent b="0" l="0" r="0" t="0"/>
            <wp:docPr descr="Figure 2 Architecture of the proposed ET-PRL method, comprising offline training and model preparation (Step 1) and online streaming event detection and control (Step 2)" title="" id="17" name="Picture"/>
            <a:graphic>
              <a:graphicData uri="http://schemas.openxmlformats.org/drawingml/2006/picture">
                <pic:pic>
                  <pic:nvPicPr>
                    <pic:cNvPr descr="../pics/fig2_plain.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2000539"/>
                    </a:xfrm>
                    <a:prstGeom prst="rect">
                      <a:avLst/>
                    </a:prstGeom>
                    <a:noFill/>
                    <a:ln w="9525">
                      <a:noFill/>
                      <a:headEnd/>
                      <a:tailEnd/>
                    </a:ln>
                  </pic:spPr>
                </pic:pic>
              </a:graphicData>
            </a:graphic>
          </wp:inline>
        </w:drawing>
      </w:r>
    </w:p>
    <w:p>
      <w:pPr>
        <w:pStyle w:val="ImageCaption"/>
      </w:pPr>
      <w:r>
        <w:t xml:space="preserve">Figure 2 Architecture of the proposed ET-PRL method, comprising offline training and model preparation (Step 1) and online streaming event detection and control (Step 2)</w:t>
      </w:r>
    </w:p>
    <w:p>
      <w:pPr>
        <w:pStyle w:val="BodyText"/>
      </w:pPr>
      <w:r>
        <w:t xml:space="preserve">Figure 2 presents the architecture of the proposed ET-PRL method, which comprises two stages: offline training and model preparation (Step 1), and online streaming event detection and control (Step 2).</w:t>
      </w:r>
    </w:p>
    <w:p>
      <w:pPr>
        <w:pStyle w:val="BodyText"/>
      </w:pPr>
      <w:r>
        <w:t xml:space="preserve">In Step 1, historical operating data are used to train the load prediction model and the DQN policy offline. The LSTM provides a one-step-ahead cooling load estimate, which is combined with the current cooling load and outdoor wet-bulb temperature to form the compact state used by the controller. After training, both models are kept fixed during online deployment.</w:t>
      </w:r>
    </w:p>
    <w:p>
      <w:pPr>
        <w:pStyle w:val="BodyText"/>
      </w:pPr>
      <w:r>
        <w:t xml:space="preserve">In Step 2, real-time measurements are continuously converted into the current state and passed to the online streaming gate. The gate compares the current operating condition with recent patterns through multi-scale tracking and an adaptive threshold, and then determines whether a new control update is needed. If an event is triggered, the DQN generates a new chilled water supply temperature setpoint. Otherwise, the previous setpoint is held by zero-order hold (ZOH). In this way, the method remains responsive during significant operating changes while reducing redundant updates during stable operation.</w:t>
      </w:r>
    </w:p>
    <w:bookmarkStart w:id="19" w:name="X9bb8af0081899262cc0b5b10d5c210e7c23309e"/>
    <w:p>
      <w:pPr>
        <w:pStyle w:val="Heading2"/>
      </w:pPr>
      <w:r>
        <w:t xml:space="preserve">3.1 Dynamic Event Triggering Design Based on Streaming Feature Tracking</w:t>
      </w:r>
    </w:p>
    <w:p>
      <w:pPr>
        <w:pStyle w:val="FirstParagraph"/>
      </w:pPr>
      <w:r>
        <w:t xml:space="preserve">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pPr>
        <w:pStyle w:val="BodyText"/>
      </w:pPr>
      <w:r>
        <w:t xml:space="preserve">Let the system state feature vector be</w:t>
      </w:r>
      <w:r>
        <w:t xml:space="preserve"> </w:t>
      </w:r>
      <m:oMath>
        <m:sSub>
          <m:e>
            <m:r>
              <m:t>s</m:t>
            </m:r>
          </m:e>
          <m:sub>
            <m:r>
              <m:t>t</m:t>
            </m:r>
          </m:sub>
        </m:sSub>
        <m:r>
          <m:rPr>
            <m:sty m:val="p"/>
          </m:rPr>
          <m:t>∈</m:t>
        </m:r>
        <m:sSup>
          <m:e>
            <m:r>
              <m:rPr>
                <m:scr m:val="double-struck"/>
                <m:sty m:val="p"/>
              </m:rPr>
              <m:t>R</m:t>
            </m:r>
          </m:e>
          <m:sup>
            <m:r>
              <m:t>d</m:t>
            </m:r>
          </m:sup>
        </m:sSup>
      </m:oMath>
      <w:r>
        <w:t xml:space="preserve">, the event label be</w:t>
      </w:r>
      <w:r>
        <w:t xml:space="preserve"> </w:t>
      </w:r>
      <m:oMath>
        <m:sSub>
          <m:e>
            <m:r>
              <m:t>e</m:t>
            </m:r>
          </m:e>
          <m:sub>
            <m:r>
              <m:t>t</m:t>
            </m:r>
          </m:sub>
        </m:sSub>
        <m:r>
          <m:rPr>
            <m:sty m:val="p"/>
          </m:rPr>
          <m:t>∈</m:t>
        </m:r>
        <m:r>
          <m:rPr>
            <m:sty m:val="p"/>
          </m:rPr>
          <m:t>{</m:t>
        </m:r>
        <m:r>
          <m:t>0</m:t>
        </m:r>
        <m:r>
          <m:rPr>
            <m:sty m:val="p"/>
          </m:rPr>
          <m:t>,</m:t>
        </m:r>
        <m:r>
          <m:t>1</m:t>
        </m:r>
        <m:r>
          <m:rPr>
            <m:sty m:val="p"/>
          </m:rPr>
          <m:t>}</m:t>
        </m:r>
      </m:oMath>
      <w:r>
        <w:t xml:space="preserve">, and the normal reference distribution at time step</w:t>
      </w:r>
      <w:r>
        <w:t xml:space="preserve"> </w:t>
      </w:r>
      <m:oMath>
        <m:r>
          <m:t>t</m:t>
        </m:r>
      </m:oMath>
      <w:r>
        <w:t xml:space="preserve"> </w:t>
      </w:r>
      <w:r>
        <w:t xml:space="preserve">be denoted by</w:t>
      </w:r>
      <w:r>
        <w:t xml:space="preserve"> </w:t>
      </w:r>
      <m:oMath>
        <m:sSubSup>
          <m:e>
            <m:r>
              <m:rPr>
                <m:scr m:val="script"/>
                <m:sty m:val="p"/>
              </m:rPr>
              <m:t>P</m:t>
            </m:r>
          </m:e>
          <m:sub>
            <m:r>
              <m:t>t</m:t>
            </m:r>
          </m:sub>
          <m:sup>
            <m:r>
              <m:rPr>
                <m:nor/>
                <m:sty m:val="p"/>
              </m:rPr>
              <m:t>norm</m:t>
            </m:r>
          </m:sup>
        </m:sSubSup>
      </m:oMath>
      <w:r>
        <w:t xml:space="preserve">. The event set is defined as Eq. (1):</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that equals 1 when the condition holds and 0 otherwise;</w:t>
      </w:r>
      <w:r>
        <w:t xml:space="preserve"> </w:t>
      </w:r>
      <m:oMath>
        <m:r>
          <m:t>d</m:t>
        </m:r>
        <m:r>
          <m:rPr>
            <m:sty m:val="p"/>
          </m:rPr>
          <m:t>(</m:t>
        </m:r>
        <m:r>
          <m:rPr>
            <m:sty m:val="p"/>
          </m:rPr>
          <m:t>⋅</m:t>
        </m:r>
        <m:r>
          <m:rPr>
            <m:sty m:val="p"/>
          </m:rPr>
          <m:t>)</m:t>
        </m:r>
      </m:oMath>
      <w:r>
        <w:t xml:space="preserve"> </w:t>
      </w:r>
      <w:r>
        <w:t xml:space="preserve">denotes the distribution deviation metric, and</w:t>
      </w:r>
      <w:r>
        <w:t xml:space="preserve"> </w:t>
      </w:r>
      <m:oMath>
        <m:sSub>
          <m:e>
            <m:r>
              <m:t>δ</m:t>
            </m:r>
          </m:e>
          <m:sub>
            <m:r>
              <m:t>t</m:t>
            </m:r>
          </m:sub>
        </m:sSub>
      </m:oMath>
      <w:r>
        <w:t xml:space="preserve"> </w:t>
      </w:r>
      <w:r>
        <w:t xml:space="preserve">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pPr>
        <w:pStyle w:val="BodyText"/>
      </w:pPr>
      <w:r>
        <w:t xml:space="preserve">To convert distribution-level deviation testing into a scalar decision rule that can be updated in a streaming manner, an anomaly score function</w:t>
      </w:r>
      <w:r>
        <w:t xml:space="preserve"> </w:t>
      </w:r>
      <m:oMath>
        <m:r>
          <m:t>A</m:t>
        </m:r>
        <m:r>
          <m:rPr>
            <m:sty m:val="p"/>
          </m:rPr>
          <m:t>(</m:t>
        </m:r>
        <m:sSub>
          <m:e>
            <m:r>
              <m:t>s</m:t>
            </m:r>
          </m:e>
          <m:sub>
            <m:r>
              <m:t>t</m:t>
            </m:r>
          </m:sub>
        </m:sSub>
        <m:r>
          <m:rPr>
            <m:sty m:val="p"/>
          </m:rPr>
          <m:t>)</m:t>
        </m:r>
      </m:oMath>
      <w:r>
        <w:t xml:space="preserve"> </w:t>
      </w:r>
      <w:r>
        <w:t xml:space="preserve">is used as a scalar proxy for the distribution deviation metric</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and the set-based rule is converted into a computable threshold comparison as Eq. (2):</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t xml:space="preserve">where a larger</w:t>
      </w:r>
      <w:r>
        <w:t xml:space="preserve"> </w:t>
      </w:r>
      <m:oMath>
        <m:r>
          <m:t>A</m:t>
        </m:r>
        <m:r>
          <m:rPr>
            <m:sty m:val="p"/>
          </m:rPr>
          <m:t>(</m:t>
        </m:r>
        <m:sSub>
          <m:e>
            <m:r>
              <m:t>s</m:t>
            </m:r>
          </m:e>
          <m:sub>
            <m:r>
              <m:t>t</m:t>
            </m:r>
          </m:sub>
        </m:sSub>
        <m:r>
          <m:rPr>
            <m:sty m:val="p"/>
          </m:rPr>
          <m:t>)</m:t>
        </m:r>
      </m:oMath>
      <w:r>
        <w:t xml:space="preserve"> </w:t>
      </w:r>
      <w:r>
        <w:t xml:space="preserve">indicates a stronger deviation from normal behavior, and</w:t>
      </w:r>
      <w:r>
        <w:t xml:space="preserve"> </w:t>
      </w:r>
      <m:oMath>
        <m:sSub>
          <m:e>
            <m:r>
              <m:t>τ</m:t>
            </m:r>
          </m:e>
          <m:sub>
            <m:r>
              <m:t>t</m:t>
            </m:r>
          </m:sub>
        </m:sSub>
      </m:oMath>
      <w:r>
        <w:t xml:space="preserve"> </w:t>
      </w:r>
      <w:r>
        <w:t xml:space="preserve">is the trigger threshold, which is the computable counterpart of the decision threshold</w:t>
      </w:r>
      <w:r>
        <w:t xml:space="preserve"> </w:t>
      </w:r>
      <m:oMath>
        <m:sSub>
          <m:e>
            <m:r>
              <m:t>δ</m:t>
            </m:r>
          </m:e>
          <m:sub>
            <m:r>
              <m:t>t</m:t>
            </m:r>
          </m:sub>
        </m:sSub>
      </m:oMath>
      <w:r>
        <w:t xml:space="preserve"> </w:t>
      </w:r>
      <w:r>
        <w:t xml:space="preserve">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pPr>
        <w:pStyle w:val="BodyText"/>
      </w:pPr>
      <w:r>
        <w:t xml:space="preserve">Considering the non-stationarity caused by weather disturbances, equipment aging, and load behavior drift during long-term HVAC operation, the threshold is updated through a streaming adaptive mechanism rather than fixed value as Eq. (3):</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pPr>
        <w:pStyle w:val="Compact"/>
        <w:numPr>
          <w:ilvl w:val="0"/>
          <w:numId w:val="1002"/>
        </w:numPr>
      </w:pPr>
      <w:r>
        <w:t xml:space="preserve">Definition of System State Features</w:t>
      </w:r>
    </w:p>
    <w:p>
      <w:pPr>
        <w:pStyle w:val="FirstParagraph"/>
      </w:pPr>
      <w:r>
        <w:t xml:space="preserve">The event gating module and the reinforcement learning controller share the same state feature which is defined as a compact three-dimensional feature vector as Eq. (4):</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t xml:space="preserve">where, at time step</w:t>
      </w:r>
      <w:r>
        <w:t xml:space="preserve"> </w:t>
      </w:r>
      <m:oMath>
        <m:r>
          <m:t>t</m:t>
        </m:r>
      </m:oMath>
      <w:r>
        <w:t xml:space="preserve">,</w:t>
      </w:r>
      <w:r>
        <w:t xml:space="preserve"> </w:t>
      </w:r>
      <m:oMath>
        <m:sSubSup>
          <m:e>
            <m:r>
              <m:t>Q</m:t>
            </m:r>
          </m:e>
          <m:sub>
            <m:r>
              <m:t>l</m:t>
            </m:r>
            <m:r>
              <m:t>o</m:t>
            </m:r>
            <m:r>
              <m:t>a</m:t>
            </m:r>
            <m:r>
              <m:t>d</m:t>
            </m:r>
          </m:sub>
          <m:sup>
            <m:r>
              <m:t>t</m:t>
            </m:r>
          </m:sup>
        </m:sSubSup>
      </m:oMath>
      <w:r>
        <w:t xml:space="preserve"> </w:t>
      </w:r>
      <w:r>
        <w:t xml:space="preserve">denotes the system cooling load,</w:t>
      </w:r>
      <w:r>
        <w:t xml:space="preserve"> </w:t>
      </w:r>
      <m:oMath>
        <m:sSubSup>
          <m:e>
            <m:r>
              <m:t>T</m:t>
            </m:r>
          </m:e>
          <m:sub>
            <m:r>
              <m:t>w</m:t>
            </m:r>
            <m:r>
              <m:t>b</m:t>
            </m:r>
          </m:sub>
          <m:sup>
            <m:r>
              <m:t>t</m:t>
            </m:r>
          </m:sup>
        </m:sSubSup>
      </m:oMath>
      <w:r>
        <w:t xml:space="preserve"> </w:t>
      </w:r>
      <w:r>
        <w:t xml:space="preserve">denotes the outdoor wet-bulb temperature, and</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denotes the one-step-ahead short-term prediction of the system cooling load.</w:t>
      </w:r>
    </w:p>
    <w:p>
      <w:pPr>
        <w:pStyle w:val="BodyText"/>
      </w:pPr>
      <w:r>
        <w:t xml:space="preserve">The main reason for selecting</w:t>
      </w:r>
      <w:r>
        <w:t xml:space="preserve"> </w:t>
      </w:r>
      <m:oMath>
        <m:sSubSup>
          <m:e>
            <m:r>
              <m:t>T</m:t>
            </m:r>
          </m:e>
          <m:sub>
            <m:r>
              <m:t>w</m:t>
            </m:r>
            <m:r>
              <m:t>b</m:t>
            </m:r>
          </m:sub>
          <m:sup>
            <m:r>
              <m:t>t</m:t>
            </m:r>
          </m:sup>
        </m:sSubSup>
      </m:oMath>
      <w:r>
        <w:t xml:space="preserve"> </w:t>
      </w:r>
      <w:r>
        <w:t xml:space="preserve">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pPr>
        <w:pStyle w:val="Compact"/>
        <w:numPr>
          <w:ilvl w:val="0"/>
          <w:numId w:val="1003"/>
        </w:numPr>
      </w:pPr>
      <w:r>
        <w:t xml:space="preserve">Streaming Isolation Depth and Multi-Scale Anomaly Tracking</w:t>
      </w:r>
    </w:p>
    <w:p>
      <w:pPr>
        <w:pStyle w:val="FirstParagraph"/>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w:t>
      </w:r>
      <w:r>
        <w:t xml:space="preserve"> </w:t>
      </w:r>
      <m:oMath>
        <m:sSub>
          <m:e>
            <m:r>
              <m:t>s</m:t>
            </m:r>
          </m:e>
          <m:sub>
            <m:r>
              <m:t>t</m:t>
            </m:r>
          </m:sub>
        </m:sSub>
      </m:oMath>
      <w:r>
        <w:t xml:space="preserve"> </w:t>
      </w:r>
      <w:r>
        <w:t xml:space="preserve">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pPr>
        <w:pStyle w:val="BodyText"/>
      </w:pPr>
      <w:r>
        <w:t xml:space="preserve">Each isolation tree isolates data points by recursively selecting random features and split state points. For a state point</w:t>
      </w:r>
      <w:r>
        <w:t xml:space="preserve"> </w:t>
      </w:r>
      <m:oMath>
        <m:sSub>
          <m:e>
            <m:r>
              <m:t>s</m:t>
            </m:r>
          </m:e>
          <m:sub>
            <m:r>
              <m:t>t</m:t>
            </m:r>
          </m:sub>
        </m:sSub>
      </m:oMath>
      <w:r>
        <w:t xml:space="preserve">, search is performed on</w:t>
      </w:r>
      <w:r>
        <w:t xml:space="preserve"> </w:t>
      </w:r>
      <m:oMath>
        <m:r>
          <m:t>ψ</m:t>
        </m:r>
      </m:oMath>
      <w:r>
        <w:t xml:space="preserve"> </w:t>
      </w:r>
      <w:r>
        <w:t xml:space="preserve">isolation trees built from the sliding reference window, and</w:t>
      </w:r>
      <w:r>
        <w:t xml:space="preserve"> </w:t>
      </w:r>
      <m:oMath>
        <m:sSub>
          <m:e>
            <m:r>
              <m:t>h</m:t>
            </m:r>
          </m:e>
          <m:sub>
            <m:r>
              <m:t>j</m:t>
            </m:r>
          </m:sub>
        </m:sSub>
        <m:r>
          <m:rPr>
            <m:sty m:val="p"/>
          </m:rPr>
          <m:t>(</m:t>
        </m:r>
        <m:sSub>
          <m:e>
            <m:r>
              <m:t>s</m:t>
            </m:r>
          </m:e>
          <m:sub>
            <m:r>
              <m:t>t</m:t>
            </m:r>
          </m:sub>
        </m:sSub>
        <m:r>
          <m:rPr>
            <m:sty m:val="p"/>
          </m:rPr>
          <m:t>)</m:t>
        </m:r>
      </m:oMath>
      <w:r>
        <w:t xml:space="preserve"> </w:t>
      </w:r>
      <w:r>
        <w:t xml:space="preserve">denotes the path length on the</w:t>
      </w:r>
      <w:r>
        <w:t xml:space="preserve"> </w:t>
      </w:r>
      <m:oMath>
        <m:r>
          <m:t>j</m:t>
        </m:r>
      </m:oMath>
      <w:r>
        <w:t xml:space="preserve">-th tree, where the path length is defined as the number of edges from the root node to the leaf node. The average isolation depth of the sample is defined as Eq. (5):</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t xml:space="preserve">Thereafter,</w:t>
      </w:r>
      <w:r>
        <w:t xml:space="preserve"> </w:t>
      </w:r>
      <m:oMath>
        <m:sSub>
          <m:e>
            <m:r>
              <m:t>h</m:t>
            </m:r>
          </m:e>
          <m:sub>
            <m:r>
              <m:rPr>
                <m:sty m:val="p"/>
              </m:rPr>
              <m:t>i</m:t>
            </m:r>
            <m:r>
              <m:rPr>
                <m:sty m:val="p"/>
              </m:rPr>
              <m:t>s</m:t>
            </m:r>
            <m:r>
              <m:rPr>
                <m:sty m:val="p"/>
              </m:rPr>
              <m:t>o</m:t>
            </m:r>
          </m:sub>
        </m:sSub>
        <m:r>
          <m:rPr>
            <m:sty m:val="p"/>
          </m:rPr>
          <m:t>(</m:t>
        </m:r>
        <m:sSub>
          <m:e>
            <m:r>
              <m:t>s</m:t>
            </m:r>
          </m:e>
          <m:sub>
            <m:r>
              <m:t>t</m:t>
            </m:r>
          </m:sub>
        </m:sSub>
        <m:r>
          <m:rPr>
            <m:sty m:val="p"/>
          </m:rPr>
          <m:t>)</m:t>
        </m:r>
      </m:oMath>
      <w:r>
        <w:t xml:space="preserve"> </w:t>
      </w:r>
      <w:r>
        <w:t xml:space="preserve">is further converted into a normalized anomaly score as Eq. (6), where</w:t>
      </w:r>
      <w:r>
        <w:t xml:space="preserve"> </w:t>
      </w:r>
      <m:oMath>
        <m:r>
          <m:t>m</m:t>
        </m:r>
      </m:oMath>
      <w:r>
        <w:t xml:space="preserve"> </w:t>
      </w:r>
      <w:r>
        <w:t xml:space="preserve">is the number of samples in the reference set and</w:t>
      </w:r>
      <w:r>
        <w:t xml:space="preserve"> </w:t>
      </w:r>
      <m:oMath>
        <m:r>
          <m:t>C</m:t>
        </m:r>
        <m:r>
          <m:rPr>
            <m:sty m:val="p"/>
          </m:rPr>
          <m:t>(</m:t>
        </m:r>
        <m:r>
          <m:t>m</m:t>
        </m:r>
        <m:r>
          <m:rPr>
            <m:sty m:val="p"/>
          </m:rPr>
          <m:t>)</m:t>
        </m:r>
      </m:oMath>
      <w:r>
        <w:t xml:space="preserve"> </w:t>
      </w:r>
      <w:r>
        <w:t xml:space="preserve">is the corresponding baseline for average path length.</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t xml:space="preserve">The normalization constant is computed as</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t xml:space="preserve">, where</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t xml:space="preserve">is the harmonic series which maps the anomaly score to the interval</w:t>
      </w:r>
      <w:r>
        <w:t xml:space="preserve"> </w:t>
      </w:r>
      <m:oMath>
        <m:r>
          <m:rPr>
            <m:sty m:val="p"/>
          </m:rPr>
          <m:t>(</m:t>
        </m:r>
        <m:r>
          <m:t>0</m:t>
        </m:r>
        <m:r>
          <m:rPr>
            <m:sty m:val="p"/>
          </m:rPr>
          <m:t>,</m:t>
        </m:r>
        <m:r>
          <m:t>1</m:t>
        </m:r>
        <m:r>
          <m:rPr>
            <m:sty m:val="p"/>
          </m:rPr>
          <m:t>)</m:t>
        </m:r>
      </m:oMath>
      <w:r>
        <w:t xml:space="preserve">: shorter paths yield scores closer to 1, indicating easy isolation, whereas longer paths yield scores closer to 0, indicating difficulty of isolation.</w:t>
      </w:r>
    </w:p>
    <w:p>
      <w:pPr>
        <w:pStyle w:val="BodyText"/>
      </w:pPr>
      <w:r>
        <w:t xml:space="preserve">The computation process maintains three sliding reference windows of different sizes to form multi-scale dynamic reference sets. The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contains the most recent</w:t>
      </w:r>
      <w:r>
        <w:t xml:space="preserve"> </w:t>
      </w:r>
      <m:oMath>
        <m:sSub>
          <m:e>
            <m:r>
              <m:t>n</m:t>
            </m:r>
          </m:e>
          <m:sub>
            <m:r>
              <m:t>s</m:t>
            </m:r>
          </m:sub>
        </m:sSub>
      </m:oMath>
      <w:r>
        <w:t xml:space="preserve"> </w:t>
      </w:r>
      <w:r>
        <w:t xml:space="preserve">data points and is used to capture high-frequency fluctuations. The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contains the most recent</w:t>
      </w:r>
      <w:r>
        <w:t xml:space="preserve"> </w:t>
      </w:r>
      <m:oMath>
        <m:sSub>
          <m:e>
            <m:r>
              <m:t>n</m:t>
            </m:r>
          </m:e>
          <m:sub>
            <m:r>
              <m:t>m</m:t>
            </m:r>
          </m:sub>
        </m:sSub>
      </m:oMath>
      <w:r>
        <w:t xml:space="preserve"> </w:t>
      </w:r>
      <w:r>
        <w:t xml:space="preserve">data points and is used to represent the intraday cycle. The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contains the most recent</w:t>
      </w:r>
      <w:r>
        <w:t xml:space="preserve"> </w:t>
      </w:r>
      <m:oMath>
        <m:sSub>
          <m:e>
            <m:r>
              <m:t>n</m:t>
            </m:r>
          </m:e>
          <m:sub>
            <m:r>
              <m:t>l</m:t>
            </m:r>
          </m:sub>
        </m:sSub>
      </m:oMath>
      <w:r>
        <w:t xml:space="preserve"> </w:t>
      </w:r>
      <w:r>
        <w:t xml:space="preserve">data points and is used to describe seasonal drift, with</w:t>
      </w:r>
      <w:r>
        <w:t xml:space="preserve"> </w:t>
      </w:r>
      <m:oMath>
        <m:sSub>
          <m:e>
            <m:r>
              <m:t>n</m:t>
            </m:r>
          </m:e>
          <m:sub>
            <m:r>
              <m:t>s</m:t>
            </m:r>
          </m:sub>
        </m:sSub>
        <m:r>
          <m:rPr>
            <m:sty m:val="p"/>
          </m:rPr>
          <m:t>&lt;</m:t>
        </m:r>
        <m:sSub>
          <m:e>
            <m:r>
              <m:t>n</m:t>
            </m:r>
          </m:e>
          <m:sub>
            <m:r>
              <m:t>m</m:t>
            </m:r>
          </m:sub>
        </m:sSub>
        <m:r>
          <m:rPr>
            <m:sty m:val="p"/>
          </m:rPr>
          <m:t>&lt;</m:t>
        </m:r>
        <m:sSub>
          <m:e>
            <m:r>
              <m:t>n</m:t>
            </m:r>
          </m:e>
          <m:sub>
            <m:r>
              <m:t>l</m:t>
            </m:r>
          </m:sub>
        </m:sSub>
      </m:oMath>
      <w:r>
        <w:t xml:space="preserve">. Isolation trees are applied independently to each window, and an anomaly score is produced at each scale at every time step. Let</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t xml:space="preserve"> </w:t>
      </w:r>
      <w:r>
        <w:t xml:space="preserve">and let</w:t>
      </w:r>
      <w:r>
        <w:t xml:space="preserve"> </w:t>
      </w:r>
      <m:oMath>
        <m:sSub>
          <m:e>
            <m:r>
              <m:t>n</m:t>
            </m:r>
          </m:e>
          <m:sub>
            <m:r>
              <m:t>κ</m:t>
            </m:r>
          </m:sub>
        </m:sSub>
      </m:oMath>
      <w:r>
        <w:t xml:space="preserve"> </w:t>
      </w:r>
      <w:r>
        <w:t xml:space="preserve">denote the corresponding window size. The corresponding scale-specific anomaly score is given by Eq. (7):</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t xml:space="preserve">All scale-specific scores are normalized to the interval</w:t>
      </w:r>
      <w:r>
        <w:t xml:space="preserve"> </w:t>
      </w:r>
      <m:oMath>
        <m:r>
          <m:rPr>
            <m:sty m:val="p"/>
          </m:rPr>
          <m:t>[</m:t>
        </m:r>
        <m:r>
          <m:t>0</m:t>
        </m:r>
        <m:r>
          <m:rPr>
            <m:sty m:val="p"/>
          </m:rPr>
          <m:t>,</m:t>
        </m:r>
        <m:r>
          <m:t>1</m:t>
        </m:r>
        <m:r>
          <m:rPr>
            <m:sty m:val="p"/>
          </m:rPr>
          <m:t>]</m:t>
        </m:r>
      </m:oMath>
      <w:r>
        <w:t xml:space="preserve">. The overall anomaly score is defined as a weighted fusion of the three scale-specific scores as Eq. (8).</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t xml:space="preserve">where</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t xml:space="preserve">and</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which represent the fusion weights of the corresponding time scales.</w:t>
      </w:r>
    </w:p>
    <w:p>
      <w:pPr>
        <w:pStyle w:val="BodyText"/>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pPr>
        <w:pStyle w:val="Compact"/>
        <w:numPr>
          <w:ilvl w:val="0"/>
          <w:numId w:val="1004"/>
        </w:numPr>
      </w:pPr>
      <w:r>
        <w:t xml:space="preserve">Streaming Two-Layer Adaptive Threshold Optimization</w:t>
      </w:r>
    </w:p>
    <w:p>
      <w:pPr>
        <w:pStyle w:val="FirstParagraph"/>
      </w:pPr>
      <w:r>
        <w:t xml:space="preserve">Eq. (8) provides the multi-scale fused anomaly score</w:t>
      </w:r>
      <w:r>
        <w:t xml:space="preserve"> </w:t>
      </w:r>
      <m:oMath>
        <m:r>
          <m:t>A</m:t>
        </m:r>
        <m:r>
          <m:rPr>
            <m:sty m:val="p"/>
          </m:rPr>
          <m:t>(</m:t>
        </m:r>
        <m:sSub>
          <m:e>
            <m:r>
              <m:t>s</m:t>
            </m:r>
          </m:e>
          <m:sub>
            <m:r>
              <m:t>t</m:t>
            </m:r>
          </m:sub>
        </m:sSub>
        <m:r>
          <m:rPr>
            <m:sty m:val="p"/>
          </m:rPr>
          <m:t>)</m:t>
        </m:r>
      </m:oMath>
      <w:r>
        <w:t xml:space="preserve">, but the triggering decision still requires comparing this score against a threshold</w:t>
      </w:r>
      <w:r>
        <w:t xml:space="preserve"> </w:t>
      </w:r>
      <m:oMath>
        <m:sSub>
          <m:e>
            <m:r>
              <m:t>τ</m:t>
            </m:r>
          </m:e>
          <m:sub>
            <m:r>
              <m:t>t</m:t>
            </m:r>
          </m:sub>
        </m:sSub>
      </m:oMath>
      <w:r>
        <w:t xml:space="preserve">,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pPr>
        <w:pStyle w:val="BodyText"/>
      </w:pPr>
      <w:r>
        <w:t xml:space="preserve">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pPr>
        <w:pStyle w:val="BodyText"/>
      </w:pPr>
      <w:r>
        <w:t xml:space="preserve">To reduce the influence of anomalous samples on location and scale statistics, we employ two robust statistics to construct the candidate threshold: an upper-quantile-based threshold</w:t>
      </w:r>
      <w:r>
        <w:t xml:space="preserve"> </w:t>
      </w:r>
      <m:oMath>
        <m:sSubSup>
          <m:e>
            <m:r>
              <m:t>τ</m:t>
            </m:r>
          </m:e>
          <m:sub>
            <m:r>
              <m:t>q</m:t>
            </m:r>
          </m:sub>
          <m:sup>
            <m:r>
              <m:rPr>
                <m:sty m:val="p"/>
              </m:rPr>
              <m:t>(</m:t>
            </m:r>
            <m:r>
              <m:t>t</m:t>
            </m:r>
            <m:r>
              <m:rPr>
                <m:sty m:val="p"/>
              </m:rPr>
              <m:t>)</m:t>
            </m:r>
          </m:sup>
        </m:sSubSup>
      </m:oMath>
      <w:r>
        <w:t xml:space="preserve"> </w:t>
      </w:r>
      <w:r>
        <w:t xml:space="preserve">and a MAD based threshold</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The former captures the upper-tail position of the empirical anomaly score distribution, while the latter characterizes the robust dispersion around the median defined as Eqs. (9) and (10):</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t xml:space="preserve">where</w:t>
      </w:r>
      <w:r>
        <w:t xml:space="preserve"> </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t xml:space="preserve">denotes the anomaly score sliding window of length</w:t>
      </w:r>
      <w:r>
        <w:t xml:space="preserve"> </w:t>
      </w:r>
      <m:oMath>
        <m:r>
          <m:t>W</m:t>
        </m:r>
      </m:oMath>
      <w:r>
        <w:t xml:space="preserve">;</w:t>
      </w:r>
      <w:r>
        <w:t xml:space="preserve"> </w:t>
      </w:r>
      <m:oMath>
        <m:sSub>
          <m:e>
            <m:r>
              <m:t>Q</m:t>
            </m:r>
          </m:e>
          <m:sub>
            <m:r>
              <m:t>q</m:t>
            </m:r>
          </m:sub>
        </m:sSub>
        <m:r>
          <m:rPr>
            <m:sty m:val="p"/>
          </m:rPr>
          <m:t>(</m:t>
        </m:r>
        <m:r>
          <m:rPr>
            <m:sty m:val="p"/>
          </m:rPr>
          <m:t>⋅</m:t>
        </m:r>
        <m:r>
          <m:rPr>
            <m:sty m:val="p"/>
          </m:rPr>
          <m:t>)</m:t>
        </m:r>
      </m:oMath>
      <w:r>
        <w:t xml:space="preserve"> </w:t>
      </w:r>
      <w:r>
        <w:t xml:space="preserve">is the empirical quantile at level</w:t>
      </w:r>
      <w:r>
        <w:t xml:space="preserve"> </w:t>
      </w:r>
      <m:oMath>
        <m:r>
          <m:t>q</m:t>
        </m:r>
        <m:r>
          <m:rPr>
            <m:sty m:val="p"/>
          </m:rPr>
          <m:t>∈</m:t>
        </m:r>
        <m:r>
          <m:rPr>
            <m:sty m:val="p"/>
          </m:rPr>
          <m:t>(</m:t>
        </m:r>
        <m:r>
          <m:t>0.5</m:t>
        </m:r>
        <m:r>
          <m:rPr>
            <m:sty m:val="p"/>
          </m:rPr>
          <m:t>,</m:t>
        </m:r>
        <m:r>
          <m:t>1</m:t>
        </m:r>
        <m:r>
          <m:rPr>
            <m:sty m:val="p"/>
          </m:rPr>
          <m:t>)</m:t>
        </m:r>
      </m:oMath>
      <w:r>
        <w:t xml:space="preserve">;</w:t>
      </w:r>
      <w:r>
        <w:t xml:space="preserve"> </w:t>
      </w:r>
      <m:oMath>
        <m:r>
          <m:rPr>
            <m:sty m:val="p"/>
          </m:rPr>
          <m:t>med</m:t>
        </m:r>
        <m:r>
          <m:rPr>
            <m:sty m:val="p"/>
          </m:rPr>
          <m:t>(</m:t>
        </m:r>
        <m:r>
          <m:rPr>
            <m:sty m:val="p"/>
          </m:rPr>
          <m:t>⋅</m:t>
        </m:r>
        <m:r>
          <m:rPr>
            <m:sty m:val="p"/>
          </m:rPr>
          <m:t>)</m:t>
        </m:r>
      </m:oMath>
      <w:r>
        <w:t xml:space="preserve"> </w:t>
      </w:r>
      <w:r>
        <w:t xml:space="preserve">is the median function;</w:t>
      </w:r>
      <w:r>
        <w:t xml:space="preserve"> </w:t>
      </w:r>
      <m:oMath>
        <m:r>
          <m:t>κ</m:t>
        </m:r>
      </m:oMath>
      <w:r>
        <w:t xml:space="preserve"> </w:t>
      </w:r>
      <w:r>
        <w:t xml:space="preserve">is the sensitivity coefficient; and</w:t>
      </w:r>
      <w:r>
        <w:t xml:space="preserve"> </w:t>
      </w:r>
      <m:oMath>
        <m:r>
          <m:t>c</m:t>
        </m:r>
        <m:r>
          <m:rPr>
            <m:sty m:val="p"/>
          </m:rPr>
          <m:t>≈</m:t>
        </m:r>
        <m:r>
          <m:t>1.4826</m:t>
        </m:r>
      </m:oMath>
      <w:r>
        <w:t xml:space="preserve"> </w:t>
      </w:r>
      <w:r>
        <w:t xml:space="preserve">is the consistency constant for Gaussian distributions. The threshold</w:t>
      </w:r>
      <w:r>
        <w:t xml:space="preserve"> </w:t>
      </w:r>
      <m:oMath>
        <m:sSubSup>
          <m:e>
            <m:r>
              <m:t>τ</m:t>
            </m:r>
          </m:e>
          <m:sub>
            <m:r>
              <m:t>q</m:t>
            </m:r>
          </m:sub>
          <m:sup>
            <m:r>
              <m:rPr>
                <m:sty m:val="p"/>
              </m:rPr>
              <m:t>(</m:t>
            </m:r>
            <m:r>
              <m:t>t</m:t>
            </m:r>
            <m:r>
              <m:rPr>
                <m:sty m:val="p"/>
              </m:rPr>
              <m:t>)</m:t>
            </m:r>
          </m:sup>
        </m:sSubSup>
      </m:oMath>
      <w:r>
        <w:t xml:space="preserve"> </w:t>
      </w:r>
      <w:r>
        <w:t xml:space="preserve">primarily characterizes the upper-tail position of the empirical anomaly score distribution, whereas</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t xml:space="preserve">refines this boundary according to the robust dispersion of scores within the window.</w:t>
      </w:r>
    </w:p>
    <w:p>
      <w:pPr>
        <w:pStyle w:val="BodyText"/>
      </w:pPr>
      <w:r>
        <w:t xml:space="preserve">On this basis, we construct the local candidate threshold to provide an initial estimate of the triggering boundary for the historical window defined as Eq. (11):</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ω</m:t>
            </m:r>
          </m:e>
          <m:sub>
            <m:r>
              <m:t>q</m:t>
            </m:r>
          </m:sub>
        </m:sSub>
        <m:r>
          <m:rPr>
            <m:sty m:val="p"/>
          </m:rPr>
          <m:t>∈</m:t>
        </m:r>
        <m:r>
          <m:rPr>
            <m:sty m:val="p"/>
          </m:rPr>
          <m:t>[</m:t>
        </m:r>
        <m:r>
          <m:t>0</m:t>
        </m:r>
        <m:r>
          <m:rPr>
            <m:sty m:val="p"/>
          </m:rPr>
          <m:t>,</m:t>
        </m:r>
        <m:r>
          <m:t>1</m:t>
        </m:r>
        <m:r>
          <m:rPr>
            <m:sty m:val="p"/>
          </m:rPr>
          <m:t>]</m:t>
        </m:r>
      </m:oMath>
      <w:r>
        <w:t xml:space="preserve"> </w:t>
      </w:r>
      <w:r>
        <w:t xml:space="preserve">is the fusion weight. A larger</w:t>
      </w:r>
      <w:r>
        <w:t xml:space="preserve"> </w:t>
      </w:r>
      <m:oMath>
        <m:sSub>
          <m:e>
            <m:r>
              <m:t>ω</m:t>
            </m:r>
          </m:e>
          <m:sub>
            <m:r>
              <m:t>q</m:t>
            </m:r>
          </m:sub>
        </m:sSub>
      </m:oMath>
      <w:r>
        <w:t xml:space="preserve"> </w:t>
      </w:r>
      <w:r>
        <w:t xml:space="preserve">shifts the candidate threshold closer to the upper-quantile boundary, making the criterion more dependent on whether the current anomaly score exceeds the high-quantile level within the historical window. A smaller</w:t>
      </w:r>
      <w:r>
        <w:t xml:space="preserve"> </w:t>
      </w:r>
      <m:oMath>
        <m:sSub>
          <m:e>
            <m:r>
              <m:t>ω</m:t>
            </m:r>
          </m:e>
          <m:sub>
            <m:r>
              <m:t>q</m:t>
            </m:r>
          </m:sub>
        </m:sSub>
      </m:oMath>
      <w:r>
        <w:t xml:space="preserve"> </w:t>
      </w:r>
      <w:r>
        <w:t xml:space="preserve">takes greater emphasis on the robust fluctuation scale reflected by MAD, thereby increasing sensitivity to expansion or contraction of the score distribution.</w:t>
      </w:r>
    </w:p>
    <w:p>
      <w:pPr>
        <w:pStyle w:val="BodyText"/>
      </w:pPr>
      <w:r>
        <w:t xml:space="preserve">As</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t xml:space="preserve">may still be affected by single-step spike disturbances, we further apply exponential smoothing on a fast timescale to obtain the local threshold as Eq. (12):</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is the local update rate, and</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with</w:t>
      </w:r>
      <w:r>
        <w:t xml:space="preserve"> </w:t>
      </w:r>
      <m:oMath>
        <m:sSub>
          <m:e>
            <m:r>
              <m:t>t</m:t>
            </m:r>
          </m:e>
          <m:sub>
            <m:r>
              <m:t>0</m:t>
            </m:r>
          </m:sub>
        </m:sSub>
      </m:oMath>
      <w:r>
        <w:t xml:space="preserve"> </w:t>
      </w:r>
      <w:r>
        <w:t xml:space="preserve">denoting the first time step at which a complete sliding window is available. By applying first-order smoothing,</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w:r>
        <w:t xml:space="preserve"> </w:t>
      </w:r>
      <w:r>
        <w:t xml:space="preserve">achieves a trade-off between threshold responsiveness and resistance to jitter. A larger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enables the local threshold to follow recent operating condition transitions more rapidly, whereas a smaller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makes the local threshold less sensitive to short-duration impulsive noise.</w:t>
      </w:r>
    </w:p>
    <w:p>
      <w:pPr>
        <w:pStyle w:val="BodyText"/>
      </w:pPr>
      <w:r>
        <w:t xml:space="preserve">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t xml:space="preserve">where</w:t>
      </w:r>
      <w:r>
        <w:t xml:space="preserve"> </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and</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t xml:space="preserve">, ensuring that the global threshold exhibits stronger smoothness and hysteresis.</w:t>
      </w:r>
    </w:p>
    <w:p>
      <w:pPr>
        <w:pStyle w:val="BodyText"/>
      </w:pPr>
      <w:r>
        <w:t xml:space="preserve">The final streaming two-layer adaptive threshold is obtained by fusing the local and global thresholds as Eq. (14):</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t xml:space="preserve">where</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controls the blending ratio between short-term and long-term information. Increasing</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shifts the final threshold toward recent operating conditions, yielding more responsive triggering behavior; decreasing it shifts the threshold toward the long-term baseline, yielding more stable judgment. The term</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t xml:space="preserve">is a global offset correction that compensates for potential systematic bias arising from finite-window estimation at different operating stages. 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bookmarkEnd w:id="19"/>
    <w:bookmarkStart w:id="20" w:name="X72a0f757d4b8bffff2d7dfe5703d413c5eb2231"/>
    <w:p>
      <w:pPr>
        <w:pStyle w:val="Heading2"/>
      </w:pPr>
      <w:r>
        <w:t xml:space="preserve">3.2 Online Streaming Event Gating Module Construction</w:t>
      </w:r>
    </w:p>
    <w:p>
      <w:pPr>
        <w:pStyle w:val="FirstParagraph"/>
      </w:pPr>
      <w:r>
        <w:t xml:space="preserve">After obtaining the basic adaptive gating threshold</w:t>
      </w:r>
      <w:r>
        <w:t xml:space="preserve"> </w:t>
      </w:r>
      <m:oMath>
        <m:sSub>
          <m:e>
            <m:acc>
              <m:accPr>
                <m:chr m:val="̃"/>
              </m:accPr>
              <m:e>
                <m:r>
                  <m:t>τ</m:t>
                </m:r>
              </m:e>
            </m:acc>
          </m:e>
          <m:sub>
            <m: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w:t>
      </w:r>
      <w:r>
        <w:t xml:space="preserve"> </w:t>
      </w:r>
      <m:oMath>
        <m:r>
          <m:t>A</m:t>
        </m:r>
        <m:r>
          <m:rPr>
            <m:sty m:val="p"/>
          </m:rPr>
          <m:t>(</m:t>
        </m:r>
        <m:sSub>
          <m:e>
            <m:r>
              <m:t>s</m:t>
            </m:r>
          </m:e>
          <m:sub>
            <m:r>
              <m:t>t</m:t>
            </m:r>
          </m:sub>
        </m:sSub>
        <m:r>
          <m:rPr>
            <m:sty m:val="p"/>
          </m:rPr>
          <m:t>)</m:t>
        </m:r>
      </m:oMath>
      <w:r>
        <w:t xml:space="preserve"> </w:t>
      </w:r>
      <w:r>
        <w:t xml:space="preserve">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pPr>
        <w:pStyle w:val="BodyText"/>
      </w:pPr>
      <w:r>
        <w:t xml:space="preserve">At each control time step, the gating module receives the current system state feature</w:t>
      </w:r>
      <w:r>
        <w:t xml:space="preserve"> </w:t>
      </w:r>
      <m:oMath>
        <m:sSub>
          <m:e>
            <m:r>
              <m:t>s</m:t>
            </m:r>
          </m:e>
          <m:sub>
            <m:r>
              <m:t>t</m:t>
            </m:r>
          </m:sub>
        </m:sSub>
      </m:oMath>
      <w:r>
        <w:t xml:space="preserve">, computes the anomaly score</w:t>
      </w:r>
      <w:r>
        <w:t xml:space="preserve"> </w:t>
      </w:r>
      <m:oMath>
        <m:r>
          <m:t>A</m:t>
        </m:r>
        <m:r>
          <m:rPr>
            <m:sty m:val="p"/>
          </m:rPr>
          <m:t>(</m:t>
        </m:r>
        <m:sSub>
          <m:e>
            <m:r>
              <m:t>s</m:t>
            </m:r>
          </m:e>
          <m:sub>
            <m:r>
              <m:t>t</m:t>
            </m:r>
          </m:sub>
        </m:sSub>
        <m:r>
          <m:rPr>
            <m:sty m:val="p"/>
          </m:rPr>
          <m:t>)</m:t>
        </m:r>
      </m:oMath>
      <w:r>
        <w:t xml:space="preserve">, and performs a binary trigger determination as Eqs. (15) and (16):</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t xml:space="preserve">where</w:t>
      </w:r>
      <w:r>
        <w:t xml:space="preserve"> </w:t>
      </w:r>
      <m:oMath>
        <m:sSub>
          <m:e>
            <m:acc>
              <m:accPr>
                <m:chr m:val="̃"/>
              </m:accPr>
              <m:e>
                <m:r>
                  <m:t>τ</m:t>
                </m:r>
              </m:e>
            </m:acc>
          </m:e>
          <m:sub>
            <m:r>
              <m:t>t</m:t>
            </m:r>
          </m:sub>
        </m:sSub>
      </m:oMath>
      <w:r>
        <w:t xml:space="preserve"> </w:t>
      </w:r>
      <w:r>
        <w:t xml:space="preserve">is the streaming dual-layer adaptive threshold defined in Eq. (14),</w:t>
      </w:r>
      <w:r>
        <w:t xml:space="preserve"> </w:t>
      </w:r>
      <m:oMath>
        <m:r>
          <m:rPr>
            <m:sty m:val="p"/>
          </m:rPr>
          <m:t>clip</m:t>
        </m:r>
        <m:r>
          <m:rPr>
            <m:sty m:val="p"/>
          </m:rPr>
          <m:t>(</m:t>
        </m:r>
        <m:r>
          <m:rPr>
            <m:sty m:val="p"/>
          </m:rPr>
          <m:t>⋅</m:t>
        </m:r>
        <m:r>
          <m:rPr>
            <m:sty m:val="p"/>
          </m:rPr>
          <m:t>,</m:t>
        </m:r>
        <m:r>
          <m:t>0</m:t>
        </m:r>
        <m:r>
          <m:rPr>
            <m:sty m:val="p"/>
          </m:rPr>
          <m:t>,</m:t>
        </m:r>
        <m:r>
          <m:t>1</m:t>
        </m:r>
        <m:r>
          <m:rPr>
            <m:sty m:val="p"/>
          </m:rPr>
          <m:t>)</m:t>
        </m:r>
      </m:oMath>
      <w:r>
        <w:t xml:space="preserve"> </w:t>
      </w:r>
      <w:r>
        <w:t xml:space="preserve">constrains the input value to the interval</w:t>
      </w:r>
      <w:r>
        <w:t xml:space="preserve"> </w:t>
      </w:r>
      <m:oMath>
        <m:r>
          <m:rPr>
            <m:sty m:val="p"/>
          </m:rPr>
          <m:t>[</m:t>
        </m:r>
        <m:r>
          <m:t>0</m:t>
        </m:r>
        <m:r>
          <m:rPr>
            <m:sty m:val="p"/>
          </m:rPr>
          <m:t>,</m:t>
        </m:r>
        <m:r>
          <m:t>1</m:t>
        </m:r>
        <m:r>
          <m:rPr>
            <m:sty m:val="p"/>
          </m:rPr>
          <m:t>]</m:t>
        </m:r>
      </m:oMath>
      <w:r>
        <w:t xml:space="preserve">,</w:t>
      </w:r>
      <w:r>
        <w:t xml:space="preserve"> </w:t>
      </w:r>
      <m:oMath>
        <m:sSub>
          <m:e>
            <m:r>
              <m:t>m</m:t>
            </m:r>
          </m:e>
          <m:sub>
            <m:r>
              <m:rPr>
                <m:sty m:val="p"/>
              </m:rPr>
              <m:t>h</m:t>
            </m:r>
            <m:r>
              <m:rPr>
                <m:sty m:val="p"/>
              </m:rPr>
              <m:t>y</m:t>
            </m:r>
            <m:r>
              <m:rPr>
                <m:sty m:val="p"/>
              </m:rPr>
              <m:t>s</m:t>
            </m:r>
          </m:sub>
        </m:sSub>
      </m:oMath>
      <w:r>
        <w:t xml:space="preserve"> </w:t>
      </w:r>
      <w:r>
        <w:t xml:space="preserve">is a hysteresis margin that prevents the trigger signal from repeatedly flipping near the threshold boundary,</w:t>
      </w:r>
      <w:r>
        <w:t xml:space="preserve"> </w:t>
      </w:r>
      <m:oMath>
        <m:sSub>
          <m:e>
            <m:r>
              <m:t>t</m:t>
            </m:r>
          </m:e>
          <m:sub>
            <m:r>
              <m:rPr>
                <m:sty m:val="p"/>
              </m:rPr>
              <m:t>l</m:t>
            </m:r>
            <m:r>
              <m:rPr>
                <m:sty m:val="p"/>
              </m:rPr>
              <m:t>a</m:t>
            </m:r>
            <m:r>
              <m:rPr>
                <m:sty m:val="p"/>
              </m:rPr>
              <m:t>s</m:t>
            </m:r>
            <m:r>
              <m:rPr>
                <m:sty m:val="p"/>
              </m:rPr>
              <m:t>t</m:t>
            </m:r>
          </m:sub>
        </m:sSub>
      </m:oMath>
      <w:r>
        <w:t xml:space="preserve"> </w:t>
      </w:r>
      <w:r>
        <w:t xml:space="preserve">records the time step at which the system last triggered a control action update, and</w:t>
      </w:r>
      <w:r>
        <w:t xml:space="preserve"> </w:t>
      </w:r>
      <m:oMath>
        <m:sSub>
          <m:e>
            <m:r>
              <m:rPr>
                <m:sty m:val="p"/>
              </m:rPr>
              <m:t>Δ</m:t>
            </m:r>
          </m:e>
          <m:sub>
            <m:r>
              <m:rPr>
                <m:sty m:val="p"/>
              </m:rPr>
              <m:t>min</m:t>
            </m:r>
          </m:sub>
        </m:sSub>
      </m:oMath>
      <w:r>
        <w:t xml:space="preserve"> </w:t>
      </w:r>
      <w:r>
        <w:t xml:space="preserve">is the specified minimum trigger interval.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gating module triggers PRL module to generate a new control action for the current time step, and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the control action from the previous time step is held via a zero-order hold.</w:t>
      </w:r>
    </w:p>
    <w:p>
      <w:pPr>
        <w:pStyle w:val="BodyText"/>
      </w:pPr>
      <w:r>
        <w:t xml:space="preserve">Regardless of the value of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the gating module executes anomaly score window maintenance and dual-layer threshold recursive update at every time step. Specifically, after performing the trigger determination in Eq. (15), we append the current anomaly score</w:t>
      </w:r>
      <w:r>
        <w:t xml:space="preserve"> </w:t>
      </w:r>
      <m:oMath>
        <m:r>
          <m:t>A</m:t>
        </m:r>
        <m:r>
          <m:rPr>
            <m:sty m:val="p"/>
          </m:rPr>
          <m:t>(</m:t>
        </m:r>
        <m:sSub>
          <m:e>
            <m:r>
              <m:t>s</m:t>
            </m:r>
          </m:e>
          <m:sub>
            <m:r>
              <m:t>t</m:t>
            </m:r>
          </m:sub>
        </m:sSub>
        <m:r>
          <m:rPr>
            <m:sty m:val="p"/>
          </m:rPr>
          <m:t>)</m:t>
        </m:r>
      </m:oMath>
      <w:r>
        <w:t xml:space="preserve"> </w:t>
      </w:r>
      <w:r>
        <w:t xml:space="preserve">to the sliding window</w:t>
      </w:r>
      <w:r>
        <w:t xml:space="preserve"> </w:t>
      </w:r>
      <m:oMath>
        <m:sSubSup>
          <m:e>
            <m:r>
              <m:rPr>
                <m:scr m:val="script"/>
                <m:sty m:val="p"/>
              </m:rPr>
              <m:t>A</m:t>
            </m:r>
          </m:e>
          <m:sub>
            <m:r>
              <m:t>t</m:t>
            </m:r>
          </m:sub>
          <m:sup>
            <m:r>
              <m:rPr>
                <m:sty m:val="p"/>
              </m:rPr>
              <m:t>(</m:t>
            </m:r>
            <m:r>
              <m:t>W</m:t>
            </m:r>
            <m:r>
              <m:rPr>
                <m:sty m:val="p"/>
              </m:rPr>
              <m:t>)</m:t>
            </m:r>
          </m:sup>
        </m:sSubSup>
      </m:oMath>
      <w:r>
        <w:t xml:space="preserve"> </w:t>
      </w:r>
      <w:r>
        <w:t xml:space="preserve">and sequentially update the candidate threshold, local threshold, and global threshold according to Eqs. (11)-(14),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bookmarkEnd w:id="20"/>
    <w:bookmarkStart w:id="21" w:name="Xaa88b99c3d00dddb9ea1ca418f985e9eb87907f"/>
    <w:p>
      <w:pPr>
        <w:pStyle w:val="Heading2"/>
      </w:pPr>
      <w:r>
        <w:t xml:space="preserve">3.3 Predictive RL Control Algorithm with Dynamic Event Triggering</w:t>
      </w:r>
    </w:p>
    <w:p>
      <w:pPr>
        <w:pStyle w:val="FirstParagraph"/>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w:t>
      </w:r>
      <w:r>
        <w:t xml:space="preserve"> </w:t>
      </w:r>
      <m:oMath>
        <m:sSub>
          <m:e>
            <m:r>
              <m:t>s</m:t>
            </m:r>
          </m:e>
          <m:sub>
            <m:r>
              <m:t>t</m:t>
            </m:r>
          </m:sub>
        </m:sSub>
      </m:oMath>
      <w:r>
        <w:t xml:space="preserve"> </w:t>
      </w:r>
      <w:r>
        <w:t xml:space="preserve">and a composite reward</w:t>
      </w:r>
      <w:r>
        <w:t xml:space="preserve"> </w:t>
      </w:r>
      <m:oMath>
        <m:sSub>
          <m:e>
            <m:r>
              <m:t>r</m:t>
            </m:r>
          </m:e>
          <m:sub>
            <m:r>
              <m:t>t</m:t>
            </m:r>
          </m:sub>
        </m:sSub>
      </m:oMath>
      <w:r>
        <w:t xml:space="preserve">,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pPr>
        <w:pStyle w:val="Compact"/>
        <w:numPr>
          <w:ilvl w:val="0"/>
          <w:numId w:val="1005"/>
        </w:numPr>
      </w:pPr>
      <w:r>
        <w:t xml:space="preserve">Task formulation and problem definition</w:t>
      </w:r>
    </w:p>
    <w:p>
      <w:pPr>
        <w:pStyle w:val="FirstParagraph"/>
      </w:pPr>
      <w:r>
        <w:t xml:space="preserve">To address high dimensional state spaces and strong temporal correlations among samples in HVAC control, we adopt a compact state representation and formulate the control problem as an MDP</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denotes the state space,</w:t>
      </w:r>
      <w:r>
        <w:t xml:space="preserve"> </w:t>
      </w:r>
      <m:oMath>
        <m:r>
          <m:rPr>
            <m:scr m:val="script"/>
            <m:sty m:val="p"/>
          </m:rPr>
          <m:t>A</m:t>
        </m:r>
      </m:oMath>
      <w:r>
        <w:t xml:space="preserve"> </w:t>
      </w:r>
      <w:r>
        <w:t xml:space="preserve">denotes the action space,</w:t>
      </w:r>
      <w:r>
        <w:t xml:space="preserve"> </w:t>
      </w:r>
      <m:oMath>
        <m:r>
          <m:rPr>
            <m:scr m:val="script"/>
            <m:sty m:val="p"/>
          </m:rPr>
          <m:t>P</m:t>
        </m:r>
      </m:oMath>
      <w:r>
        <w:t xml:space="preserve"> </w:t>
      </w:r>
      <w:r>
        <w:t xml:space="preserve">denotes the state transition kernel,</w:t>
      </w:r>
      <w:r>
        <w:t xml:space="preserve"> </w:t>
      </w:r>
      <m:oMath>
        <m:r>
          <m:rPr>
            <m:scr m:val="script"/>
            <m:sty m:val="p"/>
          </m:rPr>
          <m:t>R</m:t>
        </m:r>
      </m:oMath>
      <w:r>
        <w:t xml:space="preserve"> </w:t>
      </w:r>
      <w:r>
        <w:t xml:space="preserve">denotes the reward function, and</w:t>
      </w:r>
      <w:r>
        <w:t xml:space="preserve"> </w:t>
      </w:r>
      <m:oMath>
        <m:r>
          <m:t>γ</m:t>
        </m:r>
      </m:oMath>
      <w:r>
        <w:t xml:space="preserve"> </w:t>
      </w:r>
      <w:r>
        <w:t xml:space="preserve">denotes the discount factor.</w:t>
      </w:r>
    </w:p>
    <w:p>
      <w:pPr>
        <w:pStyle w:val="BodyText"/>
      </w:pPr>
      <w:r>
        <w:t xml:space="preserve">The state vector</w:t>
      </w:r>
      <w:r>
        <w:t xml:space="preserve"> </w:t>
      </w:r>
      <m:oMath>
        <m:sSub>
          <m:e>
            <m:r>
              <m:t>s</m:t>
            </m:r>
          </m:e>
          <m:sub>
            <m:r>
              <m:t>t</m:t>
            </m:r>
          </m:sub>
        </m:sSub>
        <m:r>
          <m:rPr>
            <m:sty m:val="p"/>
          </m:rPr>
          <m:t>∈</m:t>
        </m:r>
        <m:r>
          <m:rPr>
            <m:scr m:val="script"/>
            <m:sty m:val="p"/>
          </m:rPr>
          <m:t>S</m:t>
        </m:r>
      </m:oMath>
      <w:r>
        <w:t xml:space="preserve"> </w:t>
      </w:r>
      <w:r>
        <w:t xml:space="preserve">is defined by Eq. (17):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t xml:space="preserve">where</w:t>
      </w:r>
      <w:r>
        <w:t xml:space="preserve"> </w:t>
      </w:r>
      <m:oMath>
        <m:sSubSup>
          <m:e>
            <m:r>
              <m:t>Q</m:t>
            </m:r>
          </m:e>
          <m:sub>
            <m:r>
              <m:rPr>
                <m:sty m:val="p"/>
              </m:rPr>
              <m:t>l</m:t>
            </m:r>
            <m:r>
              <m:rPr>
                <m:sty m:val="p"/>
              </m:rPr>
              <m:t>o</m:t>
            </m:r>
            <m:r>
              <m:rPr>
                <m:sty m:val="p"/>
              </m:rPr>
              <m:t>a</m:t>
            </m:r>
            <m:r>
              <m:rPr>
                <m:sty m:val="p"/>
              </m:rPr>
              <m:t>d</m:t>
            </m:r>
          </m:sub>
          <m:sup>
            <m:r>
              <m:t>t</m:t>
            </m:r>
          </m:sup>
        </m:sSubSup>
      </m:oMath>
      <w:r>
        <w:t xml:space="preserve"> </w:t>
      </w:r>
      <w:r>
        <w:t xml:space="preserve">denotes the system cooling load at time step</w:t>
      </w:r>
      <w:r>
        <w:t xml:space="preserve"> </w:t>
      </w:r>
      <m:oMath>
        <m:r>
          <m:t>t</m:t>
        </m:r>
      </m:oMath>
      <w:r>
        <w:t xml:space="preserve">,</w:t>
      </w:r>
      <w:r>
        <w:t xml:space="preserve"> </w:t>
      </w:r>
      <m:oMath>
        <m:sSubSup>
          <m:e>
            <m:r>
              <m:t>T</m:t>
            </m:r>
          </m:e>
          <m:sub>
            <m:r>
              <m:rPr>
                <m:sty m:val="p"/>
              </m:rPr>
              <m:t>w</m:t>
            </m:r>
            <m:r>
              <m:rPr>
                <m:sty m:val="p"/>
              </m:rPr>
              <m:t>b</m:t>
            </m:r>
          </m:sub>
          <m:sup>
            <m:r>
              <m:t>t</m:t>
            </m:r>
          </m:sup>
        </m:sSubSup>
      </m:oMath>
      <w:r>
        <w:t xml:space="preserve"> </w:t>
      </w:r>
      <w:r>
        <w:t xml:space="preserve">denotes the outdoor wet bulb temperature at time step</w:t>
      </w:r>
      <w:r>
        <w:t xml:space="preserve"> </w:t>
      </w:r>
      <m:oMath>
        <m:r>
          <m:t>t</m:t>
        </m:r>
      </m:oMath>
      <w:r>
        <w:t xml:space="preserve">, and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denotes the short term prediction of the system cooling load at the next time step. The MDP state vector</w:t>
      </w:r>
      <w:r>
        <w:t xml:space="preserve"> </w:t>
      </w:r>
      <m:oMath>
        <m:sSub>
          <m:e>
            <m:r>
              <m:t>s</m:t>
            </m:r>
          </m:e>
          <m:sub>
            <m:r>
              <m:t>t</m:t>
            </m:r>
          </m:sub>
        </m:sSub>
      </m:oMath>
      <w:r>
        <w:t xml:space="preserve"> </w:t>
      </w:r>
      <w:r>
        <w:t xml:space="preserve">uses the same feature components as the input state feature vector of the gating module in Eq. (4). By incorporating</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pPr>
        <w:pStyle w:val="BodyText"/>
      </w:pPr>
      <w:r>
        <w:t xml:space="preserve">We define the action</w:t>
      </w:r>
      <w:r>
        <w:t xml:space="preserve"> </w:t>
      </w:r>
      <m:oMath>
        <m:sSub>
          <m:e>
            <m:r>
              <m:t>a</m:t>
            </m:r>
          </m:e>
          <m:sub>
            <m:r>
              <m:t>t</m:t>
            </m:r>
          </m:sub>
        </m:sSub>
      </m:oMath>
      <w:r>
        <w:t xml:space="preserve"> </w:t>
      </w:r>
      <w:r>
        <w:t xml:space="preserve">as the chilled water supply temperature setpoint at time step</w:t>
      </w:r>
      <w:r>
        <w:t xml:space="preserve"> </w:t>
      </w:r>
      <m:oMath>
        <m:r>
          <m:t>t</m:t>
        </m:r>
      </m:oMath>
      <w:r>
        <w:t xml:space="preserve"> </w:t>
      </w:r>
      <w:r>
        <w:t xml:space="preserve">which takes one of 10 discrete values within</w:t>
      </w:r>
      <w:r>
        <w:t xml:space="preserve"> </w:t>
      </w:r>
      <m:oMath>
        <m:r>
          <m:rPr>
            <m:sty m:val="p"/>
          </m:rPr>
          <m:t>[</m:t>
        </m:r>
        <m:r>
          <m:t>6</m:t>
        </m:r>
        <m:r>
          <m:rPr>
            <m:sty m:val="p"/>
          </m:rPr>
          <m:t>,</m:t>
        </m:r>
        <m:r>
          <m:t>15</m:t>
        </m:r>
        <m:sSup>
          <m:e>
            <m:r>
              <m:rPr>
                <m:sty m:val="p"/>
              </m:rPr>
              <m:t>]</m:t>
            </m:r>
          </m:e>
          <m:sup>
            <m:r>
              <m:rPr>
                <m:sty m:val="p"/>
              </m:rPr>
              <m:t>∘</m:t>
            </m:r>
          </m:sup>
        </m:sSup>
        <m:r>
          <m:rPr>
            <m:sty m:val="p"/>
          </m:rPr>
          <m:t>C</m:t>
        </m:r>
      </m:oMath>
      <w:r>
        <w:t xml:space="preserve"> </w:t>
      </w:r>
      <w:r>
        <w:t xml:space="preserve">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pPr>
        <w:pStyle w:val="BodyText"/>
      </w:pPr>
      <w:r>
        <w:t xml:space="preserve">We define the reward</w:t>
      </w:r>
      <w:r>
        <w:t xml:space="preserve"> </w:t>
      </w:r>
      <m:oMath>
        <m:sSub>
          <m:e>
            <m:r>
              <m:t>r</m:t>
            </m:r>
          </m:e>
          <m:sub>
            <m:r>
              <m:t>t</m:t>
            </m:r>
          </m:sub>
        </m:sSub>
      </m:oMath>
      <w:r>
        <w:t xml:space="preserve"> </w:t>
      </w:r>
      <w:r>
        <w:t xml:space="preserve">by Eq. (18) as a weighted sum of an energy efficiency term and a temperature tracking term, so that the learned policy can balance energy saving with setpoint tracking:</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t xml:space="preserve">where</w:t>
      </w:r>
      <w:r>
        <w:t xml:space="preserve"> </w:t>
      </w:r>
      <m:oMath>
        <m:sSub>
          <m:e>
            <m:r>
              <m:t>ω</m:t>
            </m:r>
          </m:e>
          <m:sub>
            <m:r>
              <m:t>η</m:t>
            </m:r>
          </m:sub>
        </m:sSub>
        <m:r>
          <m:rPr>
            <m:sty m:val="p"/>
          </m:rPr>
          <m:t>,</m:t>
        </m:r>
        <m:sSub>
          <m:e>
            <m:r>
              <m:t>ω</m:t>
            </m:r>
          </m:e>
          <m:sub>
            <m:r>
              <m:t>τ</m:t>
            </m:r>
          </m:sub>
        </m:sSub>
        <m:r>
          <m:rPr>
            <m:sty m:val="p"/>
          </m:rPr>
          <m:t>≥</m:t>
        </m:r>
        <m:r>
          <m:t>0</m:t>
        </m:r>
      </m:oMath>
      <w:r>
        <w:t xml:space="preserve"> </w:t>
      </w:r>
      <w:r>
        <w:t xml:space="preserve">and</w:t>
      </w:r>
      <w:r>
        <w:t xml:space="preserve"> </w:t>
      </w:r>
      <m:oMath>
        <m:sSub>
          <m:e>
            <m:r>
              <m:t>ω</m:t>
            </m:r>
          </m:e>
          <m:sub>
            <m:r>
              <m:t>η</m:t>
            </m:r>
          </m:sub>
        </m:sSub>
        <m:r>
          <m:rPr>
            <m:sty m:val="p"/>
          </m:rPr>
          <m:t>+</m:t>
        </m:r>
        <m:sSub>
          <m:e>
            <m:r>
              <m:t>ω</m:t>
            </m:r>
          </m:e>
          <m:sub>
            <m:r>
              <m:t>τ</m:t>
            </m:r>
          </m:sub>
        </m:sSub>
        <m:r>
          <m:rPr>
            <m:sty m:val="p"/>
          </m:rPr>
          <m:t>=</m:t>
        </m:r>
        <m:r>
          <m:t>1</m:t>
        </m:r>
      </m:oMath>
      <w:r>
        <w:t xml:space="preserve"> </w:t>
      </w:r>
      <w:r>
        <w:t xml:space="preserve">denote the weights assigned to the energy efficiency and temperature tracking terms, respectively. A larger</w:t>
      </w:r>
      <w:r>
        <w:t xml:space="preserve"> </w:t>
      </w:r>
      <m:oMath>
        <m:sSub>
          <m:e>
            <m:r>
              <m:t>ω</m:t>
            </m:r>
          </m:e>
          <m:sub>
            <m:r>
              <m:t>η</m:t>
            </m:r>
          </m:sub>
        </m:sSub>
      </m:oMath>
      <w:r>
        <w:t xml:space="preserve"> </w:t>
      </w:r>
      <w:r>
        <w:t xml:space="preserve">guides the policy toward energy saving, whereas a larger</w:t>
      </w:r>
      <w:r>
        <w:t xml:space="preserve"> </w:t>
      </w:r>
      <m:oMath>
        <m:sSub>
          <m:e>
            <m:r>
              <m:t>ω</m:t>
            </m:r>
          </m:e>
          <m:sub>
            <m:r>
              <m:t>τ</m:t>
            </m:r>
          </m:sub>
        </m:sSub>
      </m:oMath>
      <w:r>
        <w:t xml:space="preserve"> </w:t>
      </w:r>
      <w:r>
        <w:t xml:space="preserve">gives greater priority to temperature tracking. The energy efficiency term is calculated by Eq. (19):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t xml:space="preserve">where</w:t>
      </w:r>
      <w:r>
        <w:t xml:space="preserve"> </w:t>
      </w:r>
      <m:oMath>
        <m:sSub>
          <m:e>
            <m:r>
              <m:t>P</m:t>
            </m:r>
          </m:e>
          <m:sub>
            <m:r>
              <m:t>t</m:t>
            </m:r>
          </m:sub>
        </m:sSub>
      </m:oMath>
      <w:r>
        <w:t xml:space="preserve"> </w:t>
      </w:r>
      <w:r>
        <w:t xml:space="preserve">is the instantaneous operating power of the chiller unit and</w:t>
      </w:r>
      <w:r>
        <w:t xml:space="preserve"> </w:t>
      </w:r>
      <m:oMath>
        <m:sSub>
          <m:e>
            <m:r>
              <m:t>P</m:t>
            </m:r>
          </m:e>
          <m:sub>
            <m:r>
              <m:rPr>
                <m:sty m:val="p"/>
              </m:rPr>
              <m:t>r</m:t>
            </m:r>
            <m:r>
              <m:rPr>
                <m:sty m:val="p"/>
              </m:rPr>
              <m:t>e</m:t>
            </m:r>
            <m:r>
              <m:rPr>
                <m:sty m:val="p"/>
              </m:rPr>
              <m:t>f</m:t>
            </m:r>
          </m:sub>
        </m:sSub>
      </m:oMath>
      <w:r>
        <w:t xml:space="preserve"> </w:t>
      </w:r>
      <w:r>
        <w:t xml:space="preserve">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t xml:space="preserve">where</w:t>
      </w:r>
      <w:r>
        <w:t xml:space="preserve"> </w:t>
      </w:r>
      <m:oMath>
        <m:sSub>
          <m:e>
            <m:r>
              <m:t>T</m:t>
            </m:r>
          </m:e>
          <m:sub>
            <m:r>
              <m:t>t</m:t>
            </m:r>
          </m:sub>
        </m:sSub>
      </m:oMath>
      <w:r>
        <w:t xml:space="preserve"> </w:t>
      </w:r>
      <w:r>
        <w:t xml:space="preserve">is the actual supply water temperature,</w:t>
      </w:r>
      <w:r>
        <w:t xml:space="preserve"> </w:t>
      </w:r>
      <m:oMath>
        <m:sSub>
          <m:e>
            <m:r>
              <m:t>T</m:t>
            </m:r>
          </m:e>
          <m:sub>
            <m:r>
              <m:rPr>
                <m:sty m:val="p"/>
              </m:rPr>
              <m:t>s</m:t>
            </m:r>
            <m:r>
              <m:rPr>
                <m:sty m:val="p"/>
              </m:rPr>
              <m:t>e</m:t>
            </m:r>
            <m:r>
              <m:rPr>
                <m:sty m:val="p"/>
              </m:rPr>
              <m:t>t</m:t>
            </m:r>
          </m:sub>
        </m:sSub>
      </m:oMath>
      <w:r>
        <w:t xml:space="preserve"> </w:t>
      </w:r>
      <w:r>
        <w:t xml:space="preserve">is the target setpoint temperature, and</w:t>
      </w:r>
      <w:r>
        <w:t xml:space="preserve"> </w:t>
      </w:r>
      <m:oMath>
        <m:r>
          <m:t>σ</m:t>
        </m:r>
      </m:oMath>
      <w:r>
        <w:t xml:space="preserve"> </w:t>
      </w:r>
      <w:r>
        <w:t xml:space="preserve">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pPr>
        <w:pStyle w:val="Compact"/>
        <w:numPr>
          <w:ilvl w:val="0"/>
          <w:numId w:val="1006"/>
        </w:numPr>
      </w:pPr>
      <w:r>
        <w:t xml:space="preserve">Predictive DQN network architecture and training procedure</w:t>
      </w:r>
    </w:p>
    <w:p>
      <w:pPr>
        <w:pStyle w:val="FirstParagraph"/>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w:t>
      </w:r>
      <w:r>
        <w:t xml:space="preserve"> </w:t>
      </w:r>
      <m:oMath>
        <m:sSub>
          <m:e>
            <m:r>
              <m:t>Q</m:t>
            </m:r>
          </m:e>
          <m:sub>
            <m:r>
              <m:t>θ</m:t>
            </m:r>
          </m:sub>
        </m:sSub>
      </m:oMath>
      <w:r>
        <w:t xml:space="preserve">, where</w:t>
      </w:r>
      <w:r>
        <w:t xml:space="preserve"> </w:t>
      </w:r>
      <m:oMath>
        <m:r>
          <m:t>θ</m:t>
        </m:r>
      </m:oMath>
      <w:r>
        <w:t xml:space="preserve"> </w:t>
      </w:r>
      <w:r>
        <w:t xml:space="preserve">denotes the parameters of the online network. The network takes the state vector</w:t>
      </w:r>
      <w:r>
        <w:t xml:space="preserve"> </w:t>
      </w:r>
      <m:oMath>
        <m:sSub>
          <m:e>
            <m:r>
              <m:t>s</m:t>
            </m:r>
          </m:e>
          <m:sub>
            <m:r>
              <m:t>t</m:t>
            </m:r>
          </m:sub>
        </m:sSub>
      </m:oMath>
      <w:r>
        <w:t xml:space="preserve"> </w:t>
      </w:r>
      <w:r>
        <w:t xml:space="preserve">defined by Eq. (17) as input and outputs the action value</w:t>
      </w:r>
      <w:r>
        <w:t xml:space="preserve"> </w:t>
      </w:r>
      <m:oMath>
        <m:sSub>
          <m:e>
            <m:r>
              <m:t>Q</m:t>
            </m:r>
          </m:e>
          <m:sub>
            <m:r>
              <m:t>θ</m:t>
            </m:r>
          </m:sub>
        </m:sSub>
        <m:r>
          <m:rPr>
            <m:sty m:val="p"/>
          </m:rPr>
          <m:t>[</m:t>
        </m:r>
        <m:sSub>
          <m:e>
            <m:r>
              <m:t>s</m:t>
            </m:r>
          </m:e>
          <m:sub>
            <m:r>
              <m:t>t</m:t>
            </m:r>
          </m:sub>
        </m:sSub>
        <m:r>
          <m:rPr>
            <m:sty m:val="p"/>
          </m:rPr>
          <m:t>,</m:t>
        </m:r>
        <m:r>
          <m:t>a</m:t>
        </m:r>
        <m:r>
          <m:rPr>
            <m:sty m:val="p"/>
          </m:rPr>
          <m:t>]</m:t>
        </m:r>
      </m:oMath>
      <w:r>
        <w:t xml:space="preserve"> </w:t>
      </w:r>
      <w:r>
        <w:t xml:space="preserve">for each candidate action</w:t>
      </w:r>
      <w:r>
        <w:t xml:space="preserve"> </w:t>
      </w:r>
      <m:oMath>
        <m:r>
          <m:t>a</m:t>
        </m:r>
      </m:oMath>
      <w:r>
        <w:t xml:space="preserve"> </w:t>
      </w:r>
      <w:r>
        <w:t xml:space="preserve">in the discrete action space</w:t>
      </w:r>
      <w:r>
        <w:t xml:space="preserve"> </w:t>
      </w:r>
      <m:oMath>
        <m:r>
          <m:rPr>
            <m:scr m:val="script"/>
            <m:sty m:val="p"/>
          </m:rPr>
          <m:t>A</m:t>
        </m:r>
      </m:oMath>
      <w:r>
        <w:t xml:space="preserve">. Unlike reactive action selection that relies solely on current observations, the one-step load prediction term in the state enables</w:t>
      </w:r>
      <w:r>
        <w:t xml:space="preserve"> </w:t>
      </w:r>
      <m:oMath>
        <m:sSub>
          <m:e>
            <m:r>
              <m:t>Q</m:t>
            </m:r>
          </m:e>
          <m:sub>
            <m:r>
              <m:t>θ</m:t>
            </m:r>
          </m:sub>
        </m:sSub>
      </m:oMath>
      <w:r>
        <w:t xml:space="preserve"> </w:t>
      </w:r>
      <w:r>
        <w:t xml:space="preserve">to evaluate the long-term return of each candidate setpoint under the joint constraints of the current operating condition and short-term load evolution which can provide forward-looking action inference when an event is triggered.</w:t>
      </w:r>
    </w:p>
    <w:p>
      <w:pPr>
        <w:pStyle w:val="BodyText"/>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w:t>
      </w:r>
      <w:r>
        <w:t xml:space="preserve"> </w:t>
      </w:r>
      <m:oMath>
        <m:sSub>
          <m:e>
            <m:r>
              <m:t>r</m:t>
            </m:r>
          </m:e>
          <m:sub>
            <m:r>
              <m:t>t</m:t>
            </m:r>
          </m:sub>
        </m:sSub>
      </m:oMath>
      <w:r>
        <w:t xml:space="preserve"> </w:t>
      </w:r>
      <w:r>
        <w:t xml:space="preserve">defined by Eqs. (18) to (20). Consequently, the parameter updates are jointly constrained by energy efficiency and temperature tracking performance. During training, we adopt an</w:t>
      </w:r>
      <w:r>
        <w:t xml:space="preserve"> </w:t>
      </w:r>
      <m:oMath>
        <m:r>
          <m:t>ϵ</m:t>
        </m:r>
      </m:oMath>
      <w:r>
        <w:t xml:space="preserve">-greedy action selection mechanism with a gradually decaying exploration rate to balance exploration of chilled water supply temperature setpoints against exploitation of learned action values.</w:t>
      </w:r>
    </w:p>
    <w:p>
      <w:pPr>
        <w:pStyle w:val="BodyText"/>
      </w:pPr>
      <w:r>
        <w:t xml:space="preserve">We store each interaction sample</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in an experience replay buffer</w:t>
      </w:r>
      <w:r>
        <w:t xml:space="preserve"> </w:t>
      </w:r>
      <m:oMath>
        <m:r>
          <m:rPr>
            <m:scr m:val="script"/>
            <m:sty m:val="p"/>
          </m:rPr>
          <m:t>D</m:t>
        </m:r>
      </m:oMath>
      <w:r>
        <w:t xml:space="preserve"> </w:t>
      </w:r>
      <w:r>
        <w:t xml:space="preserve">with capacity</w:t>
      </w:r>
      <w:r>
        <w:t xml:space="preserve"> </w:t>
      </w:r>
      <m:oMath>
        <m:r>
          <m:t>M</m:t>
        </m:r>
      </m:oMath>
      <w:r>
        <w:t xml:space="preserve">, where</w:t>
      </w:r>
      <w:r>
        <w:t xml:space="preserve"> </w:t>
      </w:r>
      <m:oMath>
        <m:sSub>
          <m:e>
            <m:r>
              <m:t>a</m:t>
            </m:r>
          </m:e>
          <m:sub>
            <m:r>
              <m:t>t</m:t>
            </m:r>
          </m:sub>
        </m:sSub>
      </m:oMath>
      <w:r>
        <w:t xml:space="preserve"> </w:t>
      </w:r>
      <w:r>
        <w:t xml:space="preserve">denotes the encoded discrete setpoint action. Once the number of stored samples reaches the batch size</w:t>
      </w:r>
      <w:r>
        <w:t xml:space="preserve"> </w:t>
      </w:r>
      <m:oMath>
        <m:r>
          <m:t>B</m:t>
        </m:r>
      </m:oMath>
      <w:r>
        <w:t xml:space="preserve">, we randomly draw mini-batches from</w:t>
      </w:r>
      <w:r>
        <w:t xml:space="preserve"> </w:t>
      </w:r>
      <m:oMath>
        <m:r>
          <m:rPr>
            <m:scr m:val="script"/>
            <m:sty m:val="p"/>
          </m:rPr>
          <m:t>D</m:t>
        </m:r>
      </m:oMath>
      <w:r>
        <w:t xml:space="preserve"> </w:t>
      </w:r>
      <w:r>
        <w:t xml:space="preserve">for parameter updates, thereby reducing the temporal correlation among adjacent load samples. Consistent with the sequential replay implementation adopted in this work, we do not explicitly include a terminal mask in the target Q value</w:t>
      </w:r>
      <w:r>
        <w:t xml:space="preserve"> </w:t>
      </w:r>
      <m:oMath>
        <m:sSubSup>
          <m:e>
            <m:r>
              <m:t>y</m:t>
            </m:r>
          </m:e>
          <m:sub>
            <m:r>
              <m:t>t</m:t>
            </m:r>
          </m:sub>
          <m:sup>
            <m:r>
              <m:t>Q</m:t>
            </m:r>
          </m:sup>
        </m:sSubSup>
      </m:oMath>
      <w:r>
        <w:t xml:space="preserve">. Instead, we construct it from the immediate reward</w:t>
      </w:r>
      <w:r>
        <w:t xml:space="preserve"> </w:t>
      </w:r>
      <m:oMath>
        <m:sSub>
          <m:e>
            <m:r>
              <m:t>r</m:t>
            </m:r>
          </m:e>
          <m:sub>
            <m:r>
              <m:t>t</m:t>
            </m:r>
          </m:sub>
        </m:sSub>
      </m:oMath>
      <w:r>
        <w:t xml:space="preserve">, the discount factor</w:t>
      </w:r>
      <w:r>
        <w:t xml:space="preserve"> </w:t>
      </w:r>
      <m:oMath>
        <m:r>
          <m:t>γ</m:t>
        </m:r>
      </m:oMath>
      <w:r>
        <w:t xml:space="preserve">, and the maximum action value of the next state under the target network parameters</w:t>
      </w:r>
      <w:r>
        <w:t xml:space="preserve"> </w:t>
      </w:r>
      <m:oMath>
        <m:sSup>
          <m:e>
            <m:r>
              <m:t>θ</m:t>
            </m:r>
          </m:e>
          <m:sup>
            <m:r>
              <m:rPr>
                <m:sty m:val="p"/>
              </m:rPr>
              <m:t>−</m:t>
            </m:r>
          </m:sup>
        </m:sSup>
      </m:oMath>
      <w:r>
        <w:t xml:space="preserve">, where</w:t>
      </w:r>
      <w:r>
        <w:t xml:space="preserve"> </w:t>
      </w:r>
      <m:oMath>
        <m:sSup>
          <m:e>
            <m:r>
              <m:t>a</m:t>
            </m:r>
          </m:e>
          <m:sup>
            <m:r>
              <m:rPr>
                <m:sty m:val="p"/>
              </m:rPr>
              <m:t>′</m:t>
            </m:r>
          </m:sup>
        </m:sSup>
      </m:oMath>
      <w:r>
        <w:t xml:space="preserve"> </w:t>
      </w:r>
      <w:r>
        <w:t xml:space="preserve">denotes a candidate discrete setpoint action at the next state</w:t>
      </w:r>
      <w:r>
        <w:t xml:space="preserve"> </w:t>
      </w:r>
      <m:oMath>
        <m:sSub>
          <m:e>
            <m:r>
              <m:t>s</m:t>
            </m:r>
          </m:e>
          <m:sub>
            <m:r>
              <m:t>t</m:t>
            </m:r>
            <m:r>
              <m:rPr>
                <m:sty m:val="p"/>
              </m:rPr>
              <m:t>+</m:t>
            </m:r>
            <m:r>
              <m:t>1</m:t>
            </m:r>
          </m:sub>
        </m:sSub>
      </m:oMath>
      <w:r>
        <w:t xml:space="preserve">. We define the target Q value</w:t>
      </w:r>
      <w:r>
        <w:t xml:space="preserve"> </w:t>
      </w:r>
      <m:oMath>
        <m:sSubSup>
          <m:e>
            <m:r>
              <m:t>y</m:t>
            </m:r>
          </m:e>
          <m:sub>
            <m:r>
              <m:t>t</m:t>
            </m:r>
          </m:sub>
          <m:sup>
            <m:r>
              <m:t>Q</m:t>
            </m:r>
          </m:sup>
        </m:sSubSup>
      </m:oMath>
      <w:r>
        <w:t xml:space="preserve"> </w:t>
      </w:r>
      <w:r>
        <w:t xml:space="preserve">by Eq.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t xml:space="preserve">We adopt the Smooth L1 loss for the training loss</w:t>
      </w:r>
      <w:r>
        <w:t xml:space="preserve"> </w:t>
      </w:r>
      <m:oMath>
        <m:sSub>
          <m:e>
            <m:r>
              <m:rPr>
                <m:scr m:val="script"/>
                <m:sty m:val="p"/>
              </m:rPr>
              <m:t>L</m:t>
            </m:r>
          </m:e>
          <m:sub>
            <m:r>
              <m:t>θ</m:t>
            </m:r>
          </m:sub>
        </m:sSub>
      </m:oMath>
      <w:r>
        <w:t xml:space="preserve"> </w:t>
      </w:r>
      <w:r>
        <w:t xml:space="preserve">to mitigate the distorting effect of abrupt load changes and local nonlinearities in the chiller power model on gradient updates. Let</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t xml:space="preserve">denote the action-value estimation error, and let</w:t>
      </w:r>
      <w:r>
        <w:t xml:space="preserve"> </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t xml:space="preserve">denote the Smooth L1 loss function. We specify the optimization objective for the online network parameters</w:t>
      </w:r>
      <w:r>
        <w:t xml:space="preserve"> </w:t>
      </w:r>
      <m:oMath>
        <m:r>
          <m:t>θ</m:t>
        </m:r>
      </m:oMath>
      <w:r>
        <w:t xml:space="preserve"> </w:t>
      </w:r>
      <w:r>
        <w:t xml:space="preserve">by Eq.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t xml:space="preserve">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pPr>
        <w:pStyle w:val="Compact"/>
        <w:numPr>
          <w:ilvl w:val="0"/>
          <w:numId w:val="1007"/>
        </w:numPr>
      </w:pPr>
      <w:r>
        <w:t xml:space="preserve">Event-driven online execution algorithm</w:t>
      </w:r>
    </w:p>
    <w:p>
      <w:pPr>
        <w:pStyle w:val="FirstParagraph"/>
      </w:pPr>
      <w:r>
        <w:t xml:space="preserve">During online operation, the system directly collects the cooling load</w:t>
      </w:r>
      <w:r>
        <w:t xml:space="preserve"> </w:t>
      </w:r>
      <m:oMath>
        <m:sSubSup>
          <m:e>
            <m:r>
              <m:t>Q</m:t>
            </m:r>
          </m:e>
          <m:sub>
            <m:r>
              <m:rPr>
                <m:sty m:val="p"/>
              </m:rPr>
              <m:t>l</m:t>
            </m:r>
            <m:r>
              <m:rPr>
                <m:sty m:val="p"/>
              </m:rPr>
              <m:t>o</m:t>
            </m:r>
            <m:r>
              <m:rPr>
                <m:sty m:val="p"/>
              </m:rPr>
              <m:t>a</m:t>
            </m:r>
            <m:r>
              <m:rPr>
                <m:sty m:val="p"/>
              </m:rPr>
              <m:t>d</m:t>
            </m:r>
          </m:sub>
          <m:sup>
            <m:r>
              <m:t>t</m:t>
            </m:r>
          </m:sup>
        </m:sSubSup>
      </m:oMath>
      <w:r>
        <w:t xml:space="preserve">, outdoor wet-bulb temperature</w:t>
      </w:r>
      <w:r>
        <w:t xml:space="preserve"> </w:t>
      </w:r>
      <m:oMath>
        <m:sSubSup>
          <m:e>
            <m:r>
              <m:t>T</m:t>
            </m:r>
          </m:e>
          <m:sub>
            <m:r>
              <m:rPr>
                <m:sty m:val="p"/>
              </m:rPr>
              <m:t>w</m:t>
            </m:r>
            <m:r>
              <m:rPr>
                <m:sty m:val="p"/>
              </m:rPr>
              <m:t>b</m:t>
            </m:r>
          </m:sub>
          <m:sup>
            <m:r>
              <m:t>t</m:t>
            </m:r>
          </m:sup>
        </m:sSubSup>
      </m:oMath>
      <w:r>
        <w:t xml:space="preserve">, and one-step-ahead predicted load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from the building operating environment at a fixed sampling interval to construct the predictive state</w:t>
      </w:r>
      <w:r>
        <w:t xml:space="preserve"> </w:t>
      </w:r>
      <m:oMath>
        <m:sSub>
          <m:e>
            <m:r>
              <m:t>s</m:t>
            </m:r>
          </m:e>
          <m:sub>
            <m:r>
              <m:t>t</m:t>
            </m:r>
          </m:sub>
        </m:sSub>
      </m:oMath>
      <w:r>
        <w:t xml:space="preserve">.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pPr>
        <w:pStyle w:val="BodyText"/>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w:t>
      </w:r>
      <w:r>
        <w:t xml:space="preserve"> </w:t>
      </w:r>
      <m:oMath>
        <m:r>
          <m:t>A</m:t>
        </m:r>
        <m:r>
          <m:rPr>
            <m:sty m:val="p"/>
          </m:rPr>
          <m:t>(</m:t>
        </m:r>
        <m:sSub>
          <m:e>
            <m:r>
              <m:t>s</m:t>
            </m:r>
          </m:e>
          <m:sub>
            <m:r>
              <m:t>t</m:t>
            </m:r>
          </m:sub>
        </m:sSub>
        <m:r>
          <m:rPr>
            <m:sty m:val="p"/>
          </m:rPr>
          <m:t>)</m:t>
        </m:r>
      </m:oMath>
      <w:r>
        <w:t xml:space="preserve">, and the local-global two-layer adaptive threshold defined by Eqs. (9) to (16) is used to obtain the adaptive triggering threshold</w:t>
      </w:r>
      <w:r>
        <w:t xml:space="preserve"> </w:t>
      </w:r>
      <m:oMath>
        <m:sSubSup>
          <m:e>
            <m:r>
              <m:t>τ</m:t>
            </m:r>
          </m:e>
          <m:sub>
            <m:r>
              <m:t>t</m:t>
            </m:r>
          </m:sub>
          <m:sup>
            <m:r>
              <m:rPr>
                <m:sty m:val="p"/>
              </m:rPr>
              <m:t>*</m:t>
            </m:r>
          </m:sup>
        </m:sSubSup>
      </m:oMath>
      <w:r>
        <w:t xml:space="preserve">. The trigger decision compares</w:t>
      </w:r>
      <w:r>
        <w:t xml:space="preserve"> </w:t>
      </w:r>
      <m:oMath>
        <m:r>
          <m:t>A</m:t>
        </m:r>
        <m:r>
          <m:rPr>
            <m:sty m:val="p"/>
          </m:rPr>
          <m:t>(</m:t>
        </m:r>
        <m:sSub>
          <m:e>
            <m:r>
              <m:t>s</m:t>
            </m:r>
          </m:e>
          <m:sub>
            <m:r>
              <m:t>t</m:t>
            </m:r>
          </m:sub>
        </m:sSub>
        <m:r>
          <m:rPr>
            <m:sty m:val="p"/>
          </m:rPr>
          <m:t>)</m:t>
        </m:r>
      </m:oMath>
      <w:r>
        <w:t xml:space="preserve"> </w:t>
      </w:r>
      <w:r>
        <w:t xml:space="preserve">with</w:t>
      </w:r>
      <w:r>
        <w:t xml:space="preserve"> </w:t>
      </w:r>
      <m:oMath>
        <m:sSubSup>
          <m:e>
            <m:r>
              <m:t>τ</m:t>
            </m:r>
          </m:e>
          <m:sub>
            <m:r>
              <m:t>t</m:t>
            </m:r>
          </m:sub>
          <m:sup>
            <m:r>
              <m:rPr>
                <m:sty m:val="p"/>
              </m:rPr>
              <m:t>*</m:t>
            </m:r>
          </m:sup>
        </m:sSubSup>
      </m:oMath>
      <w:r>
        <w:t xml:space="preserve"> </w:t>
      </w:r>
      <w:r>
        <w:t xml:space="preserve">and further incorporates the minimum triggering interval</w:t>
      </w:r>
      <w:r>
        <w:t xml:space="preserve"> </w:t>
      </w:r>
      <m:oMath>
        <m:sSub>
          <m:e>
            <m:r>
              <m:rPr>
                <m:sty m:val="p"/>
              </m:rPr>
              <m:t>Δ</m:t>
            </m:r>
          </m:e>
          <m:sub>
            <m:r>
              <m:rPr>
                <m:sty m:val="p"/>
              </m:rPr>
              <m:t>min</m:t>
            </m:r>
          </m:sub>
        </m:sSub>
      </m:oMath>
      <w:r>
        <w:t xml:space="preserve"> </w:t>
      </w:r>
      <w:r>
        <w:t xml:space="preserve">and the hysteresis margin to suppress repeated triggers caused by threshold-level fluctuations.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w:t>
      </w:r>
      <w:r>
        <w:t xml:space="preserve"> </w:t>
      </w:r>
      <m:oMath>
        <m:r>
          <m:rPr>
            <m:scr m:val="script"/>
            <m:sty m:val="p"/>
          </m:rPr>
          <m:t>A</m:t>
        </m:r>
      </m:oMath>
      <w:r>
        <w:t xml:space="preserve">.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no new policy inference is performed, and the control action is held by a zero-order hold (ZOH), i.e.,</w:t>
      </w:r>
      <w:r>
        <w:t xml:space="preserve"> </w:t>
      </w:r>
      <m:oMath>
        <m:sSub>
          <m:e>
            <m:r>
              <m:t>a</m:t>
            </m:r>
          </m:e>
          <m:sub>
            <m:r>
              <m:t>t</m:t>
            </m:r>
          </m:sub>
        </m:sSub>
        <m:r>
          <m:rPr>
            <m:sty m:val="p"/>
          </m:rPr>
          <m:t>=</m:t>
        </m:r>
        <m:sSub>
          <m:e>
            <m:r>
              <m:t>a</m:t>
            </m:r>
          </m:e>
          <m:sub>
            <m:r>
              <m:t>t</m:t>
            </m:r>
            <m:r>
              <m:rPr>
                <m:sty m:val="p"/>
              </m:rPr>
              <m:t>−</m:t>
            </m:r>
            <m:r>
              <m:t>1</m:t>
            </m:r>
          </m:sub>
        </m:sSub>
      </m:oMath>
      <w:r>
        <w:t xml:space="preserve">. Here,</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t xml:space="preserve">denotes the greedy action selected by the trained DQN given state</w:t>
      </w:r>
      <w:r>
        <w:t xml:space="preserve"> </w:t>
      </w:r>
      <m:oMath>
        <m:sSub>
          <m:e>
            <m:r>
              <m:t>s</m:t>
            </m:r>
          </m:e>
          <m:sub>
            <m:r>
              <m:t>t</m:t>
            </m:r>
          </m:sub>
        </m:sSub>
      </m:oMath>
      <w:r>
        <w:t xml:space="preserve">. The online execution is defined by Eq. (23):</w:t>
      </w:r>
    </w:p>
    <w:p>
      <w:pPr>
        <w:pStyle w:val="BodyText"/>
      </w:pPr>
      <m:oMathPara>
        <m:oMathParaPr>
          <m:jc m:val="center"/>
        </m:oMathParaPr>
        <m:oMath>
          <m:sSub>
            <m:e>
              <m:r>
                <m:t>a</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a</m:t>
                        </m:r>
                      </m:e>
                      <m:sub>
                        <m:r>
                          <m:t>t</m:t>
                        </m:r>
                        <m:r>
                          <m:rPr>
                            <m:sty m:val="p"/>
                          </m:rPr>
                          <m:t>−</m:t>
                        </m:r>
                        <m:r>
                          <m:t>1</m:t>
                        </m:r>
                      </m:sub>
                    </m:sSub>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t xml:space="preserve">The complete online execution procedure is summarized below.</w:t>
      </w:r>
    </w:p>
    <w:tbl>
      <w:tblPr>
        <w:tblW w:type="dxa" w:w="9360"/>
        <w:tblLayout w:type="fixed"/>
        <w:tblLook w:firstColumn="1" w:firstRow="1" w:lastColumn="0" w:lastRow="0" w:noHBand="0" w:noVBand="1" w:val="04A0"/>
        <w:tblInd w:w="12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360"/>
        <w:gridCol w:w="360"/>
        <w:gridCol w:w="360"/>
        <w:gridCol w:w="8280"/>
      </w:tblGrid>
      <w:tr>
        <w:tc>
          <w:tcPr>
            <w:tcW w:type="dxa" w:w="9360"/>
            <w:vAlign w:val="center"/>
            <w:gridSpan w:val="4"/>
            <w:tcMar>
              <w:top w:w="30" w:type="dxa"/>
              <w:start w:w="120" w:type="dxa"/>
              <w:bottom w:w="30" w:type="dxa"/>
              <w:end w:w="120" w:type="dxa"/>
            </w:tcMar>
            <w:tcBorders>
              <w:top w:val="single" w:sz="6" w:space="0" w:color="7F7F7F"/>
              <w:bottom w:val="single" w:sz="6" w:space="0" w:color="7F7F7F"/>
            </w:tcBorders>
          </w:tcPr>
          <w:p>
            <w:pPr>
              <w:spacing w:before="0" w:after="0" w:line="240" w:lineRule="auto"/>
              <w:jc w:val="left"/>
            </w:pPr>
            <w:r>
              <w:rPr>
                <w:rFonts w:ascii="Times New Roman" w:hAnsi="Times New Roman" w:eastAsia="Times New Roman"/>
                <w:color w:val="000000"/>
                <w:sz w:val="22"/>
              </w:rPr>
              <w:t>Algorithm 1. Event-Triggered Predictive Reinforcement Learning with Unsupervised Dynamic Event Gating (ET-PRL) Online Control Procedure</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Input: </w:t>
            </w:r>
            <w:r>
              <w:rPr>
                <w:rFonts w:ascii="Times New Roman" w:hAnsi="Times New Roman" w:eastAsia="Times New Roman"/>
                <w:color w:val="000000"/>
                <w:sz w:val="21"/>
              </w:rPr>
              <w:t xml:space="preserve">Trained DQN policy </w:t>
            </w:r>
            <m:oMath>
              <m:sSub>
                <m:e>
                  <m:r>
                    <m:t>π</m:t>
                  </m:r>
                </m:e>
                <m:sub>
                  <m:r>
                    <m:rPr>
                      <m:sty m:val="p"/>
                    </m:rPr>
                    <m:t>D</m:t>
                  </m:r>
                  <m:r>
                    <m:rPr>
                      <m:sty m:val="p"/>
                    </m:rPr>
                    <m:t>Q</m:t>
                  </m:r>
                  <m:r>
                    <m:rPr>
                      <m:sty m:val="p"/>
                    </m:rPr>
                    <m:t>N</m:t>
                  </m:r>
                </m:sub>
              </m:sSub>
            </m:oMath>
            <w:r>
              <w:rPr>
                <w:rFonts w:ascii="Times New Roman" w:hAnsi="Times New Roman" w:eastAsia="Times New Roman"/>
                <w:color w:val="000000"/>
                <w:sz w:val="21"/>
              </w:rPr>
              <w:t xml:space="preserve">; gate parameters </w:t>
            </w:r>
            <m:oMath>
              <m:r>
                <m:rPr>
                  <m:sty m:val="p"/>
                </m:rPr>
                <m:t>Ω</m:t>
              </m:r>
              <m:r>
                <m:rPr>
                  <m:sty m:val="p"/>
                </m:rPr>
                <m:t>=</m:t>
              </m:r>
              <m:r>
                <m:rPr>
                  <m:sty m:val="p"/>
                </m:rPr>
                <m:t>{</m:t>
              </m:r>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q</m:t>
              </m:r>
              <m:r>
                <m:rPr>
                  <m:sty m:val="p"/>
                </m:rPr>
                <m:t>,</m:t>
              </m:r>
              <m:r>
                <m:t>κ</m:t>
              </m:r>
              <m:r>
                <m:rPr>
                  <m:sty m:val="p"/>
                </m:rPr>
                <m:t>,</m:t>
              </m:r>
              <m:sSub>
                <m:e>
                  <m:r>
                    <m:t>ω</m:t>
                  </m:r>
                </m:e>
                <m:sub>
                  <m:r>
                    <m:t>q</m:t>
                  </m:r>
                </m:sub>
              </m:sSub>
              <m:r>
                <m:rPr>
                  <m:sty m:val="p"/>
                </m:rPr>
                <m:t>,</m:t>
              </m:r>
              <m:sSub>
                <m:e>
                  <m:r>
                    <m:t>λ</m:t>
                  </m:r>
                </m:e>
                <m:sub>
                  <m:r>
                    <m:rPr>
                      <m:sty m:val="p"/>
                    </m:rPr>
                    <m:t>l</m:t>
                  </m:r>
                  <m:r>
                    <m:rPr>
                      <m:sty m:val="p"/>
                    </m:rPr>
                    <m:t>o</m:t>
                  </m:r>
                  <m:r>
                    <m:rPr>
                      <m:sty m:val="p"/>
                    </m:rPr>
                    <m:t>c</m:t>
                  </m:r>
                  <m:r>
                    <m:rPr>
                      <m:sty m:val="p"/>
                    </m:rPr>
                    <m:t>a</m:t>
                  </m:r>
                  <m:r>
                    <m:rPr>
                      <m:sty m:val="p"/>
                    </m:rPr>
                    <m:t>l</m:t>
                  </m:r>
                </m:sub>
              </m:sSub>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α</m:t>
                  </m:r>
                </m:e>
                <m:sub>
                  <m:r>
                    <m:rPr>
                      <m:sty m:val="p"/>
                    </m:rPr>
                    <m:t>l</m:t>
                  </m:r>
                  <m:r>
                    <m:rPr>
                      <m:sty m:val="p"/>
                    </m:rPr>
                    <m:t>o</m:t>
                  </m:r>
                  <m:r>
                    <m:rPr>
                      <m:sty m:val="p"/>
                    </m:rPr>
                    <m:t>c</m:t>
                  </m:r>
                  <m:r>
                    <m:rPr>
                      <m:sty m:val="p"/>
                    </m:rPr>
                    <m:t>a</m:t>
                  </m:r>
                  <m:r>
                    <m:rPr>
                      <m:sty m:val="p"/>
                    </m:rPr>
                    <m:t>l</m:t>
                  </m:r>
                </m:sub>
              </m:sSub>
              <m:r>
                <m:rPr>
                  <m:sty m:val="p"/>
                </m:rPr>
                <m:t>,</m:t>
              </m:r>
              <m:sSub>
                <m:e>
                  <m:r>
                    <m:t>b</m:t>
                  </m:r>
                </m:e>
                <m:sub>
                  <m:r>
                    <m:rPr>
                      <m:sty m:val="p"/>
                    </m:rPr>
                    <m:t>b</m:t>
                  </m:r>
                  <m:r>
                    <m:rPr>
                      <m:sty m:val="p"/>
                    </m:rPr>
                    <m:t>i</m:t>
                  </m:r>
                  <m:r>
                    <m:rPr>
                      <m:sty m:val="p"/>
                    </m:rPr>
                    <m:t>a</m:t>
                  </m:r>
                  <m:r>
                    <m:rPr>
                      <m:sty m:val="p"/>
                    </m:rPr>
                    <m:t>s</m:t>
                  </m:r>
                </m:sub>
              </m:sSub>
              <m:r>
                <m:rPr>
                  <m:sty m:val="p"/>
                </m:rPr>
                <m:t>,</m:t>
              </m:r>
              <m:r>
                <m:t>W</m:t>
              </m:r>
              <m:r>
                <m:rPr>
                  <m:sty m:val="p"/>
                </m:rPr>
                <m:t>,</m:t>
              </m:r>
              <m:sSub>
                <m:e>
                  <m:r>
                    <m:t>N</m:t>
                  </m:r>
                </m:e>
                <m:sub>
                  <m:r>
                    <m:rPr>
                      <m:sty m:val="p"/>
                    </m:rPr>
                    <m:t>r</m:t>
                  </m:r>
                  <m:r>
                    <m:rPr>
                      <m:sty m:val="p"/>
                    </m:rPr>
                    <m:t>e</m:t>
                  </m:r>
                  <m:r>
                    <m:rPr>
                      <m:sty m:val="p"/>
                    </m:rPr>
                    <m:t>f</m:t>
                  </m:r>
                </m:sub>
              </m:sSub>
              <m:r>
                <m:rPr>
                  <m:sty m:val="p"/>
                </m:rPr>
                <m:t>,</m:t>
              </m:r>
              <m:r>
                <m:t>ν</m:t>
              </m:r>
              <m:r>
                <m:rPr>
                  <m:sty m:val="p"/>
                </m:rPr>
                <m:t>,</m:t>
              </m:r>
              <m:sSub>
                <m:e>
                  <m:r>
                    <m:t>m</m:t>
                  </m:r>
                </m:e>
                <m:sub>
                  <m:r>
                    <m:rPr>
                      <m:sty m:val="p"/>
                    </m:rPr>
                    <m:t>h</m:t>
                  </m:r>
                  <m:r>
                    <m:rPr>
                      <m:sty m:val="p"/>
                    </m:rPr>
                    <m:t>y</m:t>
                  </m:r>
                  <m:r>
                    <m:rPr>
                      <m:sty m:val="p"/>
                    </m:rPr>
                    <m:t>s</m:t>
                  </m:r>
                </m:sub>
              </m:sSub>
              <m:r>
                <m:rPr>
                  <m:sty m:val="p"/>
                </m:rPr>
                <m:t>}</m:t>
              </m:r>
            </m:oMath>
            <w:r>
              <w:rPr>
                <w:rFonts w:ascii="Times New Roman" w:hAnsi="Times New Roman" w:eastAsia="Times New Roman"/>
                <w:color w:val="000000"/>
                <w:sz w:val="21"/>
              </w:rPr>
              <w:t xml:space="preserve"> defined in Eqs. (7)-(16); minimum trigger interval </w:t>
            </w:r>
            <m:oMath>
              <m:sSub>
                <m:e>
                  <m:r>
                    <m:rPr>
                      <m:sty m:val="p"/>
                    </m:rPr>
                    <m:t>Δ</m:t>
                  </m:r>
                </m:e>
                <m:sub>
                  <m:r>
                    <m:rPr>
                      <m:sty m:val="p"/>
                    </m:rPr>
                    <m:t>min</m:t>
                  </m:r>
                </m:sub>
              </m:sSub>
            </m:oMath>
            <w:r>
              <w:rPr>
                <w:rFonts w:ascii="Times New Roman" w:hAnsi="Times New Roman" w:eastAsia="Times New Roman"/>
                <w:color w:val="000000"/>
                <w:sz w:val="21"/>
              </w:rPr>
              <w:t xml:space="preserve">; total control horizon </w:t>
            </w:r>
            <m:oMath>
              <m:r>
                <m:t>T</m:t>
              </m:r>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Output: </w:t>
            </w:r>
            <w:r>
              <w:rPr>
                <w:rFonts w:ascii="Times New Roman" w:hAnsi="Times New Roman" w:eastAsia="Times New Roman"/>
                <w:color w:val="000000"/>
                <w:sz w:val="21"/>
              </w:rPr>
              <w:t xml:space="preserve">Control setpoint sequence </w:t>
            </w:r>
            <m:oMath>
              <m:r>
                <m:rPr>
                  <m:sty m:val="p"/>
                </m:rPr>
                <m:t>{</m:t>
              </m:r>
              <m:sSub>
                <m:e>
                  <m:r>
                    <m:t>a</m:t>
                  </m:r>
                </m:e>
                <m:sub>
                  <m:r>
                    <m:t>t</m:t>
                  </m:r>
                </m:sub>
              </m:sSub>
              <m:sSubSup>
                <m:e>
                  <m:r>
                    <m:rPr>
                      <m:sty m:val="p"/>
                    </m:rPr>
                    <m:t>}</m:t>
                  </m:r>
                </m:e>
                <m:sub>
                  <m:r>
                    <m:t>t</m:t>
                  </m:r>
                  <m:r>
                    <m:rPr>
                      <m:sty m:val="p"/>
                    </m:rPr>
                    <m:t>=</m:t>
                  </m:r>
                  <m:r>
                    <m:t>1</m:t>
                  </m:r>
                </m:sub>
                <m:sup>
                  <m:r>
                    <m:t>T</m:t>
                  </m:r>
                </m:sup>
              </m:sSubSup>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Initialization:</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initial control action </w:t>
            </w:r>
            <m:oMath>
              <m:sSub>
                <m:e>
                  <m:r>
                    <m:t>a</m:t>
                  </m:r>
                </m:e>
                <m:sub>
                  <m:r>
                    <m:t>0</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last trigger time </w:t>
            </w:r>
            <m:oMath>
              <m:sSub>
                <m:e>
                  <m:r>
                    <m:t>t</m:t>
                  </m:r>
                </m:e>
                <m:sub>
                  <m:r>
                    <m:rPr>
                      <m:sty m:val="p"/>
                    </m:rPr>
                    <m:t>l</m:t>
                  </m:r>
                  <m:r>
                    <m:rPr>
                      <m:sty m:val="p"/>
                    </m:rPr>
                    <m:t>a</m:t>
                  </m:r>
                  <m:r>
                    <m:rPr>
                      <m:sty m:val="p"/>
                    </m:rPr>
                    <m:t>s</m:t>
                  </m:r>
                  <m:r>
                    <m:rPr>
                      <m:sty m:val="p"/>
                    </m:rPr>
                    <m:t>t</m:t>
                  </m:r>
                </m:sub>
              </m:sSub>
              <m:r>
                <m:rPr>
                  <m:sty m:val="p"/>
                </m:rPr>
                <m:t>=</m:t>
              </m:r>
              <m:r>
                <m:rPr>
                  <m:sty m:val="p"/>
                </m:rPr>
                <m:t>−</m:t>
              </m:r>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Initialize the anomaly score sliding window </w:t>
            </w:r>
            <m:oMath>
              <m:sSubSup>
                <m:e>
                  <m:r>
                    <m:t>A</m:t>
                  </m:r>
                </m:e>
                <m:sub>
                  <m:r>
                    <m:t>t</m:t>
                  </m:r>
                </m:sub>
                <m:sup>
                  <m:r>
                    <m:rPr>
                      <m:sty m:val="p"/>
                    </m:rPr>
                    <m:t>(</m:t>
                  </m:r>
                  <m:r>
                    <m:t>W</m:t>
                  </m:r>
                  <m:r>
                    <m:rPr>
                      <m:sty m:val="p"/>
                    </m:rPr>
                    <m:t>)</m:t>
                  </m:r>
                </m:sup>
              </m:sSubSup>
            </m:oMath>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for </w:t>
            </w:r>
            <m:oMath>
              <m:r>
                <m:t>t</m:t>
              </m:r>
              <m:r>
                <m:rPr>
                  <m:sty m:val="p"/>
                </m:rPr>
                <m:t>=</m:t>
              </m:r>
              <m:r>
                <m:t>1</m:t>
              </m:r>
              <m:r>
                <m:rPr>
                  <m:sty m:val="p"/>
                </m:rPr>
                <m:t>,</m:t>
              </m:r>
              <m:r>
                <m:rPr>
                  <m:sty m:val="p"/>
                </m:rPr>
                <m:t>…</m:t>
              </m:r>
              <m:r>
                <m:rPr>
                  <m:sty m:val="p"/>
                </m:rPr>
                <m:t>,</m:t>
              </m:r>
              <m:r>
                <m:t>T</m:t>
              </m:r>
            </m:oMath>
            <w:r>
              <w:rPr>
                <w:rFonts w:ascii="Times New Roman" w:hAnsi="Times New Roman" w:eastAsia="Times New Roman"/>
                <w:color w:val="000000"/>
                <w:sz w:val="21"/>
              </w:rPr>
              <w:t xml:space="preserve"> do</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Collect </w:t>
            </w:r>
            <m:oMath>
              <m:sSubSup>
                <m:e>
                  <m:r>
                    <m:t>Q</m:t>
                  </m:r>
                </m:e>
                <m:sub>
                  <m:r>
                    <m:rPr>
                      <m:sty m:val="p"/>
                    </m:rPr>
                    <m:t>l</m:t>
                  </m:r>
                  <m:r>
                    <m:rPr>
                      <m:sty m:val="p"/>
                    </m:rPr>
                    <m:t>o</m:t>
                  </m:r>
                  <m:r>
                    <m:rPr>
                      <m:sty m:val="p"/>
                    </m:rPr>
                    <m:t>a</m:t>
                  </m:r>
                  <m:r>
                    <m:rPr>
                      <m:sty m:val="p"/>
                    </m:rPr>
                    <m:t>d</m:t>
                  </m:r>
                </m:sub>
                <m:sup>
                  <m:r>
                    <m:t>t</m:t>
                  </m:r>
                </m:sup>
              </m:sSubSup>
            </m:oMath>
            <w:r>
              <w:rPr>
                <w:rFonts w:ascii="Times New Roman" w:hAnsi="Times New Roman" w:eastAsia="Times New Roman"/>
                <w:color w:val="000000"/>
                <w:sz w:val="21"/>
              </w:rPr>
              <w:t xml:space="preserve">, </w:t>
            </w:r>
            <m:oMath>
              <m:sSubSup>
                <m:e>
                  <m:r>
                    <m:t>T</m:t>
                  </m:r>
                </m:e>
                <m:sub>
                  <m:r>
                    <m:rPr>
                      <m:sty m:val="p"/>
                    </m:rPr>
                    <m:t>w</m:t>
                  </m:r>
                  <m:r>
                    <m:rPr>
                      <m:sty m:val="p"/>
                    </m:rPr>
                    <m:t>b</m:t>
                  </m:r>
                </m:sub>
                <m:sup>
                  <m:r>
                    <m:t>t</m:t>
                  </m:r>
                </m:sup>
              </m:sSubSup>
            </m:oMath>
            <w:r>
              <w:rPr>
                <w:rFonts w:ascii="Times New Roman" w:hAnsi="Times New Roman" w:eastAsia="Times New Roman"/>
                <w:color w:val="000000"/>
                <w:sz w:val="21"/>
              </w:rPr>
              <w:t xml:space="preserve">, and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Construct the predictive state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scale-specific anomaly scores </w:t>
            </w: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oMath>
            <w:r>
              <w:rPr>
                <w:rFonts w:ascii="Times New Roman" w:hAnsi="Times New Roman" w:eastAsia="Times New Roman"/>
                <w:color w:val="000000"/>
                <w:sz w:val="21"/>
              </w:rP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oMath>
            <w:r>
              <w:rPr>
                <w:rFonts w:ascii="Times New Roman" w:hAnsi="Times New Roman" w:eastAsia="Times New Roman"/>
                <w:color w:val="000000"/>
                <w:sz w:val="21"/>
              </w:rPr>
              <w:t xml:space="preserve">, and </w:t>
            </w:r>
            <m:oMath>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multi-scale fused anomaly score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according to Eq. (8)</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Compute the candidate threshold, local threshold, and global threshold according to Eqs. (11)-(14)</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adaptive triggering threshold </w:t>
            </w:r>
            <m:oMath>
              <m:sSubSup>
                <m:e>
                  <m:r>
                    <m:t>τ</m:t>
                  </m:r>
                </m:e>
                <m:sub>
                  <m:r>
                    <m:t>t</m:t>
                  </m:r>
                </m:sub>
                <m:sup>
                  <m:r>
                    <m:rPr>
                      <m:sty m:val="p"/>
                    </m:rPr>
                    <m:t>*</m:t>
                  </m:r>
                </m:sup>
              </m:sSubSup>
            </m:oMath>
            <w:r>
              <w:rPr>
                <w:rFonts w:ascii="Times New Roman" w:hAnsi="Times New Roman" w:eastAsia="Times New Roman"/>
                <w:color w:val="000000"/>
                <w:sz w:val="21"/>
              </w:rPr>
              <w:t xml:space="preserve"> according to Eq. (15)</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if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rPr>
                <w:rFonts w:ascii="Times New Roman" w:hAnsi="Times New Roman" w:eastAsia="Times New Roman"/>
                <w:color w:val="000000"/>
                <w:sz w:val="21"/>
              </w:rPr>
              <w:t xml:space="preserve"> and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rPr>
                <w:rFonts w:ascii="Times New Roman" w:hAnsi="Times New Roman" w:eastAsia="Times New Roman"/>
                <w:color w:val="000000"/>
                <w:sz w:val="21"/>
              </w:rPr>
              <w:t xml:space="preserve"> then</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Infer a new control setpoint using the trained DQN policy: </w:t>
            </w:r>
            <m:oMath>
              <m:sSub>
                <m:e>
                  <m:r>
                    <m:t>a</m:t>
                  </m:r>
                </m:e>
                <m:sub>
                  <m:r>
                    <m:t>t</m:t>
                  </m:r>
                </m:sub>
              </m:sSub>
              <m:r>
                <m:rPr>
                  <m:sty m:val="p"/>
                </m:rPr>
                <m:t>=</m:t>
              </m:r>
              <m:sSub>
                <m:e>
                  <m:r>
                    <m:t>π</m:t>
                  </m:r>
                </m:e>
                <m:sub>
                  <m:r>
                    <m:rPr>
                      <m:sty m:val="p"/>
                    </m:rPr>
                    <m:t>D</m:t>
                  </m:r>
                  <m:r>
                    <m:rPr>
                      <m:sty m:val="p"/>
                    </m:rPr>
                    <m:t>Q</m:t>
                  </m:r>
                  <m:r>
                    <m:rPr>
                      <m:sty m:val="p"/>
                    </m:rPr>
                    <m:t>N</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Update the last trigger time: </w:t>
            </w:r>
            <m:oMath>
              <m:sSub>
                <m:e>
                  <m:r>
                    <m:t>t</m:t>
                  </m:r>
                </m:e>
                <m:sub>
                  <m:r>
                    <m:rPr>
                      <m:sty m:val="p"/>
                    </m:rPr>
                    <m:t>l</m:t>
                  </m:r>
                  <m:r>
                    <m:rPr>
                      <m:sty m:val="p"/>
                    </m:rPr>
                    <m:t>a</m:t>
                  </m:r>
                  <m:r>
                    <m:rPr>
                      <m:sty m:val="p"/>
                    </m:rPr>
                    <m:t>s</m:t>
                  </m:r>
                  <m:r>
                    <m:rPr>
                      <m:sty m:val="p"/>
                    </m:rPr>
                    <m:t>t</m:t>
                  </m:r>
                </m:sub>
              </m:sSub>
              <m:r>
                <m:rPr>
                  <m:sty m:val="p"/>
                </m:rPr>
                <m:t>=</m:t>
              </m:r>
              <m:r>
                <m:t>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else</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Hold the previous control setpoint: </w:t>
            </w:r>
            <m:oMath>
              <m:sSub>
                <m:e>
                  <m:r>
                    <m:t>a</m:t>
                  </m:r>
                </m:e>
                <m:sub>
                  <m:r>
                    <m:t>t</m:t>
                  </m:r>
                </m:sub>
              </m:sSub>
              <m:r>
                <m:rPr>
                  <m:sty m:val="p"/>
                </m:rPr>
                <m:t>=</m:t>
              </m:r>
              <m:sSub>
                <m:e>
                  <m:r>
                    <m:t>a</m:t>
                  </m:r>
                </m:e>
                <m:sub>
                  <m:r>
                    <m:t>t</m:t>
                  </m:r>
                  <m:r>
                    <m:rPr>
                      <m:sty m:val="p"/>
                    </m:rPr>
                    <m:t>−</m:t>
                  </m:r>
                  <m:r>
                    <m:t>1</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end if</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Execute </w:t>
            </w:r>
            <m:oMath>
              <m:sSub>
                <m:e>
                  <m:r>
                    <m:t>a</m:t>
                  </m:r>
                </m:e>
                <m:sub>
                  <m:r>
                    <m:t>t</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Append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to </w:t>
            </w:r>
            <m:oMath>
              <m:sSubSup>
                <m:e>
                  <m:r>
                    <m:t>A</m:t>
                  </m:r>
                </m:e>
                <m:sub>
                  <m:r>
                    <m:t>t</m:t>
                  </m:r>
                </m:sub>
                <m:sup>
                  <m:r>
                    <m:rPr>
                      <m:sty m:val="p"/>
                    </m:rPr>
                    <m:t>(</m:t>
                  </m:r>
                  <m:r>
                    <m:t>W</m:t>
                  </m:r>
                  <m:r>
                    <m:rPr>
                      <m:sty m:val="p"/>
                    </m:rPr>
                    <m:t>)</m:t>
                  </m:r>
                </m:sup>
              </m:sSubSup>
            </m:oMath>
            <w:r>
              <w:rPr>
                <w:rFonts w:ascii="Times New Roman" w:hAnsi="Times New Roman" w:eastAsia="Times New Roman"/>
                <w:color w:val="000000"/>
                <w:sz w:val="21"/>
              </w:rPr>
              <w:t xml:space="preserve"> for use in the next threshold update</w:t>
            </w:r>
          </w:p>
        </w:tc>
      </w:tr>
      <w:tr>
        <w:tc>
          <w:tcPr>
            <w:tcW w:type="dxa" w:w="9360"/>
            <w:vAlign w:val="center"/>
            <w:gridSpan w:val="4"/>
            <w:tcMar>
              <w:top w:w="30" w:type="dxa"/>
              <w:start w:w="120" w:type="dxa"/>
              <w:bottom w:w="30" w:type="dxa"/>
              <w:end w:w="120" w:type="dxa"/>
            </w:tcMar>
            <w:tcBorders>
              <w:bottom w:val="single" w:sz="6" w:space="0" w:color="7F7F7F"/>
            </w:tcBorders>
          </w:tcPr>
          <w:p>
            <w:pPr>
              <w:spacing w:before="0" w:after="0" w:line="240" w:lineRule="auto"/>
              <w:jc w:val="left"/>
            </w:pPr>
            <w:r>
              <w:rPr>
                <w:rFonts w:ascii="Times New Roman" w:hAnsi="Times New Roman" w:eastAsia="Times New Roman"/>
                <w:color w:val="000000"/>
                <w:sz w:val="21"/>
              </w:rPr>
              <w:t>end for</w:t>
            </w:r>
          </w:p>
        </w:tc>
      </w:tr>
    </w:tbl>
    <w:bookmarkEnd w:id="21"/>
    <w:bookmarkEnd w:id="22"/>
    <w:bookmarkStart w:id="31" w:name="case-system-and-simulation-environment"/>
    <w:p>
      <w:pPr>
        <w:pStyle w:val="Heading1"/>
      </w:pPr>
      <w:r>
        <w:t xml:space="preserve">4. Case System and Simulation Environment</w:t>
      </w:r>
    </w:p>
    <w:bookmarkStart w:id="23" w:name="building-thermal-system-modeling"/>
    <w:p>
      <w:pPr>
        <w:pStyle w:val="Heading2"/>
      </w:pPr>
      <w:r>
        <w:t xml:space="preserve">4.1 Building Thermal System Modeling</w:t>
      </w:r>
    </w:p>
    <w:p>
      <w:pPr>
        <w:pStyle w:val="FirstParagraph"/>
      </w:pPr>
      <w:r>
        <w:t xml:space="preserve">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parameters of the system are listed in Table A1 in Appendix A, where the coefficient of performance, COP, is defined as the ratio of cooling capacity to input power.</w:t>
      </w:r>
    </w:p>
    <w:bookmarkEnd w:id="23"/>
    <w:bookmarkStart w:id="30" w:name="weather-and-load-dataset-characteristics"/>
    <w:p>
      <w:pPr>
        <w:pStyle w:val="Heading2"/>
      </w:pPr>
      <w:r>
        <w:t xml:space="preserve">4.2 Weather and Load Dataset Characteristics</w:t>
      </w:r>
    </w:p>
    <w:p>
      <w:pPr>
        <w:pStyle w:val="FirstParagraph"/>
      </w:pPr>
      <w:r>
        <w:t xml:space="preserve">We use a cooling load sequence directly collected from the operating environment of a commercial building HVAC system in Shanghai as</w:t>
      </w:r>
      <w:r>
        <w:t xml:space="preserve"> </w:t>
      </w:r>
      <m:oMath>
        <m:sSub>
          <m:e>
            <m:r>
              <m:t>Q</m:t>
            </m:r>
          </m:e>
          <m:sub>
            <m:r>
              <m:rPr>
                <m:sty m:val="p"/>
              </m:rPr>
              <m:t>l</m:t>
            </m:r>
            <m:r>
              <m:rPr>
                <m:sty m:val="p"/>
              </m:rPr>
              <m:t>o</m:t>
            </m:r>
            <m:r>
              <m:rPr>
                <m:sty m:val="p"/>
              </m:rPr>
              <m:t>a</m:t>
            </m:r>
            <m:r>
              <m:rPr>
                <m:sty m:val="p"/>
              </m:rPr>
              <m:t>d</m:t>
            </m:r>
          </m:sub>
        </m:sSub>
      </m:oMath>
      <w:r>
        <w:t xml:space="preserve">, with a sampling interval of</w:t>
      </w:r>
      <w:r>
        <w:t xml:space="preserve"> </w:t>
      </w:r>
      <m:oMath>
        <m:r>
          <m:t>5</m:t>
        </m:r>
        <m:r>
          <m:t> </m:t>
        </m:r>
        <m:r>
          <m:rPr>
            <m:sty m:val="p"/>
          </m:rPr>
          <m:t>m</m:t>
        </m:r>
        <m:r>
          <m:rPr>
            <m:sty m:val="p"/>
          </m:rPr>
          <m:t>i</m:t>
        </m:r>
        <m:r>
          <m:rPr>
            <m:sty m:val="p"/>
          </m:rPr>
          <m:t>n</m:t>
        </m:r>
      </m:oMath>
      <w:r>
        <w:t xml:space="preserve">, and pair it with the outdoor wet bulb temperature</w:t>
      </w:r>
      <w:r>
        <w:t xml:space="preserve"> </w:t>
      </w:r>
      <m:oMath>
        <m:sSub>
          <m:e>
            <m:r>
              <m:t>T</m:t>
            </m:r>
          </m:e>
          <m:sub>
            <m:r>
              <m:rPr>
                <m:sty m:val="p"/>
              </m:rPr>
              <m:t>w</m:t>
            </m:r>
            <m:r>
              <m:rPr>
                <m:sty m:val="p"/>
              </m:rPr>
              <m:t>b</m:t>
            </m:r>
          </m:sub>
        </m:sSub>
      </m:oMath>
      <w:r>
        <w:t xml:space="preserve"> </w:t>
      </w:r>
      <w:r>
        <w:t xml:space="preserve">on the same time axis to form the main state data. The period extends from July 1 to October 10, corresponding to</w:t>
      </w:r>
      <w:r>
        <w:t xml:space="preserve"> </w:t>
      </w:r>
      <m:oMath>
        <m:r>
          <m:t>102</m:t>
        </m:r>
      </m:oMath>
      <w:r>
        <w:t xml:space="preserve"> </w:t>
      </w:r>
      <w:r>
        <w:t xml:space="preserve">days, or</w:t>
      </w:r>
      <w:r>
        <w:t xml:space="preserve"> </w:t>
      </w:r>
      <m:oMath>
        <m:r>
          <m:t>29</m:t>
        </m:r>
        <m:r>
          <m:rPr>
            <m:sty m:val="p"/>
          </m:rPr>
          <m:t>,</m:t>
        </m:r>
        <m:r>
          <m:t>376</m:t>
        </m:r>
      </m:oMath>
      <w:r>
        <w:t xml:space="preserve"> </w:t>
      </w:r>
      <w:r>
        <w:t xml:space="preserve">time steps at the</w:t>
      </w:r>
      <w:r>
        <w:t xml:space="preserve"> </w:t>
      </w:r>
      <m:oMath>
        <m:r>
          <m:t>5</m:t>
        </m:r>
        <m:r>
          <m:t> </m:t>
        </m:r>
        <m:r>
          <m:rPr>
            <m:sty m:val="p"/>
          </m:rPr>
          <m:t>m</m:t>
        </m:r>
        <m:r>
          <m:rPr>
            <m:sty m:val="p"/>
          </m:rPr>
          <m:t>i</m:t>
        </m:r>
        <m:r>
          <m:rPr>
            <m:sty m:val="p"/>
          </m:rPr>
          <m:t>n</m:t>
        </m:r>
      </m:oMath>
      <w:r>
        <w:t xml:space="preserve"> </w:t>
      </w:r>
      <w:r>
        <w:t xml:space="preserve">resolution, thereby capturing both intraday periodic fluctuations and seasonal scale variations. Descriptive statistics show that the peak cooling load is</w:t>
      </w:r>
      <w:r>
        <w:t xml:space="preserve"> </w:t>
      </w:r>
      <m:oMath>
        <m:r>
          <m:t>5102.77</m:t>
        </m:r>
        <m:r>
          <m:t> </m:t>
        </m:r>
        <m:r>
          <m:rPr>
            <m:sty m:val="p"/>
          </m:rPr>
          <m:t>k</m:t>
        </m:r>
        <m:r>
          <m:rPr>
            <m:sty m:val="p"/>
          </m:rPr>
          <m:t>W</m:t>
        </m:r>
      </m:oMath>
      <w:r>
        <w:t xml:space="preserve">, with a standard deviation of</w:t>
      </w:r>
      <w:r>
        <w:t xml:space="preserve"> </w:t>
      </w:r>
      <m:oMath>
        <m:r>
          <m:t>962.02</m:t>
        </m:r>
        <m:r>
          <m:t> </m:t>
        </m:r>
        <m:r>
          <m:rPr>
            <m:sty m:val="p"/>
          </m:rPr>
          <m:t>k</m:t>
        </m:r>
        <m:r>
          <m:rPr>
            <m:sty m:val="p"/>
          </m:rPr>
          <m:t>W</m:t>
        </m:r>
      </m:oMath>
      <w:r>
        <w:t xml:space="preserve"> </w:t>
      </w:r>
      <w:r>
        <w:t xml:space="preserve">and a coefficient of variation (CV) of</w:t>
      </w:r>
      <w:r>
        <w:t xml:space="preserve"> </w:t>
      </w:r>
      <m:oMath>
        <m:r>
          <m:t>37.3</m:t>
        </m:r>
        <m:r>
          <m:rPr>
            <m:sty m:val="p"/>
          </m:rPr>
          <m:t>%</m:t>
        </m:r>
      </m:oMath>
      <w:r>
        <w:t xml:space="preserve">, while the outdoor wet bulb temperature</w:t>
      </w:r>
      <w:r>
        <w:t xml:space="preserve"> </w:t>
      </w:r>
      <m:oMath>
        <m:sSub>
          <m:e>
            <m:r>
              <m:t>T</m:t>
            </m:r>
          </m:e>
          <m:sub>
            <m:r>
              <m:rPr>
                <m:sty m:val="p"/>
              </m:rPr>
              <m:t>w</m:t>
            </m:r>
            <m:r>
              <m:rPr>
                <m:sty m:val="p"/>
              </m:rPr>
              <m:t>b</m:t>
            </m:r>
          </m:sub>
        </m:sSub>
      </m:oMath>
      <w:r>
        <w:t xml:space="preserve"> </w:t>
      </w:r>
      <w:r>
        <w:t xml:space="preserve">ranges from</w:t>
      </w:r>
      <w:r>
        <w:t xml:space="preserve"> </w:t>
      </w:r>
      <m:oMath>
        <m:r>
          <m:t>21</m:t>
        </m:r>
      </m:oMath>
      <w:r>
        <w:t xml:space="preserve"> </w:t>
      </w:r>
      <w:r>
        <w:t xml:space="preserve">to</w:t>
      </w:r>
      <w:r>
        <w:t xml:space="preserve"> </w:t>
      </w:r>
      <m:oMath>
        <m:r>
          <m:t>28</m:t>
        </m:r>
        <m:r>
          <m:t> </m:t>
        </m:r>
        <m:sSup>
          <m:e>
            <m:r>
              <m:rPr>
                <m:sty m:val="p"/>
              </m:rPr>
              <m:t>​</m:t>
            </m:r>
          </m:e>
          <m:sup>
            <m:r>
              <m:rPr>
                <m:sty m:val="p"/>
              </m:rPr>
              <m:t>∘</m:t>
            </m:r>
          </m:sup>
        </m:sSup>
        <m:r>
          <m:rPr>
            <m:sty m:val="p"/>
          </m:rPr>
          <m:t>C</m:t>
        </m:r>
      </m:oMath>
      <w:r>
        <w:t xml:space="preserve">.</w:t>
      </w:r>
    </w:p>
    <w:p>
      <w:pPr>
        <w:pStyle w:val="BodyText"/>
      </w:pPr>
      <w:r>
        <w:t xml:space="preserve">Figure 3 presents the multiscale temporal characteristics of the cooling load and outdoor wet bulb temperature. In the representative 14 day segment shown in Figure 3a,</w:t>
      </w:r>
      <w:r>
        <w:t xml:space="preserve"> </w:t>
      </w:r>
      <m:oMath>
        <m:sSub>
          <m:e>
            <m:r>
              <m:t>Q</m:t>
            </m:r>
          </m:e>
          <m:sub>
            <m:r>
              <m:rPr>
                <m:sty m:val="p"/>
              </m:rPr>
              <m:t>l</m:t>
            </m:r>
            <m:r>
              <m:rPr>
                <m:sty m:val="p"/>
              </m:rPr>
              <m:t>o</m:t>
            </m:r>
            <m:r>
              <m:rPr>
                <m:sty m:val="p"/>
              </m:rPr>
              <m:t>a</m:t>
            </m:r>
            <m:r>
              <m:rPr>
                <m:sty m:val="p"/>
              </m:rPr>
              <m:t>d</m:t>
            </m:r>
          </m:sub>
        </m:sSub>
      </m:oMath>
      <w:r>
        <w:t xml:space="preserve"> </w:t>
      </w:r>
      <w:r>
        <w:t xml:space="preserve">and</w:t>
      </w:r>
      <w:r>
        <w:t xml:space="preserve"> </w:t>
      </w:r>
      <m:oMath>
        <m:sSub>
          <m:e>
            <m:r>
              <m:t>T</m:t>
            </m:r>
          </m:e>
          <m:sub>
            <m:r>
              <m:rPr>
                <m:sty m:val="p"/>
              </m:rPr>
              <m:t>w</m:t>
            </m:r>
            <m:r>
              <m:rPr>
                <m:sty m:val="p"/>
              </m:rPr>
              <m:t>b</m:t>
            </m:r>
          </m:sub>
        </m:sSub>
      </m:oMath>
      <w:r>
        <w:t xml:space="preserve"> </w:t>
      </w:r>
      <w:r>
        <w:t xml:space="preserve">generally increase and decrease together during high load periods, although</w:t>
      </w:r>
      <w:r>
        <w:t xml:space="preserve"> </w:t>
      </w:r>
      <m:oMath>
        <m:sSub>
          <m:e>
            <m:r>
              <m:t>Q</m:t>
            </m:r>
          </m:e>
          <m:sub>
            <m:r>
              <m:rPr>
                <m:sty m:val="p"/>
              </m:rPr>
              <m:t>l</m:t>
            </m:r>
            <m:r>
              <m:rPr>
                <m:sty m:val="p"/>
              </m:rPr>
              <m:t>o</m:t>
            </m:r>
            <m:r>
              <m:rPr>
                <m:sty m:val="p"/>
              </m:rPr>
              <m:t>a</m:t>
            </m:r>
            <m:r>
              <m:rPr>
                <m:sty m:val="p"/>
              </m:rPr>
              <m:t>d</m:t>
            </m:r>
          </m:sub>
        </m:sSub>
      </m:oMath>
      <w:r>
        <w:t xml:space="preserve"> </w:t>
      </w:r>
      <w:r>
        <w:t xml:space="preserve">exhibits a much larger diurnal amplitude. The time of day averaged profiles in Figure 3b further show that</w:t>
      </w:r>
      <w:r>
        <w:t xml:space="preserve"> </w:t>
      </w:r>
      <m:oMath>
        <m:sSub>
          <m:e>
            <m:r>
              <m:t>Q</m:t>
            </m:r>
          </m:e>
          <m:sub>
            <m:r>
              <m:rPr>
                <m:sty m:val="p"/>
              </m:rPr>
              <m:t>l</m:t>
            </m:r>
            <m:r>
              <m:rPr>
                <m:sty m:val="p"/>
              </m:rPr>
              <m:t>o</m:t>
            </m:r>
            <m:r>
              <m:rPr>
                <m:sty m:val="p"/>
              </m:rPr>
              <m:t>a</m:t>
            </m:r>
            <m:r>
              <m:rPr>
                <m:sty m:val="p"/>
              </m:rPr>
              <m:t>d</m:t>
            </m:r>
          </m:sub>
        </m:sSub>
      </m:oMath>
      <w:r>
        <w:t xml:space="preserve"> </w:t>
      </w:r>
      <w:r>
        <w:t xml:space="preserve">rises during daytime operating hours and decreases at night, whereas</w:t>
      </w:r>
      <w:r>
        <w:t xml:space="preserve"> </w:t>
      </w:r>
      <m:oMath>
        <m:sSub>
          <m:e>
            <m:r>
              <m:t>T</m:t>
            </m:r>
          </m:e>
          <m:sub>
            <m:r>
              <m:rPr>
                <m:sty m:val="p"/>
              </m:rPr>
              <m:t>w</m:t>
            </m:r>
            <m:r>
              <m:rPr>
                <m:sty m:val="p"/>
              </m:rPr>
              <m:t>b</m:t>
            </m:r>
          </m:sub>
        </m:sSub>
      </m:oMath>
      <w:r>
        <w:t xml:space="preserve"> </w:t>
      </w:r>
      <w:r>
        <w:t xml:space="preserve">varies more smoothly over the day.</w:t>
      </w:r>
    </w:p>
    <w:p>
      <w:pPr>
        <w:pStyle w:val="CaptionedFigure"/>
      </w:pPr>
      <w:r>
        <w:drawing>
          <wp:inline>
            <wp:extent cx="5334000" cy="3426797"/>
            <wp:effectExtent b="0" l="0" r="0" t="0"/>
            <wp:docPr descr="Figure 3 Visualization of dataset temporal characteristics, full period sequence and intraday statistical profiles" title="" id="25" name="Picture"/>
            <a:graphic>
              <a:graphicData uri="http://schemas.openxmlformats.org/drawingml/2006/picture">
                <pic:pic>
                  <pic:nvPicPr>
                    <pic:cNvPr descr="../pics/fig3_dataset_temporal_characteristics.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t xml:space="preserve">Figure 3 Visualization of dataset temporal characteristics, full period sequence and intraday statistical profiles</w:t>
      </w:r>
    </w:p>
    <w:p>
      <w:pPr>
        <w:pStyle w:val="BodyText"/>
      </w:pPr>
      <w:r>
        <w:t xml:space="preserve">Figure 4 further presents the marginal and joint distributions of the key variables. The cooling load</w:t>
      </w:r>
      <w:r>
        <w:t xml:space="preserve"> </w:t>
      </w:r>
      <m:oMath>
        <m:sSub>
          <m:e>
            <m:r>
              <m:t>Q</m:t>
            </m:r>
          </m:e>
          <m:sub>
            <m:r>
              <m:rPr>
                <m:sty m:val="p"/>
              </m:rPr>
              <m:t>l</m:t>
            </m:r>
            <m:r>
              <m:rPr>
                <m:sty m:val="p"/>
              </m:rPr>
              <m:t>o</m:t>
            </m:r>
            <m:r>
              <m:rPr>
                <m:sty m:val="p"/>
              </m:rPr>
              <m:t>a</m:t>
            </m:r>
            <m:r>
              <m:rPr>
                <m:sty m:val="p"/>
              </m:rPr>
              <m:t>d</m:t>
            </m:r>
          </m:sub>
        </m:sSub>
      </m:oMath>
      <w:r>
        <w:t xml:space="preserve"> </w:t>
      </w:r>
      <w:r>
        <w:t xml:space="preserve">forms pronounced density clusters across multiple load ranges, indicating that the dataset contains several typical operating regimes, whereas</w:t>
      </w:r>
      <w:r>
        <w:t xml:space="preserve"> </w:t>
      </w:r>
      <m:oMath>
        <m:sSub>
          <m:e>
            <m:r>
              <m:t>T</m:t>
            </m:r>
          </m:e>
          <m:sub>
            <m:r>
              <m:rPr>
                <m:sty m:val="p"/>
              </m:rPr>
              <m:t>w</m:t>
            </m:r>
            <m:r>
              <m:rPr>
                <m:sty m:val="p"/>
              </m:rPr>
              <m:t>b</m:t>
            </m:r>
          </m:sub>
        </m:sSub>
      </m:oMath>
      <w:r>
        <w:t xml:space="preserve"> </w:t>
      </w:r>
      <w:r>
        <w:t xml:space="preserve">is concentrated within a relatively narrow range, indicating limited variability in the outdoor wet bulb temperature in this dataset. Moreover, the joint density of</w:t>
      </w:r>
      <w:r>
        <w:t xml:space="preserve"> </w:t>
      </w:r>
      <m:oMath>
        <m:sSub>
          <m:e>
            <m:r>
              <m:t>T</m:t>
            </m:r>
          </m:e>
          <m:sub>
            <m:r>
              <m:rPr>
                <m:sty m:val="p"/>
              </m:rPr>
              <m:t>w</m:t>
            </m:r>
            <m:r>
              <m:rPr>
                <m:sty m:val="p"/>
              </m:rPr>
              <m:t>b</m:t>
            </m:r>
          </m:sub>
        </m:sSub>
      </m:oMath>
      <w:r>
        <w:t xml:space="preserve"> </w:t>
      </w:r>
      <w:r>
        <w:t xml:space="preserve">and</w:t>
      </w:r>
      <w:r>
        <w:t xml:space="preserve"> </w:t>
      </w:r>
      <m:oMath>
        <m:sSub>
          <m:e>
            <m:r>
              <m:t>Q</m:t>
            </m:r>
          </m:e>
          <m:sub>
            <m:r>
              <m:rPr>
                <m:sty m:val="p"/>
              </m:rPr>
              <m:t>l</m:t>
            </m:r>
            <m:r>
              <m:rPr>
                <m:sty m:val="p"/>
              </m:rPr>
              <m:t>o</m:t>
            </m:r>
            <m:r>
              <m:rPr>
                <m:sty m:val="p"/>
              </m:rPr>
              <m:t>a</m:t>
            </m:r>
            <m:r>
              <m:rPr>
                <m:sty m:val="p"/>
              </m:rPr>
              <m:t>d</m:t>
            </m:r>
          </m:sub>
        </m:sSub>
      </m:oMath>
      <w:r>
        <w:t xml:space="preserve"> </w:t>
      </w:r>
      <w:r>
        <w:t xml:space="preserve">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pPr>
        <w:pStyle w:val="CaptionedFigure"/>
      </w:pPr>
      <w:r>
        <w:drawing>
          <wp:inline>
            <wp:extent cx="5334000" cy="1530032"/>
            <wp:effectExtent b="0" l="0" r="0" t="0"/>
            <wp:docPr descr="Figure 4 Visualization of dataset distributions and feature dependence" title="" id="28" name="Picture"/>
            <a:graphic>
              <a:graphicData uri="http://schemas.openxmlformats.org/drawingml/2006/picture">
                <pic:pic>
                  <pic:nvPicPr>
                    <pic:cNvPr descr="../pics/fig4_dataset_distribution_and_correlation.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t xml:space="preserve">Figure 4 Visualization of dataset distributions and feature dependence</w:t>
      </w:r>
    </w:p>
    <w:p>
      <w:pPr>
        <w:pStyle w:val="BodyText"/>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generated by the LSTM as an additional state input to characterize short term load variation trends, thereby ensuring that the final state input includes both the current operating conditions and the short term evolution trend.</w:t>
      </w:r>
    </w:p>
    <w:p>
      <w:pPr>
        <w:pStyle w:val="BodyText"/>
      </w:pPr>
      <w:r>
        <w:t xml:space="preserve">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bookmarkEnd w:id="30"/>
    <w:bookmarkEnd w:id="31"/>
    <w:bookmarkStart w:id="52" w:name="experiments-and-results"/>
    <w:p>
      <w:pPr>
        <w:pStyle w:val="Heading1"/>
      </w:pPr>
      <w:r>
        <w:t xml:space="preserve">5. Experiments and Results</w:t>
      </w:r>
    </w:p>
    <w:bookmarkStart w:id="35" w:name="experimental-setup"/>
    <w:p>
      <w:pPr>
        <w:pStyle w:val="Heading2"/>
      </w:pPr>
      <w:r>
        <w:t xml:space="preserve">5.1 Experimental Setup</w:t>
      </w:r>
    </w:p>
    <w:bookmarkStart w:id="32" w:name="experimental-and-hyperparameter-settings"/>
    <w:p>
      <w:pPr>
        <w:pStyle w:val="Heading3"/>
      </w:pPr>
      <w:r>
        <w:t xml:space="preserve">5.1.1 Experimental and Hyperparameter Settings</w:t>
      </w:r>
    </w:p>
    <w:p>
      <w:pPr>
        <w:pStyle w:val="FirstParagraph"/>
      </w:pPr>
      <w:r>
        <w:t xml:space="preserve">This section describes the experimental settings and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in Appendix A.</w:t>
      </w:r>
    </w:p>
    <w:bookmarkEnd w:id="32"/>
    <w:bookmarkStart w:id="33" w:name="comparison-methods"/>
    <w:p>
      <w:pPr>
        <w:pStyle w:val="Heading3"/>
      </w:pPr>
      <w:r>
        <w:t xml:space="preserve">5.1.2 Comparison Methods</w:t>
      </w:r>
    </w:p>
    <w:p>
      <w:pPr>
        <w:pStyle w:val="FirstParagraph"/>
      </w:pPr>
      <w:r>
        <w:t xml:space="preserve">To systematically evaluate the control performance of the proposed ET-PRL method, we design six comparison strategies under the same test set and evaluation protocol, including two conventional control baselines and four RL strategies, to examine the relationship between control sparsity and energy efficiency under different triggering mechanisms.</w:t>
      </w:r>
    </w:p>
    <w:p>
      <w:pPr>
        <w:pStyle w:val="BodyText"/>
      </w:pPr>
      <w:r>
        <w:t xml:space="preserve">The two conventional control baselines are PID and RBC. PID is a discrete closed-loop controller based on the supply water temperature error and adjusts the setpoint according to the current temperature deviation. RBC uses a fixed supply water temperature setpoint and serves as a rule-based baseline without learning.</w:t>
      </w:r>
    </w:p>
    <w:p>
      <w:pPr>
        <w:pStyle w:val="BodyText"/>
      </w:pPr>
      <w:r>
        <w:t xml:space="preserve">All four RL strategies reuse the same trained DQN policy network and state inputs but differ in action update scheduling. Time-Triggered Reinforcement Learning (TTC-RL) includes TTC-RL-1 and TTC-RL-2. TTC-RL-1 recomputes and executes the control action at every sampling step, serving as the dense update baseline for the RL strategy group. TTC-RL-2 updates the action every two sampling steps, which allows us to examine the effect of fixed frequency reduction. Static-Threshold Event-Triggered Control (ST-ETC) releases action updates only when the static threshold condition is satisfied, representing sparse control under a static trigger threshold. The proposed ET-PRL method incorporates streaming multiscale anomaly scoring with two-layer dynamic thresholds, and triggers action updates only when the current operating condition deviates significantly from the recent normal distribution.</w:t>
      </w:r>
    </w:p>
    <w:bookmarkEnd w:id="33"/>
    <w:bookmarkStart w:id="34" w:name="evaluation-metrics"/>
    <w:p>
      <w:pPr>
        <w:pStyle w:val="Heading3"/>
      </w:pPr>
      <w:r>
        <w:t xml:space="preserve">5.1.3 Evaluation Metrics</w:t>
      </w:r>
    </w:p>
    <w:p>
      <w:pPr>
        <w:pStyle w:val="FirstParagraph"/>
      </w:pPr>
      <w:r>
        <w:t xml:space="preserve">To comprehensively evaluate the performance of the proposed ET-PRL method, we construct four groups of evaluation metrics, namely energy efficiency, temperature control and stability, control sparsity, and execution level statistics, to ensure the completeness and reproducibility of the experimental results.</w:t>
      </w:r>
    </w:p>
    <w:p>
      <w:pPr>
        <w:pStyle w:val="Compact"/>
        <w:numPr>
          <w:ilvl w:val="0"/>
          <w:numId w:val="1008"/>
        </w:numPr>
      </w:pPr>
      <w:r>
        <w:t xml:space="preserve">Energy efficiency metrics</w:t>
      </w:r>
    </w:p>
    <w:p>
      <w:pPr>
        <w:pStyle w:val="FirstParagraph"/>
      </w:pPr>
      <w:r>
        <w:t xml:space="preserve">Energy efficiency is a core optimization objective in building energy management. We use the operating power of the chiller as the primary measurement target.</w:t>
      </w:r>
    </w:p>
    <w:p>
      <w:pPr>
        <w:pStyle w:val="BodyText"/>
      </w:pPr>
      <w:r>
        <w:rPr>
          <w:rFonts w:hint="eastAsia"/>
        </w:rPr>
        <w:t xml:space="preserve">（1）Average</w:t>
      </w:r>
      <w:r>
        <w:t xml:space="preserve"> daily energy consumption</w:t>
      </w:r>
    </w:p>
    <w:p>
      <w:pPr>
        <w:pStyle w:val="BodyText"/>
      </w:pPr>
      <w:r>
        <w:t xml:space="preserve">Average daily energy consumption characterizes the average daily electricity use over the test period in kWh/day, as defined in Eq.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t xml:space="preserve">where</w:t>
      </w:r>
      <w:r>
        <w:t xml:space="preserve"> </w:t>
      </w:r>
      <m:oMath>
        <m:r>
          <m:t>D</m:t>
        </m:r>
      </m:oMath>
      <w:r>
        <w:t xml:space="preserve"> </w:t>
      </w:r>
      <w:r>
        <w:t xml:space="preserve">is the number of test days,</w:t>
      </w:r>
      <w:r>
        <w:t xml:space="preserve"> </w:t>
      </w:r>
      <m:oMath>
        <m:sSub>
          <m:e>
            <m:r>
              <m:t>T</m:t>
            </m:r>
          </m:e>
          <m:sub>
            <m:r>
              <m:t>d</m:t>
            </m:r>
          </m:sub>
        </m:sSub>
      </m:oMath>
      <w:r>
        <w:t xml:space="preserve"> </w:t>
      </w:r>
      <w:r>
        <w:t xml:space="preserve">is the number of time steps on day</w:t>
      </w:r>
      <w:r>
        <w:t xml:space="preserve"> </w:t>
      </w:r>
      <m:oMath>
        <m:r>
          <m:t>d</m:t>
        </m:r>
      </m:oMath>
      <w:r>
        <w:t xml:space="preserve">,</w:t>
      </w:r>
      <w:r>
        <w:t xml:space="preserve"> </w:t>
      </w:r>
      <m:oMath>
        <m:r>
          <m:rPr>
            <m:sty m:val="p"/>
          </m:rPr>
          <m:t>Δ</m:t>
        </m:r>
        <m:r>
          <m:t>t</m:t>
        </m:r>
      </m:oMath>
      <w:r>
        <w:t xml:space="preserve"> </w:t>
      </w:r>
      <w:r>
        <w:t xml:space="preserve">is the sampling interval in hours, and</w:t>
      </w:r>
      <w:r>
        <w:t xml:space="preserve"> </w:t>
      </w:r>
      <m:oMath>
        <m:sSub>
          <m:e>
            <m:r>
              <m:t>P</m:t>
            </m:r>
          </m:e>
          <m:sub>
            <m:r>
              <m:rPr>
                <m:nor/>
                <m:sty m:val="p"/>
              </m:rPr>
              <m:t>chiller</m:t>
            </m:r>
          </m:sub>
        </m:sSub>
        <m:r>
          <m:rPr>
            <m:sty m:val="p"/>
          </m:rPr>
          <m:t>(</m:t>
        </m:r>
        <m:r>
          <m:t>t</m:t>
        </m:r>
        <m:r>
          <m:rPr>
            <m:sty m:val="p"/>
          </m:rPr>
          <m:t>)</m:t>
        </m:r>
      </m:oMath>
      <w:r>
        <w:t xml:space="preserve"> </w:t>
      </w:r>
      <w:r>
        <w:t xml:space="preserve">is the chiller operating power at time step</w:t>
      </w:r>
      <w:r>
        <w:t xml:space="preserve"> </w:t>
      </w:r>
      <m:oMath>
        <m:r>
          <m:t>t</m:t>
        </m:r>
      </m:oMath>
      <w:r>
        <w:t xml:space="preserve"> </w:t>
      </w:r>
      <w:r>
        <w:t xml:space="preserve">in kW.</w:t>
      </w:r>
    </w:p>
    <w:p>
      <w:pPr>
        <w:pStyle w:val="BodyText"/>
      </w:pPr>
      <w:r>
        <w:rPr>
          <w:rFonts w:hint="eastAsia"/>
        </w:rPr>
        <w:t xml:space="preserve">（2）Relative</w:t>
      </w:r>
      <w:r>
        <w:t xml:space="preserve"> energy saving rate</w:t>
      </w:r>
    </w:p>
    <w:p>
      <w:pPr>
        <w:pStyle w:val="BodyText"/>
      </w:pPr>
      <w:r>
        <w:t xml:space="preserve">Relative energy saving rate quantifies the energy saving effect of each evaluated method relative to the common baseline, as defined in Eq.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t xml:space="preserve">where</w:t>
      </w:r>
      <w:r>
        <w:t xml:space="preserve"> </w:t>
      </w:r>
      <m:oMath>
        <m:sSub>
          <m:e>
            <m:r>
              <m:t>E</m:t>
            </m:r>
          </m:e>
          <m:sub>
            <m:r>
              <m:rPr>
                <m:nor/>
                <m:sty m:val="p"/>
              </m:rPr>
              <m:t>base</m:t>
            </m:r>
          </m:sub>
        </m:sSub>
      </m:oMath>
      <w:r>
        <w:t xml:space="preserve"> </w:t>
      </w:r>
      <w:r>
        <w:t xml:space="preserve">is the cumulative energy consumption of the common baseline, and</w:t>
      </w:r>
      <w:r>
        <w:t xml:space="preserve"> </w:t>
      </w:r>
      <m:oMath>
        <m:sSub>
          <m:e>
            <m:r>
              <m:t>E</m:t>
            </m:r>
          </m:e>
          <m:sub>
            <m:r>
              <m:t>i</m:t>
            </m:r>
          </m:sub>
        </m:sSub>
      </m:oMath>
      <w:r>
        <w:t xml:space="preserve"> </w:t>
      </w:r>
      <w:r>
        <w:t xml:space="preserve">is the cumulative energy consumption of the</w:t>
      </w:r>
      <w:r>
        <w:t xml:space="preserve"> </w:t>
      </w:r>
      <m:oMath>
        <m:r>
          <m:t>i</m:t>
        </m:r>
      </m:oMath>
      <w:r>
        <w:t xml:space="preserve">th method.</w:t>
      </w:r>
    </w:p>
    <w:p>
      <w:pPr>
        <w:pStyle w:val="BodyText"/>
      </w:pPr>
      <w:r>
        <w:rPr>
          <w:rFonts w:hint="eastAsia"/>
        </w:rPr>
        <w:t xml:space="preserve">（3）Average</w:t>
      </w:r>
      <w:r>
        <w:t xml:space="preserve"> chiller power</w:t>
      </w:r>
    </w:p>
    <w:p>
      <w:pPr>
        <w:pStyle w:val="BodyText"/>
      </w:pPr>
      <w:r>
        <w:t xml:space="preserve">Average chiller power reflects the average load level and operating intensity over the whole test period, as defined in Eq.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t xml:space="preserve">where</w:t>
      </w:r>
      <w:r>
        <w:t xml:space="preserve"> </w:t>
      </w:r>
      <m:oMath>
        <m:r>
          <m:t>N</m:t>
        </m:r>
      </m:oMath>
      <w:r>
        <w:t xml:space="preserve"> </w:t>
      </w:r>
      <w:r>
        <w:t xml:space="preserve">is the total number of test steps. This metric is physically related to</w:t>
      </w:r>
      <w:r>
        <w:t xml:space="preserve"> </w:t>
      </w:r>
      <m:oMath>
        <m:sSub>
          <m:e>
            <m:r>
              <m:t>E</m:t>
            </m:r>
          </m:e>
          <m:sub>
            <m:r>
              <m:rPr>
                <m:nor/>
                <m:sty m:val="p"/>
              </m:rPr>
              <m:t>daily</m:t>
            </m:r>
          </m:sub>
        </m:sSub>
      </m:oMath>
      <w:r>
        <w:t xml:space="preserve">, but the two metrics characterize average load intensity and cumulative energy consumption, respectively.</w:t>
      </w:r>
    </w:p>
    <w:p>
      <w:pPr>
        <w:pStyle w:val="Compact"/>
        <w:numPr>
          <w:ilvl w:val="0"/>
          <w:numId w:val="1009"/>
        </w:numPr>
      </w:pPr>
      <w:r>
        <w:t xml:space="preserve">Temperature control and stability metrics</w:t>
      </w:r>
    </w:p>
    <w:p>
      <w:pPr>
        <w:pStyle w:val="FirstParagraph"/>
      </w:pPr>
      <w:r>
        <w:t xml:space="preserve">We use the chilled water supply temperature as the controlled variable, with the acceptable range set from</w:t>
      </w:r>
      <w:r>
        <w:t xml:space="preserve"> </w:t>
      </w:r>
      <m:oMath>
        <m:sSup>
          <m:e>
            <m:r>
              <m:t>15.0</m:t>
            </m:r>
          </m:e>
          <m:sup>
            <m:r>
              <m:rPr>
                <m:sty m:val="p"/>
              </m:rPr>
              <m:t>∘</m:t>
            </m:r>
          </m:sup>
        </m:sSup>
        <m:r>
          <m:rPr>
            <m:sty m:val="p"/>
          </m:rPr>
          <m:t>C</m:t>
        </m:r>
      </m:oMath>
      <w:r>
        <w:t xml:space="preserve"> </w:t>
      </w:r>
      <w:r>
        <w:t xml:space="preserve">to</w:t>
      </w:r>
      <w:r>
        <w:t xml:space="preserve"> </w:t>
      </w:r>
      <m:oMath>
        <m:sSup>
          <m:e>
            <m:r>
              <m:t>19.0</m:t>
            </m:r>
          </m:e>
          <m:sup>
            <m:r>
              <m:rPr>
                <m:sty m:val="p"/>
              </m:rPr>
              <m:t>∘</m:t>
            </m:r>
          </m:sup>
        </m:sSup>
        <m:r>
          <m:rPr>
            <m:sty m:val="p"/>
          </m:rPr>
          <m:t>C</m:t>
        </m:r>
      </m:oMath>
      <w:r>
        <w:t xml:space="preserve">.</w:t>
      </w:r>
    </w:p>
    <w:p>
      <w:pPr>
        <w:pStyle w:val="BodyText"/>
      </w:pPr>
      <w:r>
        <w:rPr>
          <w:rFonts w:hint="eastAsia"/>
        </w:rPr>
        <w:t xml:space="preserve">（1）Performance</w:t>
      </w:r>
      <w:r>
        <w:t xml:space="preserve"> preservation rate</w:t>
      </w:r>
    </w:p>
    <w:p>
      <w:pPr>
        <w:pStyle w:val="BodyText"/>
      </w:pPr>
      <w:r>
        <w:t xml:space="preserve">Performance preservation rate measures how well the event driven mechanism preserves the cumulative reward of the fixed step dense control baseline under sparse actuation, as defined in Eq.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t xml:space="preserve">where</w:t>
      </w:r>
      <w:r>
        <w:t xml:space="preserve"> </w:t>
      </w:r>
      <m:oMath>
        <m:sSub>
          <m:e>
            <m:r>
              <m:t>R</m:t>
            </m:r>
          </m:e>
          <m:sub>
            <m:r>
              <m:rPr>
                <m:nor/>
                <m:sty m:val="p"/>
              </m:rPr>
              <m:t>event</m:t>
            </m:r>
          </m:sub>
        </m:sSub>
      </m:oMath>
      <w:r>
        <w:t xml:space="preserve"> </w:t>
      </w:r>
      <w:r>
        <w:t xml:space="preserve">and</w:t>
      </w:r>
      <w:r>
        <w:t xml:space="preserve"> </w:t>
      </w:r>
      <m:oMath>
        <m:sSub>
          <m:e>
            <m:r>
              <m:t>R</m:t>
            </m:r>
          </m:e>
          <m:sub>
            <m:r>
              <m:rPr>
                <m:nor/>
                <m:sty m:val="p"/>
              </m:rPr>
              <m:t>dense</m:t>
            </m:r>
          </m:sub>
        </m:sSub>
      </m:oMath>
      <w:r>
        <w:t xml:space="preserve"> </w:t>
      </w:r>
      <w:r>
        <w:t xml:space="preserve">are the cumulative rewards of the event driven strategy and the fixed step dense control strategy over the same test period.</w:t>
      </w:r>
    </w:p>
    <w:p>
      <w:pPr>
        <w:pStyle w:val="BodyText"/>
      </w:pPr>
      <w:r>
        <w:rPr>
          <w:rFonts w:hint="eastAsia"/>
        </w:rPr>
        <w:t xml:space="preserve">（2）Action</w:t>
      </w:r>
      <w:r>
        <w:t xml:space="preserve"> smoothness</w:t>
      </w:r>
    </w:p>
    <w:p>
      <w:pPr>
        <w:pStyle w:val="BodyText"/>
      </w:pPr>
      <w:r>
        <w:t xml:space="preserve">Action smoothness quantifies the impact intensity imposed on the actuator and is defined as the mean absolute change between adjacent control actions, as shown in Eq. (29):</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t xml:space="preserve">A smaller value indicates smoother control actions and a lower risk of actuator oscillation.</w:t>
      </w:r>
    </w:p>
    <w:p>
      <w:pPr>
        <w:pStyle w:val="Compact"/>
        <w:numPr>
          <w:ilvl w:val="0"/>
          <w:numId w:val="1010"/>
        </w:numPr>
      </w:pPr>
      <w:r>
        <w:t xml:space="preserve">Control sparsity metrics</w:t>
      </w:r>
    </w:p>
    <w:p>
      <w:pPr>
        <w:pStyle w:val="FirstParagraph"/>
      </w:pPr>
      <w:r>
        <w:t xml:space="preserve">This group of metrics quantifies how effectively the event driven mechanism reduces communication load and actuator wear.</w:t>
      </w:r>
    </w:p>
    <w:p>
      <w:pPr>
        <w:pStyle w:val="BodyText"/>
      </w:pPr>
      <w:r>
        <w:rPr>
          <w:rFonts w:hint="eastAsia"/>
        </w:rPr>
        <w:t xml:space="preserve">（1）Total</w:t>
      </w:r>
      <w:r>
        <w:t xml:space="preserve"> action updates</w:t>
      </w:r>
    </w:p>
    <w:p>
      <w:pPr>
        <w:pStyle w:val="BodyText"/>
      </w:pPr>
      <w:r>
        <w:t xml:space="preserve">Total action updates count the number of actual control action changes during the test period, as defined in Eq.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Under the fixed step strategy,</w:t>
      </w:r>
      <w:r>
        <w:t xml:space="preserve"> </w:t>
      </w:r>
      <m:oMath>
        <m:sSub>
          <m:e>
            <m:r>
              <m:t>N</m:t>
            </m:r>
          </m:e>
          <m:sub>
            <m:r>
              <m:rPr>
                <m:nor/>
                <m:sty m:val="p"/>
              </m:rPr>
              <m:t>update</m:t>
            </m:r>
          </m:sub>
        </m:sSub>
      </m:oMath>
      <w:r>
        <w:t xml:space="preserve"> </w:t>
      </w:r>
      <w:r>
        <w:t xml:space="preserve">is typically close to</w:t>
      </w:r>
      <w:r>
        <w:t xml:space="preserve"> </w:t>
      </w:r>
      <m:oMath>
        <m:r>
          <m:t>N</m:t>
        </m:r>
      </m:oMath>
      <w:r>
        <w:t xml:space="preserve">, whereas under the event driven strategy,</w:t>
      </w:r>
      <w:r>
        <w:t xml:space="preserve"> </w:t>
      </w:r>
      <m:oMath>
        <m:sSub>
          <m:e>
            <m:r>
              <m:t>N</m:t>
            </m:r>
          </m:e>
          <m:sub>
            <m:r>
              <m:rPr>
                <m:nor/>
                <m:sty m:val="p"/>
              </m:rPr>
              <m:t>update</m:t>
            </m:r>
          </m:sub>
        </m:sSub>
      </m:oMath>
      <w:r>
        <w:t xml:space="preserve"> </w:t>
      </w:r>
      <w:r>
        <w:t xml:space="preserve">is typically much smaller than</w:t>
      </w:r>
      <w:r>
        <w:t xml:space="preserve"> </w:t>
      </w:r>
      <m:oMath>
        <m:r>
          <m:t>N</m:t>
        </m:r>
      </m:oMath>
      <w:r>
        <w:t xml:space="preserve">.</w:t>
      </w:r>
    </w:p>
    <w:p>
      <w:pPr>
        <w:pStyle w:val="BodyText"/>
      </w:pPr>
      <w:r>
        <w:rPr>
          <w:rFonts w:hint="eastAsia"/>
        </w:rPr>
        <w:t xml:space="preserve">（2）Daily</w:t>
      </w:r>
      <w:r>
        <w:t xml:space="preserve"> trigger count</w:t>
      </w:r>
    </w:p>
    <w:p>
      <w:pPr>
        <w:pStyle w:val="BodyText"/>
      </w:pPr>
      <w:r>
        <w:t xml:space="preserve">Daily trigger count is a physical measure of control frequency and reflects the average number of control actions executed per day, as defined in Eq.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t xml:space="preserve">This metric directly reflects actuator wear risk through the actual number of control actions executed per day.</w:t>
      </w:r>
    </w:p>
    <w:p>
      <w:pPr>
        <w:pStyle w:val="BodyText"/>
      </w:pPr>
      <w:r>
        <w:rPr>
          <w:rFonts w:hint="eastAsia"/>
        </w:rPr>
        <w:t xml:space="preserve">（3）Actuation</w:t>
      </w:r>
      <w:r>
        <w:t xml:space="preserve"> compression ratio</w:t>
      </w:r>
    </w:p>
    <w:p>
      <w:pPr>
        <w:pStyle w:val="BodyText"/>
      </w:pPr>
      <w:r>
        <w:t xml:space="preserve">Actuation compression ratio measures the ratio of action updates between the fixed step strategy and the evaluated strategy, as defined in Eq.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fixed</m:t>
            </m:r>
          </m:sub>
        </m:sSub>
      </m:oMath>
      <w:r>
        <w:t xml:space="preserve"> </w:t>
      </w:r>
      <w:r>
        <w:t xml:space="preserve">and</w:t>
      </w:r>
      <w:r>
        <w:t xml:space="preserve"> </w:t>
      </w:r>
      <m:oMath>
        <m:sSub>
          <m:e>
            <m:r>
              <m:t>N</m:t>
            </m:r>
          </m:e>
          <m:sub>
            <m:r>
              <m:rPr>
                <m:nor/>
                <m:sty m:val="p"/>
              </m:rPr>
              <m:t>update</m:t>
            </m:r>
          </m:sub>
        </m:sSub>
      </m:oMath>
      <w:r>
        <w:t xml:space="preserve"> </w:t>
      </w:r>
      <w:r>
        <w:t xml:space="preserve">are the total numbers of action updates under the fixed step strategy and the evaluated strategy, respectively. A larger ACR indicates a stronger sparsification effect of the event driven mechanism on control actions.</w:t>
      </w:r>
    </w:p>
    <w:p>
      <w:pPr>
        <w:pStyle w:val="BodyText"/>
      </w:pPr>
      <w:r>
        <w:rPr>
          <w:rFonts w:hint="eastAsia"/>
        </w:rPr>
        <w:t xml:space="preserve">（4）Action</w:t>
      </w:r>
      <w:r>
        <w:t xml:space="preserve"> reduction rate</w:t>
      </w:r>
    </w:p>
    <w:p>
      <w:pPr>
        <w:pStyle w:val="BodyText"/>
      </w:pPr>
      <w:r>
        <w:t xml:space="preserve">Action reduction rate measures the proportion of action updates reduced by the evaluated strategy relative to the fixed step strategy, as defined in Eq.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 larger ARR indicates more effective compression of action updates and facilitates engineering interpretation and comparison across methods.</w:t>
      </w:r>
    </w:p>
    <w:p>
      <w:pPr>
        <w:pStyle w:val="Compact"/>
        <w:numPr>
          <w:ilvl w:val="0"/>
          <w:numId w:val="1011"/>
        </w:numPr>
      </w:pPr>
      <w:r>
        <w:t xml:space="preserve">Execution level statistics</w:t>
      </w:r>
    </w:p>
    <w:p>
      <w:pPr>
        <w:pStyle w:val="FirstParagraph"/>
      </w:pPr>
      <w:r>
        <w:t xml:space="preserve">To characterize the operating behavior of the gate mechanism and the execution cost of the strategy, we further report the following execution level statistics.</w:t>
      </w:r>
    </w:p>
    <w:p>
      <w:pPr>
        <w:pStyle w:val="BodyText"/>
      </w:pPr>
      <w:r>
        <w:rPr>
          <w:rFonts w:hint="eastAsia"/>
        </w:rPr>
        <w:t xml:space="preserve">（1）Cumulative</w:t>
      </w:r>
      <w:r>
        <w:t xml:space="preserve"> test reward</w:t>
      </w:r>
    </w:p>
    <w:p>
      <w:pPr>
        <w:pStyle w:val="BodyText"/>
      </w:pPr>
      <w:r>
        <w:t xml:space="preserve">Cumulative test reward measures the overall control benefit accumulated during the test period, as defined in Eq.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（2）Average</w:t>
      </w:r>
      <w:r>
        <w:t xml:space="preserve"> reward per update</w:t>
      </w:r>
    </w:p>
    <w:p>
      <w:pPr>
        <w:pStyle w:val="BodyText"/>
      </w:pPr>
      <w:r>
        <w:t xml:space="preserve">Average reward per update measures the average control benefit per unit action update cost, as defined in Eq.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update</m:t>
            </m:r>
          </m:sub>
        </m:sSub>
      </m:oMath>
      <w:r>
        <w:t xml:space="preserve"> </w:t>
      </w:r>
      <w:r>
        <w:t xml:space="preserve">is the number of actual action updates. Under the fixed step strategy,</w:t>
      </w:r>
      <w:r>
        <w:t xml:space="preserve"> </w:t>
      </w:r>
      <m:oMath>
        <m:sSub>
          <m:e>
            <m:r>
              <m:t>N</m:t>
            </m:r>
          </m:e>
          <m:sub>
            <m:r>
              <m:rPr>
                <m:nor/>
                <m:sty m:val="p"/>
              </m:rPr>
              <m:t>update</m:t>
            </m:r>
          </m:sub>
        </m:sSub>
        <m:r>
          <m:rPr>
            <m:sty m:val="p"/>
          </m:rPr>
          <m:t>=</m:t>
        </m:r>
        <m:r>
          <m:t>N</m:t>
        </m:r>
      </m:oMath>
      <w:r>
        <w:t xml:space="preserve">, whereas under the event driven strategy,</w:t>
      </w:r>
      <w:r>
        <w:t xml:space="preserve"> </w:t>
      </w:r>
      <m:oMath>
        <m:sSub>
          <m:e>
            <m:r>
              <m:t>N</m:t>
            </m:r>
          </m:e>
          <m:sub>
            <m:r>
              <m:rPr>
                <m:nor/>
                <m:sty m:val="p"/>
              </m:rPr>
              <m:t>update</m:t>
            </m:r>
          </m:sub>
        </m:sSub>
      </m:oMath>
      <w:r>
        <w:t xml:space="preserve"> </w:t>
      </w:r>
      <w:r>
        <w:t xml:space="preserve">is usually much smaller than</w:t>
      </w:r>
      <w:r>
        <w:t xml:space="preserve"> </w:t>
      </w:r>
      <m:oMath>
        <m:r>
          <m:t>N</m:t>
        </m:r>
      </m:oMath>
      <w:r>
        <w:t xml:space="preserve">.</w:t>
      </w:r>
    </w:p>
    <w:p>
      <w:pPr>
        <w:pStyle w:val="BodyText"/>
      </w:pPr>
      <w:r>
        <w:rPr>
          <w:rFonts w:hint="eastAsia"/>
        </w:rPr>
        <w:t xml:space="preserve">（3）Trigger</w:t>
      </w:r>
      <w:r>
        <w:t xml:space="preserve"> interval</w:t>
      </w:r>
    </w:p>
    <w:p>
      <w:pPr>
        <w:pStyle w:val="BodyText"/>
      </w:pPr>
      <w:r>
        <w:t xml:space="preserve">Trigger interval measures the actual sparsity with which the gating layer releases action updates, as defined in Eq.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t xml:space="preserve">where</w:t>
      </w:r>
      <w:r>
        <w:t xml:space="preserve"> </w:t>
      </w:r>
      <m:oMath>
        <m:sSub>
          <m:e>
            <m:r>
              <m:t>t</m:t>
            </m:r>
          </m:e>
          <m:sub>
            <m:r>
              <m:t>k</m:t>
            </m:r>
          </m:sub>
        </m:sSub>
      </m:oMath>
      <w:r>
        <w:t xml:space="preserve"> </w:t>
      </w:r>
      <w:r>
        <w:t xml:space="preserve">denotes the time step of the</w:t>
      </w:r>
      <w:r>
        <w:t xml:space="preserve"> </w:t>
      </w:r>
      <m:oMath>
        <m:r>
          <m:t>k</m:t>
        </m:r>
      </m:oMath>
      <w:r>
        <w:t xml:space="preserve">th event trigger and</w:t>
      </w:r>
      <w:r>
        <w:t xml:space="preserve"> </w:t>
      </w:r>
      <m:oMath>
        <m:r>
          <m:t>K</m:t>
        </m:r>
      </m:oMath>
      <w:r>
        <w:t xml:space="preserve"> </w:t>
      </w:r>
      <w:r>
        <w:t xml:space="preserve">is the total number of triggers in the test trajectory. The trigger interval is an observed statistic from the test trajectory and differs from the minimum trigger interval constraint parameter</w:t>
      </w:r>
      <w:r>
        <w:t xml:space="preserve"> </w:t>
      </w:r>
      <m:oMath>
        <m:sSub>
          <m:e>
            <m:r>
              <m:rPr>
                <m:sty m:val="p"/>
              </m:rPr>
              <m:t>Δ</m:t>
            </m:r>
          </m:e>
          <m:sub>
            <m:r>
              <m:rPr>
                <m:sty m:val="p"/>
              </m:rPr>
              <m:t>min</m:t>
            </m:r>
          </m:sub>
        </m:sSub>
      </m:oMath>
      <w:r>
        <w:t xml:space="preserve"> </w:t>
      </w:r>
      <w:r>
        <w:t xml:space="preserve">used in the gating mechanism.</w:t>
      </w:r>
    </w:p>
    <w:p>
      <w:pPr>
        <w:pStyle w:val="BodyText"/>
      </w:pPr>
      <w:r>
        <w:rPr>
          <w:rFonts w:hint="eastAsia"/>
        </w:rPr>
        <w:t xml:space="preserve">（4）Hold</w:t>
      </w:r>
      <w:r>
        <w:t xml:space="preserve"> length</w:t>
      </w:r>
    </w:p>
    <w:p>
      <w:pPr>
        <w:pStyle w:val="BodyText"/>
      </w:pPr>
      <w:r>
        <w:t xml:space="preserve">Hold length measures setpoint stability at the execution layer, as defined in Eq.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t xml:space="preserve">where</w:t>
      </w:r>
      <w:r>
        <w:t xml:space="preserve"> </w:t>
      </w:r>
      <m:oMath>
        <m:sSub>
          <m:e>
            <m:r>
              <m:t>h</m:t>
            </m:r>
          </m:e>
          <m:sub>
            <m:r>
              <m:t>m</m:t>
            </m:r>
          </m:sub>
        </m:sSub>
      </m:oMath>
      <w:r>
        <w:t xml:space="preserve"> </w:t>
      </w:r>
      <w:r>
        <w:t xml:space="preserve">denotes the length of the</w:t>
      </w:r>
      <w:r>
        <w:t xml:space="preserve"> </w:t>
      </w:r>
      <m:oMath>
        <m:r>
          <m:t>m</m:t>
        </m:r>
      </m:oMath>
      <w:r>
        <w:t xml:space="preserve">th constant setpoint segment and</w:t>
      </w:r>
      <w:r>
        <w:t xml:space="preserve"> </w:t>
      </w:r>
      <m:oMath>
        <m:r>
          <m:t>M</m:t>
        </m:r>
      </m:oMath>
      <w:r>
        <w:t xml:space="preserve"> </w:t>
      </w:r>
      <w:r>
        <w:t xml:space="preserve">is the total number of holding segments in the test trajectory.</w:t>
      </w:r>
    </w:p>
    <w:p>
      <w:pPr>
        <w:pStyle w:val="BodyText"/>
      </w:pPr>
      <w:r>
        <w:t xml:space="preserve">The evaluation metrics and optimization objectives are summarized in Table A3 in Appendix A.</w:t>
      </w:r>
    </w:p>
    <w:bookmarkEnd w:id="34"/>
    <w:bookmarkEnd w:id="35"/>
    <w:bookmarkStart w:id="51" w:name="experimental-results-analysis"/>
    <w:p>
      <w:pPr>
        <w:pStyle w:val="Heading2"/>
      </w:pPr>
      <w:r>
        <w:t xml:space="preserve">5.2 Experimental Results Analysis</w:t>
      </w:r>
    </w:p>
    <w:p>
      <w:pPr>
        <w:pStyle w:val="Compact"/>
        <w:numPr>
          <w:ilvl w:val="0"/>
          <w:numId w:val="1012"/>
        </w:numPr>
      </w:pPr>
      <w:r>
        <w:t xml:space="preserve">Overall Performance Analysis</w:t>
      </w:r>
    </w:p>
    <w:p>
      <w:pPr>
        <w:pStyle w:val="FirstParagraph"/>
      </w:pPr>
      <w:r>
        <w:t xml:space="preserve">Based on the six comparison strategies and the related evaluation metrics, this section presents a comprehensive comparison of energy efficiency, temperature control, control sparsity, and execution-level performance across all strategies on the unified test set. Table 1 summarizes the test results of all strategies across all evaluation metrics.</w:t>
      </w:r>
    </w:p>
    <w:p>
      <w:pPr>
        <w:pStyle w:val="BodyText"/>
      </w:pPr>
      <w:r>
        <w:t xml:space="preserve">Table 1 Overall comparison results of multiple control strategies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Strategy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2.13</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53.54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94.41</w:t>
            </w:r>
          </w:p>
        </w:tc>
      </w:tr>
    </w:tbl>
    <w:p>
      <w:pPr>
        <w:pStyle w:val="BodyText"/>
      </w:pPr>
      <w:r>
        <w:t xml:space="preserve">As shown in Table 1, compared with the conventional control strategies, PID and RBC yield daily energy consumption values of 8486.90 and 8548.72 kWh/day, respectively, both of which are higher than the maximum value of 7491.14 kWh/day achieved by the RL strategies. ET-PRL obtains the lowest daily energy consumption at 7331.85 kWh/day, reducing daily energy consumption by 1155.05 and 1216.87 kWh/day relative to PID and RBC, corresponding to reductions of 13.61% and 14.24%, respectively. In terms of power, ET-PRL also achieves a lower average chiller power, with</w:t>
      </w:r>
      <w:r>
        <w:t xml:space="preserve"> </w:t>
      </w:r>
      <m:oMath>
        <m:sSub>
          <m:e>
            <m:acc>
              <m:accPr>
                <m:chr m:val="‾"/>
              </m:accPr>
              <m:e>
                <m:r>
                  <m:t>P</m:t>
                </m:r>
              </m:e>
            </m:acc>
          </m:e>
          <m:sub>
            <m:r>
              <m:rPr>
                <m:nor/>
                <m:sty m:val="p"/>
              </m:rPr>
              <m:t>chiller</m:t>
            </m:r>
          </m:sub>
        </m:sSub>
        <m:r>
          <m:rPr>
            <m:sty m:val="p"/>
          </m:rPr>
          <m:t>=</m:t>
        </m:r>
        <m:r>
          <m:t>305.49</m:t>
        </m:r>
        <m:r>
          <m:t> </m:t>
        </m:r>
        <m:r>
          <m:rPr>
            <m:sty m:val="p"/>
          </m:rPr>
          <m:t>k</m:t>
        </m:r>
        <m:r>
          <m:rPr>
            <m:sty m:val="p"/>
          </m:rPr>
          <m:t>W</m:t>
        </m:r>
      </m:oMath>
      <w:r>
        <w:t xml:space="preserve">, compared with 353.62 kW for PID and 356.20 kW for RBC. These results show that, on this test set, ET-PRL regulates the cooling source system with lower daily energy consumption and lower average chiller power than the two conventional control strategies.</w:t>
      </w:r>
    </w:p>
    <w:p>
      <w:pPr>
        <w:pStyle w:val="BodyText"/>
      </w:pPr>
      <w:r>
        <w:t xml:space="preserve">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w:t>
      </w:r>
      <w:r>
        <w:t xml:space="preserve"> </w:t>
      </w:r>
      <m:oMath>
        <m:sSub>
          <m:e>
            <m:r>
              <m:t>N</m:t>
            </m:r>
          </m:e>
          <m:sub>
            <m:r>
              <m:rPr>
                <m:nor/>
                <m:sty m:val="p"/>
              </m:rPr>
              <m:t>daily</m:t>
            </m:r>
          </m:sub>
        </m:sSub>
      </m:oMath>
      <w:r>
        <w:t xml:space="preserve"> </w:t>
      </w:r>
      <w:r>
        <w:t xml:space="preserve">values of TTC-RL-1, TTC-RL-2, ST-ETC, and ET-PRL are 288.00, 144.00, 230.51, and 133.80 updates per day, respectively. Their corresponding ACR values are 1.0000, 2.0000, 1.2494, and 2.1525. These results indicate that the advantage of ET-PRL does not simply come from lowering the action update frequency. Instead, it comes from more accurate trigger timing: the method tends to update actions when load or operating condition changes require control adjustment, while holding the previous action during relatively stable periods.</w:t>
      </w:r>
    </w:p>
    <w:p>
      <w:pPr>
        <w:pStyle w:val="BodyText"/>
      </w:pPr>
      <w:r>
        <w:t xml:space="preserve">In terms of action smoothness, ET-PRL obtains</w:t>
      </w:r>
      <w:r>
        <w:t xml:space="preserve"> </w:t>
      </w:r>
      <m:oMath>
        <m:acc>
          <m:accPr>
            <m:chr m:val="‾"/>
          </m:accPr>
          <m:e>
            <m:r>
              <m:rPr>
                <m:sty m:val="p"/>
              </m:rPr>
              <m:t>Δ</m:t>
            </m:r>
            <m:r>
              <m:t>a</m:t>
            </m:r>
          </m:e>
        </m:acc>
        <m:r>
          <m:rPr>
            <m:sty m:val="p"/>
          </m:rPr>
          <m:t>=</m:t>
        </m:r>
        <m:r>
          <m:t>0.6014</m:t>
        </m:r>
      </m:oMath>
      <w:r>
        <w:t xml:space="preserve">, which is 25.76% lower than the 0.8101 of TTC-RL-1 and 22.01% lower than the 0.7711 of ST-ETC. This indicates that ET-PRL reduces large setpoint changes between adjacent time steps. This value is slightly higher than the 0.5617 of TTC-RL-2, suggesting that ET-PRL does not simply minimize action variation but reduces high frequency control fluctuations while retaining a moderate level of action adjustment.</w:t>
      </w:r>
    </w:p>
    <w:p>
      <w:pPr>
        <w:pStyle w:val="BodyText"/>
      </w:pPr>
      <w:r>
        <w:t xml:space="preserve">For the reward, cumulative return and return per update should be interpreted separately. ET-PRL obtains a cumulative test reward</w:t>
      </w:r>
      <w:r>
        <w:t xml:space="preserve"> </w:t>
      </w:r>
      <m:oMath>
        <m:sSub>
          <m:e>
            <m:r>
              <m:t>R</m:t>
            </m:r>
          </m:e>
          <m:sub>
            <m:r>
              <m:rPr>
                <m:nor/>
                <m:sty m:val="p"/>
              </m:rPr>
              <m:t>test</m:t>
            </m:r>
          </m:sub>
        </m:sSub>
      </m:oMath>
      <w:r>
        <w:t xml:space="preserve"> </w:t>
      </w:r>
      <w:r>
        <w:t xml:space="preserve">of 1939.74, which is lower than the 2054.63 of TTC-RL-1 and corresponds to a PPR of 94.41%. However, its average reward per update</w:t>
      </w:r>
      <w:r>
        <w:t xml:space="preserve"> </w:t>
      </w:r>
      <m:oMath>
        <m:sSub>
          <m:e>
            <m:acc>
              <m:accPr>
                <m:chr m:val="‾"/>
              </m:accPr>
              <m:e>
                <m:r>
                  <m:t>R</m:t>
                </m:r>
              </m:e>
            </m:acc>
          </m:e>
          <m:sub>
            <m:r>
              <m:rPr>
                <m:nor/>
                <m:sty m:val="p"/>
              </m:rPr>
              <m:t>update</m:t>
            </m:r>
          </m:sub>
        </m:sSub>
      </m:oMath>
      <w:r>
        <w:t xml:space="preserve"> </w:t>
      </w:r>
      <w:r>
        <w:t xml:space="preserve">reaches 0.9481, the highest value among the RL strategies. This represents an improvement of approximately 103.24% over the 0.4665 of TTC-RL-1 and approximately 62.85% over the 0.5822 of ST-ETC, and it also exceeds the 0.9186 of TTC-RL-2. These results suggest that although ET-PRL reduces the number of action updates, the remaining updates occur more often during periods when load or operating condition changes require control adjustment. As a result, it improves update efficiency while retaining most of the cumulative reward, which is consistent with the design objective of event driven control for intervention on demand.</w:t>
      </w:r>
    </w:p>
    <w:p>
      <w:pPr>
        <w:pStyle w:val="Compact"/>
        <w:numPr>
          <w:ilvl w:val="0"/>
          <w:numId w:val="1013"/>
        </w:numPr>
      </w:pPr>
      <w:r>
        <w:t xml:space="preserve">Chilled Water Supply Temperature Setpoint Strategy Behavior Analysis</w:t>
      </w:r>
    </w:p>
    <w:p>
      <w:pPr>
        <w:pStyle w:val="FirstParagraph"/>
      </w:pPr>
      <w:r>
        <w:t xml:space="preserve">To further examine whether different trigger mechanisms affect the preference for selecting the chilled water supply temperature setpoint, Figure 5 compares the overall action distributions of each strategy over the discrete action space of</w:t>
      </w:r>
      <w:r>
        <w:t xml:space="preserve"> </w:t>
      </w:r>
      <m:oMath>
        <m:sSub>
          <m:e>
            <m:r>
              <m:t>T</m:t>
            </m:r>
          </m:e>
          <m:sub>
            <m:r>
              <m:rPr>
                <m:sty m:val="p"/>
              </m:rPr>
              <m:t>c</m:t>
            </m:r>
            <m:r>
              <m:rPr>
                <m:sty m:val="p"/>
              </m:rPr>
              <m:t>h</m:t>
            </m:r>
            <m:r>
              <m:rPr>
                <m:sty m:val="p"/>
              </m:rPr>
              <m:t>w</m:t>
            </m:r>
            <m:r>
              <m:rPr>
                <m:sty m:val="p"/>
              </m:rPr>
              <m:t>s</m:t>
            </m:r>
          </m:sub>
        </m:sSub>
      </m:oMath>
      <w:r>
        <w:t xml:space="preserve">.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will highlight how ET-PRL adjusts the action selection distribution later.</w:t>
      </w:r>
    </w:p>
    <w:p>
      <w:pPr>
        <w:pStyle w:val="CaptionedFigure"/>
      </w:pPr>
      <w:r>
        <w:drawing>
          <wp:inline>
            <wp:extent cx="5334000" cy="3230339"/>
            <wp:effectExtent b="0" l="0" r="0" t="0"/>
            <wp:docPr descr="Figure 5 Comparison of the T_{\mathrm{chws}} window distributions for ET-PRL, TTC-RL-1, and ST-ETC. Each bar represents the action proportion within a 10 h window" title="" id="37" name="Picture"/>
            <a:graphic>
              <a:graphicData uri="http://schemas.openxmlformats.org/drawingml/2006/picture">
                <pic:pic>
                  <pic:nvPicPr>
                    <pic:cNvPr descr="../pics/fig6_t_chws_macro_distribution.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5 Comparison of the</w:t>
      </w:r>
      <w:r>
        <w:t xml:space="preserve"> </w:t>
      </w:r>
      <m:oMath>
        <m:sSub>
          <m:e>
            <m:r>
              <m:t>T</m:t>
            </m:r>
          </m:e>
          <m:sub>
            <m:r>
              <m:rPr>
                <m:sty m:val="p"/>
              </m:rPr>
              <m:t>c</m:t>
            </m:r>
            <m:r>
              <m:rPr>
                <m:sty m:val="p"/>
              </m:rPr>
              <m:t>h</m:t>
            </m:r>
            <m:r>
              <m:rPr>
                <m:sty m:val="p"/>
              </m:rPr>
              <m:t>w</m:t>
            </m:r>
            <m:r>
              <m:rPr>
                <m:sty m:val="p"/>
              </m:rPr>
              <m:t>s</m:t>
            </m:r>
          </m:sub>
        </m:sSub>
      </m:oMath>
      <w:r>
        <w:t xml:space="preserve"> </w:t>
      </w:r>
      <w:r>
        <w:t xml:space="preserve">window distributions for ET-PRL, TTC-RL-1, and ST-ETC. Each bar represents the action proportion within a 10 h window</w:t>
      </w:r>
    </w:p>
    <w:p>
      <w:pPr>
        <w:pStyle w:val="BodyText"/>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w:t>
      </w:r>
      <w:r>
        <w:t xml:space="preserve"> </w:t>
      </w:r>
      <m:oMath>
        <m:sSub>
          <m:e>
            <m:r>
              <m:t>T</m:t>
            </m:r>
          </m:e>
          <m:sub>
            <m:r>
              <m:rPr>
                <m:sty m:val="p"/>
              </m:rPr>
              <m:t>c</m:t>
            </m:r>
            <m:r>
              <m:rPr>
                <m:sty m:val="p"/>
              </m:rPr>
              <m:t>h</m:t>
            </m:r>
            <m:r>
              <m:rPr>
                <m:sty m:val="p"/>
              </m:rPr>
              <m:t>w</m:t>
            </m:r>
            <m:r>
              <m:rPr>
                <m:sty m:val="p"/>
              </m:rPr>
              <m:t>s</m:t>
            </m:r>
          </m:sub>
        </m:sSub>
      </m:oMath>
      <w:r>
        <w:t xml:space="preserve"> </w:t>
      </w:r>
      <w:r>
        <w:t xml:space="preserve">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pPr>
        <w:pStyle w:val="BodyText"/>
      </w:pPr>
      <w:r>
        <w:t xml:space="preserve">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pPr>
        <w:pStyle w:val="CaptionedFigure"/>
      </w:pPr>
      <w:r>
        <w:drawing>
          <wp:inline>
            <wp:extent cx="5334000" cy="3230339"/>
            <wp:effectExtent b="0" l="0" r="0" t="0"/>
            <wp:docPr descr="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title="" id="40" name="Picture"/>
            <a:graphic>
              <a:graphicData uri="http://schemas.openxmlformats.org/drawingml/2006/picture">
                <pic:pic>
                  <pic:nvPicPr>
                    <pic:cNvPr descr="../pics/fig7_t_chws_delta_analysis.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6 Local event triggered response and global difference frequency statistics. Panel a shows the cooling load and absolute setpoint trajectories from 65 h to 85 h, and panel b shows the logarithmic frequency distributions of</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t xml:space="preserve">for ST-ETC and ET-PRL relative to TTC-RL-1</w:t>
      </w:r>
    </w:p>
    <w:p>
      <w:pPr>
        <w:pStyle w:val="BodyText"/>
      </w:pPr>
      <w:r>
        <w:t xml:space="preserve">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when updates are triggered. ST-ETC is constrained by a static boundary and is therefore more likely to trigger falsely near the boundary, which causes frequent switching and drives the output closer to the baseline strategy. ET-PRL suppresses updates caused by noise through the two layer dynamic threshold and the minimum trigger interval, which allows the predictive Q network to keep efficient setpoints for longer periods during low load windows.</w:t>
      </w:r>
    </w:p>
    <w:p>
      <w:pPr>
        <w:pStyle w:val="BodyText"/>
      </w:pPr>
      <w:r>
        <w:t xml:space="preserve">At the global difference level, panel b of Figure 6 shows that the proportion of nonzero differences between ST-ETC and TTC-RL-1 is only 0.82%, whereas the corresponding proportion for ET-PRL is 14.12%. The full sample variances of the differences are</w:t>
      </w:r>
      <w:r>
        <w:t xml:space="preserve"> </w:t>
      </w:r>
      <m:oMath>
        <m:r>
          <m:t>0.446</m:t>
        </m:r>
      </m:oMath>
      <w:r>
        <w:t xml:space="preserve"> </w:t>
      </w:r>
      <w:r>
        <w:t xml:space="preserve">and</w:t>
      </w:r>
      <w:r>
        <w:t xml:space="preserve"> </w:t>
      </w:r>
      <m:oMath>
        <m:r>
          <m:t>5.879</m:t>
        </m:r>
      </m:oMath>
      <w:r>
        <w:t xml:space="preserve">, respectively. This indicates that the action outputs of ST-ETC remain very close to the baseline strategy and are insufficient to produce substantive temperature setpoint optimization. In contrast, ET-PRL achieves clearer action selection adjustment while preserving sparse execution.</w:t>
      </w:r>
    </w:p>
    <w:p>
      <w:pPr>
        <w:pStyle w:val="Compact"/>
        <w:numPr>
          <w:ilvl w:val="0"/>
          <w:numId w:val="1014"/>
        </w:numPr>
      </w:pPr>
      <w:r>
        <w:t xml:space="preserve">Event Triggered Control Sparsity and Temporal Dynamics Analysis</w:t>
      </w:r>
    </w:p>
    <w:p>
      <w:pPr>
        <w:pStyle w:val="FirstParagraph"/>
      </w:pPr>
      <w:r>
        <w:t xml:space="preserve">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p>
      <w:pPr>
        <w:pStyle w:val="BodyText"/>
      </w:pPr>
      <w:r>
        <w:t xml:space="preserve">Table 2 Temporal sparsity and action holding statistics of different control strategies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Strategy</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Mean Trigger Interval (steps)</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Daily Trigger Count</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Mean Action Holding Length (steps)</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95th percentile</w:t>
            </w:r>
            <w:r>
              <w:rPr>
                <w:b/>
                <w:bCs/>
              </w:rPr>
              <w:t xml:space="preserve"> </w:t>
            </w:r>
            <m:oMath>
              <m:sSub>
                <m:e>
                  <m:r>
                    <m:t>P</m:t>
                  </m:r>
                </m:e>
                <m:sub>
                  <m:r>
                    <m:t>95</m:t>
                  </m:r>
                </m:sub>
              </m:sSub>
            </m:oMath>
            <w:r>
              <w:rPr>
                <w:b/>
                <w:bCs/>
              </w:rPr>
              <w:t xml:space="preserve"> </w:t>
            </w:r>
            <w:r>
              <w:rPr>
                <w:b/>
                <w:bCs/>
              </w:rPr>
              <w:t xml:space="preserve">(steps)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275.25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42.9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1.249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220.31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7.89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43.3</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2.117</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127.88</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11.56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57.0</w:t>
            </w:r>
          </w:p>
        </w:tc>
      </w:tr>
    </w:tbl>
    <w:p>
      <w:pPr>
        <w:pStyle w:val="BodyText"/>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w:t>
      </w:r>
      <w:r>
        <w:t xml:space="preserve"> </w:t>
      </w:r>
      <m:oMath>
        <m:sSub>
          <m:e>
            <m:r>
              <m:t>P</m:t>
            </m:r>
          </m:e>
          <m:sub>
            <m:r>
              <m:t>95</m:t>
            </m:r>
          </m:sub>
        </m:sSub>
      </m:oMath>
      <w:r>
        <w:t xml:space="preserve"> </w:t>
      </w:r>
      <w:r>
        <w:t xml:space="preserve">reaching 57.0 steps, or about 4.75 h, whereas the corresponding values for ST-ETC and TTC-RL-1 are only 43.3 and 42.9 steps. These results indicate that the dynamic threshold gating mechanism yields a lower control update frequency and longer holding durations during stable periods.</w:t>
      </w:r>
    </w:p>
    <w:p>
      <w:pPr>
        <w:pStyle w:val="BodyText"/>
      </w:pPr>
      <w:r>
        <w:t xml:space="preserve">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the dynamic event gating mechanism can keep the setpoint unchanged for longer periods under low disturbance conditions.</w:t>
      </w:r>
    </w:p>
    <w:p>
      <w:pPr>
        <w:pStyle w:val="CaptionedFigure"/>
      </w:pPr>
      <w:r>
        <w:drawing>
          <wp:inline>
            <wp:extent cx="5334000" cy="3230339"/>
            <wp:effectExtent b="0" l="0" r="0" t="0"/>
            <wp:docPr descr="Figure 7 Distribution of action update intervals under different control strategies. The main panel shows the share of each discrete bin, and the inset enlarges the long tail region" title="" id="43" name="Picture"/>
            <a:graphic>
              <a:graphicData uri="http://schemas.openxmlformats.org/drawingml/2006/picture">
                <pic:pic>
                  <pic:nvPicPr>
                    <pic:cNvPr descr="../pics/fig8_action_update_interval_distribution.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7 Distribution of action update intervals under different control strategies. The main panel shows the share of each discrete bin, and the inset enlarges the long tail region</w:t>
      </w:r>
    </w:p>
    <w:p>
      <w:pPr>
        <w:pStyle w:val="BodyText"/>
      </w:pPr>
      <w:r>
        <w:t xml:space="preserve">To reveal the temporal alignment between dynamic load variation and triggering actions, Figure 8 further presents the alignment results for a representative day 5 operating profile.</w:t>
      </w:r>
    </w:p>
    <w:p>
      <w:pPr>
        <w:pStyle w:val="CaptionedFigure"/>
      </w:pPr>
      <w:r>
        <w:drawing>
          <wp:inline>
            <wp:extent cx="5334000" cy="3230339"/>
            <wp:effectExtent b="0" l="0" r="0" t="0"/>
            <wp:docPr descr="Figure 8 Alignment of daily load variation and trigger times on day 5 with 5 min sampling. Panel a shows the cooling load curve, panel b shows the trigger pulse raster of ET-PRL, ST-ETC, and TTC-RL-1, and the shaded band across panels indicates a typical high variation period" title="" id="46" name="Picture"/>
            <a:graphic>
              <a:graphicData uri="http://schemas.openxmlformats.org/drawingml/2006/picture">
                <pic:pic>
                  <pic:nvPicPr>
                    <pic:cNvPr descr="../pics/fig9_trigger_load_alignment.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pPr>
        <w:pStyle w:val="BodyText"/>
      </w:pPr>
      <w:r>
        <w:t xml:space="preserve">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every time step.</w:t>
      </w:r>
    </w:p>
    <w:p>
      <w:pPr>
        <w:pStyle w:val="BodyText"/>
      </w:pPr>
      <w:r>
        <w:t xml:space="preserve">Across the full test set, we define the interval where the absolute cooling load variation exceeds the 85th percentile</w:t>
      </w:r>
      <w:r>
        <w:t xml:space="preserve"> </w:t>
      </w:r>
      <m:oMath>
        <m:sSub>
          <m:e>
            <m:r>
              <m:t>q</m:t>
            </m:r>
          </m:e>
          <m:sub>
            <m:r>
              <m:t>85</m:t>
            </m:r>
          </m:sub>
        </m:sSub>
      </m:oMath>
      <w:r>
        <w:t xml:space="preserve"> </w:t>
      </w:r>
      <w:r>
        <w:t xml:space="preserve">of all samples as the high variation region, and the interval below the 30th percentile</w:t>
      </w:r>
      <w:r>
        <w:t xml:space="preserve"> </w:t>
      </w:r>
      <m:oMath>
        <m:sSub>
          <m:e>
            <m:r>
              <m:t>q</m:t>
            </m:r>
          </m:e>
          <m:sub>
            <m:r>
              <m:t>30</m:t>
            </m:r>
          </m:sub>
        </m:sSub>
      </m:oMath>
      <w:r>
        <w:t xml:space="preserve"> </w:t>
      </w:r>
      <w:r>
        <w:t xml:space="preserve">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pPr>
        <w:pStyle w:val="BodyText"/>
      </w:pPr>
      <w:r>
        <w:t xml:space="preserve">From an energy efficiency perspective,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the steady operating boundary associated with the optimal COP. In contrast, the long holding characteristic shown by ET-PRL provides the chiller with a much wider window for continuous steady operation. This working mode reduces both actuator mechanical wear and the extra energy loss caused by frequent chiller adjustments.</w:t>
      </w:r>
    </w:p>
    <w:p>
      <w:pPr>
        <w:pStyle w:val="BodyText"/>
      </w:pPr>
      <w:r>
        <w:t xml:space="preserve">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pPr>
        <w:pStyle w:val="Compact"/>
        <w:numPr>
          <w:ilvl w:val="0"/>
          <w:numId w:val="1015"/>
        </w:numPr>
      </w:pPr>
      <w:r>
        <w:t xml:space="preserve">Ablation Study Analysis</w:t>
      </w:r>
    </w:p>
    <w:p>
      <w:pPr>
        <w:pStyle w:val="FirstParagraph"/>
      </w:pPr>
      <w:r>
        <w:t xml:space="preserve">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3 summarizes the test set results of all strategies, where relative metrics such as ACR and PPR use TTC-RL-1 as the computational baseline, whereas the remaining metrics are test set statistics.</w:t>
      </w:r>
    </w:p>
    <w:p>
      <w:pPr>
        <w:pStyle w:val="BodyText"/>
      </w:pPr>
      <w:r>
        <w:t xml:space="preserve">Table 3 Key module ablation results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Method</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t xml:space="preserve">, kWh/day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94.41%</w:t>
            </w:r>
          </w:p>
        </w:tc>
      </w:tr>
    </w:tbl>
    <w:p>
      <w:pPr>
        <w:pStyle w:val="CaptionedFigure"/>
      </w:pPr>
      <w:r>
        <w:drawing>
          <wp:inline>
            <wp:extent cx="5334000" cy="3230339"/>
            <wp:effectExtent b="0" l="0" r="0" t="0"/>
            <wp:docPr descr="Figure 9 Scatter plot of ablation strategies under the tradeoff among energy consumption, performance, and sparsity. The x axis indicates average daily energy consumption, the y axis indicates PPR, color encodes ACR, and text labels identify each ablation strategy" title="" id="49" name="Picture"/>
            <a:graphic>
              <a:graphicData uri="http://schemas.openxmlformats.org/drawingml/2006/picture">
                <pic:pic>
                  <pic:nvPicPr>
                    <pic:cNvPr descr="../pics/fig10_ablation_pareto_scatter.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9 Scatter plot of ablation strategies under the tradeoff among energy consumption, performance, and sparsity. The x axis indicates average daily energy consumption, the y axis indicates PPR, color encodes ACR, and text labels identify each ablation strategy</w:t>
      </w:r>
    </w:p>
    <w:p>
      <w:pPr>
        <w:pStyle w:val="BodyText"/>
      </w:pPr>
      <w:r>
        <w:t xml:space="preserve">As shown in Figure 9, under the three objective tradeoff that minimizes</w:t>
      </w:r>
      <w:r>
        <w:t xml:space="preserve"> </w:t>
      </w:r>
      <m:oMath>
        <m:sSub>
          <m:e>
            <m:r>
              <m:t>E</m:t>
            </m:r>
          </m:e>
          <m:sub>
            <m:r>
              <m:rPr>
                <m:nor/>
                <m:sty m:val="p"/>
              </m:rPr>
              <m:t>daily</m:t>
            </m:r>
          </m:sub>
        </m:sSub>
      </m:oMath>
      <w:r>
        <w:t xml:space="preserve"> </w:t>
      </w:r>
      <w:r>
        <w:t xml:space="preserve">while maximizing PPR and ACR, Full ET-PRL lies in the low energy consumption and high sparsity region. It achieves the lowest</w:t>
      </w:r>
      <w:r>
        <w:t xml:space="preserve"> </w:t>
      </w:r>
      <m:oMath>
        <m:sSub>
          <m:e>
            <m:r>
              <m:t>E</m:t>
            </m:r>
          </m:e>
          <m:sub>
            <m:r>
              <m:rPr>
                <m:nor/>
                <m:sty m:val="p"/>
              </m:rPr>
              <m:t>daily</m:t>
            </m:r>
          </m:sub>
        </m:sSub>
      </m:oMath>
      <w:r>
        <w:t xml:space="preserve"> </w:t>
      </w:r>
      <w:r>
        <w:t xml:space="preserve">and the highest ACR among the ablation groups while maintaining a PPR of 94.41%, making it closer to the ideal compromise solution on the current test set.</w:t>
      </w:r>
    </w:p>
    <w:p>
      <w:pPr>
        <w:pStyle w:val="BodyText"/>
      </w:pPr>
      <w:r>
        <w:t xml:space="preserve">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Medium-scale Only and Long-scale Only maintain high PPR values of 99.38% and 98.90%, respectively, their trigger sparsity deteriorates markedly, with</w:t>
      </w:r>
      <w:r>
        <w:t xml:space="preserve"> </w:t>
      </w:r>
      <m:oMath>
        <m:sSub>
          <m:e>
            <m:r>
              <m:t>N</m:t>
            </m:r>
          </m:e>
          <m:sub>
            <m:r>
              <m:rPr>
                <m:nor/>
                <m:sty m:val="p"/>
              </m:rPr>
              <m:t>daily</m:t>
            </m:r>
          </m:sub>
        </m:sSub>
      </m:oMath>
      <w:r>
        <w:t xml:space="preserve"> </w:t>
      </w:r>
      <w:r>
        <w:t xml:space="preserve">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pPr>
        <w:pStyle w:val="BodyText"/>
      </w:pPr>
      <w:r>
        <w:t xml:space="preserve">We use a compact three dimensional state vector</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t xml:space="preserve"> </w:t>
      </w:r>
      <w:r>
        <w:t xml:space="preserve">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which explains its lower daily energy consumption than Short-scale Only.</w:t>
      </w:r>
    </w:p>
    <w:p>
      <w:pPr>
        <w:pStyle w:val="BodyText"/>
      </w:pPr>
      <w:r>
        <w:t xml:space="preserve">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With dual threshold coordination, Full ET-PRL obtains lower daily energy consumption and a higher ACR in Table 3 while maintaining a PPR of 94.41%.</w:t>
      </w:r>
    </w:p>
    <w:p>
      <w:pPr>
        <w:pStyle w:val="Compact"/>
        <w:numPr>
          <w:ilvl w:val="0"/>
          <w:numId w:val="1016"/>
        </w:numPr>
      </w:pPr>
      <w:r>
        <w:t xml:space="preserve">Parameter Sensitivity Analysis</w:t>
      </w:r>
    </w:p>
    <w:p>
      <w:pPr>
        <w:pStyle w:val="FirstParagraph"/>
      </w:pPr>
      <w:r>
        <w:t xml:space="preserve">To further show how streaming gate hyperparameters affect trigger count, reward, and daily energy consumption in the proposed ET-PRL method, we conduct single factor parameter perturbation experiments. In each run, we adjust only one parameter, keep the remaining parameters at their baseline values, and evaluate</w:t>
      </w:r>
      <w:r>
        <w:t xml:space="preserve"> </w:t>
      </w:r>
      <m:oMath>
        <m:sSub>
          <m:e>
            <m:r>
              <m:t>R</m:t>
            </m:r>
          </m:e>
          <m:sub>
            <m:r>
              <m:rPr>
                <m:nor/>
                <m:sty m:val="p"/>
              </m:rPr>
              <m:t>test</m:t>
            </m:r>
          </m:sub>
        </m:sSub>
      </m:oMath>
      <w:r>
        <w:t xml:space="preserve">,</w:t>
      </w:r>
      <w:r>
        <w:t xml:space="preserve"> </w:t>
      </w:r>
      <m:oMath>
        <m:sSub>
          <m:e>
            <m:r>
              <m:t>N</m:t>
            </m:r>
          </m:e>
          <m:sub>
            <m:r>
              <m:rPr>
                <m:nor/>
                <m:sty m:val="p"/>
              </m:rPr>
              <m:t>daily</m:t>
            </m:r>
          </m:sub>
        </m:sSub>
      </m:oMath>
      <w:r>
        <w:t xml:space="preserve">, and</w:t>
      </w:r>
      <w:r>
        <w:t xml:space="preserve"> </w:t>
      </w:r>
      <m:oMath>
        <m:sSub>
          <m:e>
            <m:r>
              <m:t>E</m:t>
            </m:r>
          </m:e>
          <m:sub>
            <m:r>
              <m:rPr>
                <m:nor/>
                <m:sty m:val="p"/>
              </m:rPr>
              <m:t>daily</m:t>
            </m:r>
          </m:sub>
        </m:sSub>
      </m:oMath>
      <w:r>
        <w:t xml:space="preserve"> </w:t>
      </w:r>
      <w:r>
        <w:t xml:space="preserve">on the same test set. The analyzed parameters are the quantile level</w:t>
      </w:r>
      <w:r>
        <w:t xml:space="preserve"> </w:t>
      </w:r>
      <m:oMath>
        <m:r>
          <m:t>q</m:t>
        </m:r>
      </m:oMath>
      <w:r>
        <w:t xml:space="preserve">, the bias correction term</w:t>
      </w:r>
      <w:r>
        <w:t xml:space="preserve"> </w:t>
      </w:r>
      <m:oMath>
        <m:sSub>
          <m:e>
            <m:r>
              <m:t>b</m:t>
            </m:r>
          </m:e>
          <m:sub>
            <m:r>
              <m:rPr>
                <m:sty m:val="p"/>
              </m:rPr>
              <m:t>b</m:t>
            </m:r>
            <m:r>
              <m:rPr>
                <m:sty m:val="p"/>
              </m:rPr>
              <m:t>i</m:t>
            </m:r>
            <m:r>
              <m:rPr>
                <m:sty m:val="p"/>
              </m:rPr>
              <m:t>a</m:t>
            </m:r>
            <m:r>
              <m:rPr>
                <m:sty m:val="p"/>
              </m:rPr>
              <m:t>s</m:t>
            </m:r>
          </m:sub>
        </m:sSub>
      </m:oMath>
      <w:r>
        <w:t xml:space="preserve">, the hysteresis margin</w:t>
      </w:r>
      <w:r>
        <w:t xml:space="preserve"> </w:t>
      </w:r>
      <m:oMath>
        <m:sSub>
          <m:e>
            <m:r>
              <m:t>m</m:t>
            </m:r>
          </m:e>
          <m:sub>
            <m:r>
              <m:rPr>
                <m:sty m:val="p"/>
              </m:rPr>
              <m:t>h</m:t>
            </m:r>
            <m:r>
              <m:rPr>
                <m:sty m:val="p"/>
              </m:rPr>
              <m:t>y</m:t>
            </m:r>
            <m:r>
              <m:rPr>
                <m:sty m:val="p"/>
              </m:rPr>
              <m:t>s</m:t>
            </m:r>
          </m:sub>
        </m:sSub>
      </m:oMath>
      <w:r>
        <w:t xml:space="preserve">, the local window length</w:t>
      </w:r>
      <w:r>
        <w:t xml:space="preserve"> </w:t>
      </w:r>
      <m:oMath>
        <m:r>
          <m:t>W</m:t>
        </m:r>
      </m:oMath>
      <w:r>
        <w:t xml:space="preserve">, and the short scale weight</w:t>
      </w:r>
      <w:r>
        <w:t xml:space="preserve"> </w:t>
      </w:r>
      <m:oMath>
        <m:sSub>
          <m:e>
            <m:r>
              <m:t>w</m:t>
            </m:r>
          </m:e>
          <m:sub>
            <m:r>
              <m:t>s</m:t>
            </m:r>
          </m:sub>
        </m:sSub>
      </m:oMath>
      <w:r>
        <w:t xml:space="preserve">.</w:t>
      </w:r>
    </w:p>
    <w:p>
      <w:pPr>
        <w:pStyle w:val="Compact"/>
        <w:numPr>
          <w:ilvl w:val="0"/>
          <w:numId w:val="1017"/>
        </w:numPr>
      </w:pPr>
      <w:r>
        <w:t xml:space="preserve">Quantile Level</w:t>
      </w:r>
      <w:r>
        <w:t xml:space="preserve"> </w:t>
      </w:r>
      <m:oMath>
        <m:r>
          <m:t>q</m:t>
        </m:r>
      </m:oMath>
    </w:p>
    <w:p>
      <w:pPr>
        <w:pStyle w:val="FirstParagraph"/>
      </w:pPr>
      <w:r>
        <w:rPr>
          <w:b/>
          <w:bCs/>
        </w:rPr>
        <w:t xml:space="preserve">Table 4</w:t>
      </w:r>
      <w:r>
        <w:t xml:space="preserve"> </w:t>
      </w:r>
      <w:r>
        <w:t xml:space="preserve">Sensitivity results for quantile level</w:t>
      </w:r>
      <w:r>
        <w:t xml:space="preserve"> </w:t>
      </w:r>
      <m:oMath>
        <m:r>
          <m:t>q</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1284.49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6921.91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1103.87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6095.77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1241.99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6146.26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1325.45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6329.57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1397.99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6632.52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1531.77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7230.91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1560.47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7097.17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1678.75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7513.54</w:t>
            </w:r>
          </w:p>
        </w:tc>
      </w:tr>
    </w:tbl>
    <w:p>
      <w:pPr>
        <w:pStyle w:val="BodyText"/>
      </w:pPr>
      <w:r>
        <w:t xml:space="preserve">The quantile level</w:t>
      </w:r>
      <w:r>
        <w:t xml:space="preserve"> </w:t>
      </w:r>
      <m:oMath>
        <m:r>
          <m:t>q</m:t>
        </m:r>
      </m:oMath>
      <w:r>
        <w:t xml:space="preserve"> </w:t>
      </w:r>
      <w:r>
        <w:t xml:space="preserve">mainly changes the trend in trigger frequency associated with the quantile reference. As shown in Table 4, when</w:t>
      </w:r>
      <w:r>
        <w:t xml:space="preserve"> </w:t>
      </w:r>
      <m:oMath>
        <m:r>
          <m:t>q</m:t>
        </m:r>
      </m:oMath>
      <w:r>
        <w:t xml:space="preserve"> </w:t>
      </w:r>
      <w:r>
        <w:t xml:space="preserve">increases from 0.60 to 0.90,</w:t>
      </w:r>
      <w:r>
        <w:t xml:space="preserve"> </w:t>
      </w:r>
      <m:oMath>
        <m:sSub>
          <m:e>
            <m:r>
              <m:t>N</m:t>
            </m:r>
          </m:e>
          <m:sub>
            <m:r>
              <m:rPr>
                <m:nor/>
                <m:sty m:val="p"/>
              </m:rPr>
              <m:t>daily</m:t>
            </m:r>
          </m:sub>
        </m:sSub>
      </m:oMath>
      <w:r>
        <w:t xml:space="preserve"> </w:t>
      </w:r>
      <w:r>
        <w:t xml:space="preserve">increases from 0.78 to 5.43,</w:t>
      </w:r>
      <w:r>
        <w:t xml:space="preserve"> </w:t>
      </w:r>
      <m:oMath>
        <m:sSub>
          <m:e>
            <m:r>
              <m:t>R</m:t>
            </m:r>
          </m:e>
          <m:sub>
            <m:r>
              <m:rPr>
                <m:nor/>
                <m:sty m:val="p"/>
              </m:rPr>
              <m:t>test</m:t>
            </m:r>
          </m:sub>
        </m:sSub>
      </m:oMath>
      <w:r>
        <w:t xml:space="preserve"> </w:t>
      </w:r>
      <w:r>
        <w:t xml:space="preserve">increases from 1103.87 to 1678.75, and</w:t>
      </w:r>
      <w:r>
        <w:t xml:space="preserve"> </w:t>
      </w:r>
      <m:oMath>
        <m:sSub>
          <m:e>
            <m:r>
              <m:t>E</m:t>
            </m:r>
          </m:e>
          <m:sub>
            <m:r>
              <m:rPr>
                <m:nor/>
                <m:sty m:val="p"/>
              </m:rPr>
              <m:t>daily</m:t>
            </m:r>
          </m:sub>
        </m:sSub>
      </m:oMath>
      <w:r>
        <w:t xml:space="preserve"> </w:t>
      </w:r>
      <w:r>
        <w:t xml:space="preserve">also increases from 6095.77 kWh/day to 7513.54 kWh/day. Overall, a lower</w:t>
      </w:r>
      <w:r>
        <w:t xml:space="preserve"> </w:t>
      </w:r>
      <m:oMath>
        <m:r>
          <m:t>q</m:t>
        </m:r>
      </m:oMath>
      <w:r>
        <w:t xml:space="preserve"> </w:t>
      </w:r>
      <w:r>
        <w:t xml:space="preserve">leads to fewer gate triggers, insufficient action updates, and a lower reward, while energy consumption is also lower. A higher</w:t>
      </w:r>
      <w:r>
        <w:t xml:space="preserve"> </w:t>
      </w:r>
      <m:oMath>
        <m:r>
          <m:t>q</m:t>
        </m:r>
      </m:oMath>
      <w:r>
        <w:t xml:space="preserve"> </w:t>
      </w:r>
      <w:r>
        <w:t xml:space="preserve">increases the trigger count and makes the controller update setpoints more often, which improves reward but raises daily energy consumption. Therefore, increasing</w:t>
      </w:r>
      <w:r>
        <w:t xml:space="preserve"> </w:t>
      </w:r>
      <m:oMath>
        <m:r>
          <m:t>q</m:t>
        </m:r>
      </m:oMath>
      <w:r>
        <w:t xml:space="preserve"> </w:t>
      </w:r>
      <w:r>
        <w:t xml:space="preserve">mainly produces a simultaneous increase in reward and trigger count at the cost of higher daily energy consumption.</w:t>
      </w:r>
    </w:p>
    <w:p>
      <w:pPr>
        <w:pStyle w:val="Compact"/>
        <w:numPr>
          <w:ilvl w:val="0"/>
          <w:numId w:val="1018"/>
        </w:numPr>
      </w:pPr>
      <w:r>
        <w:t xml:space="preserve">Bias Correction Term</w:t>
      </w:r>
      <w:r>
        <w:t xml:space="preserve"> </w:t>
      </w:r>
      <m:oMath>
        <m:sSub>
          <m:e>
            <m:r>
              <m:t>b</m:t>
            </m:r>
          </m:e>
          <m:sub>
            <m:r>
              <m:rPr>
                <m:sty m:val="p"/>
              </m:rPr>
              <m:t>b</m:t>
            </m:r>
            <m:r>
              <m:rPr>
                <m:sty m:val="p"/>
              </m:rPr>
              <m:t>i</m:t>
            </m:r>
            <m:r>
              <m:rPr>
                <m:sty m:val="p"/>
              </m:rPr>
              <m:t>a</m:t>
            </m:r>
            <m:r>
              <m:rPr>
                <m:sty m:val="p"/>
              </m:rPr>
              <m:t>s</m:t>
            </m:r>
          </m:sub>
        </m:sSub>
      </m:oMath>
    </w:p>
    <w:p>
      <w:pPr>
        <w:pStyle w:val="FirstParagraph"/>
      </w:pPr>
      <w:r>
        <w:rPr>
          <w:b/>
          <w:bCs/>
        </w:rPr>
        <w:t xml:space="preserve">Table 5</w:t>
      </w:r>
      <w:r>
        <w:t xml:space="preserve"> </w:t>
      </w:r>
      <w:r>
        <w:t xml:space="preserve">Sensitivity results for bias correction term</w:t>
      </w:r>
      <w:r>
        <w:t xml:space="preserve"> </w:t>
      </w:r>
      <m:oMath>
        <m:sSub>
          <m:e>
            <m:r>
              <m:t>b</m:t>
            </m:r>
          </m:e>
          <m:sub>
            <m:r>
              <m:rPr>
                <m:sty m:val="p"/>
              </m:rPr>
              <m:t>b</m:t>
            </m:r>
            <m:r>
              <m:rPr>
                <m:sty m:val="p"/>
              </m:rPr>
              <m:t>i</m:t>
            </m:r>
            <m:r>
              <m:rPr>
                <m:sty m:val="p"/>
              </m:rPr>
              <m:t>a</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1241.28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6884.32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1752.93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7537.51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1819.57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7439.78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1750.28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7638.46</w:t>
            </w:r>
          </w:p>
        </w:tc>
      </w:tr>
    </w:tbl>
    <w:p>
      <w:pPr>
        <w:pStyle w:val="BodyText"/>
      </w:pPr>
      <w:r>
        <w:t xml:space="preserve">The bias correction term</w:t>
      </w:r>
      <w:r>
        <w:t xml:space="preserve"> </w:t>
      </w:r>
      <m:oMath>
        <m:sSub>
          <m:e>
            <m:r>
              <m:t>b</m:t>
            </m:r>
          </m:e>
          <m:sub>
            <m:r>
              <m:rPr>
                <m:sty m:val="p"/>
              </m:rPr>
              <m:t>b</m:t>
            </m:r>
            <m:r>
              <m:rPr>
                <m:sty m:val="p"/>
              </m:rPr>
              <m:t>i</m:t>
            </m:r>
            <m:r>
              <m:rPr>
                <m:sty m:val="p"/>
              </m:rPr>
              <m:t>a</m:t>
            </m:r>
            <m:r>
              <m:rPr>
                <m:sty m:val="p"/>
              </m:rPr>
              <m:t>s</m:t>
            </m:r>
          </m:sub>
        </m:sSub>
      </m:oMath>
      <w:r>
        <w:t xml:space="preserve"> </w:t>
      </w:r>
      <w:r>
        <w:t xml:space="preserve">markedly changes the gate trigger count. As shown in Table 5, when</w:t>
      </w:r>
      <w:r>
        <w:t xml:space="preserve"> </w:t>
      </w:r>
      <m:oMath>
        <m:sSub>
          <m:e>
            <m:r>
              <m:t>b</m:t>
            </m:r>
          </m:e>
          <m:sub>
            <m:r>
              <m:rPr>
                <m:sty m:val="p"/>
              </m:rPr>
              <m:t>b</m:t>
            </m:r>
            <m:r>
              <m:rPr>
                <m:sty m:val="p"/>
              </m:rPr>
              <m:t>i</m:t>
            </m:r>
            <m:r>
              <m:rPr>
                <m:sty m:val="p"/>
              </m:rPr>
              <m:t>a</m:t>
            </m:r>
            <m:r>
              <m:rPr>
                <m:sty m:val="p"/>
              </m:rPr>
              <m:t>s</m:t>
            </m:r>
          </m:sub>
        </m:sSub>
      </m:oMath>
      <w:r>
        <w:t xml:space="preserve"> </w:t>
      </w:r>
      <w:r>
        <w:t xml:space="preserve">is -0.13 or -0.09, the gate does not trigger,</w:t>
      </w:r>
      <w:r>
        <w:t xml:space="preserve"> </w:t>
      </w:r>
      <m:oMath>
        <m:sSub>
          <m:e>
            <m:r>
              <m:t>N</m:t>
            </m:r>
          </m:e>
          <m:sub>
            <m:r>
              <m:rPr>
                <m:nor/>
                <m:sty m:val="p"/>
              </m:rPr>
              <m:t>daily</m:t>
            </m:r>
          </m:sub>
        </m:sSub>
      </m:oMath>
      <w:r>
        <w:t xml:space="preserve"> </w:t>
      </w:r>
      <w:r>
        <w:t xml:space="preserve">remains 0,</w:t>
      </w:r>
      <w:r>
        <w:t xml:space="preserve"> </w:t>
      </w:r>
      <m:oMath>
        <m:sSub>
          <m:e>
            <m:r>
              <m:t>R</m:t>
            </m:r>
          </m:e>
          <m:sub>
            <m:r>
              <m:rPr>
                <m:nor/>
                <m:sty m:val="p"/>
              </m:rPr>
              <m:t>test</m:t>
            </m:r>
          </m:sub>
        </m:sSub>
      </m:oMath>
      <w:r>
        <w:t xml:space="preserve"> </w:t>
      </w:r>
      <w:r>
        <w:t xml:space="preserve">stays at 634.80, and</w:t>
      </w:r>
      <w:r>
        <w:t xml:space="preserve"> </w:t>
      </w:r>
      <m:oMath>
        <m:sSub>
          <m:e>
            <m:r>
              <m:t>E</m:t>
            </m:r>
          </m:e>
          <m:sub>
            <m:r>
              <m:rPr>
                <m:nor/>
                <m:sty m:val="p"/>
              </m:rPr>
              <m:t>daily</m:t>
            </m:r>
          </m:sub>
        </m:sSub>
      </m:oMath>
      <w:r>
        <w:t xml:space="preserve"> </w:t>
      </w:r>
      <w:r>
        <w:t xml:space="preserve">stays at 4144.14 kWh/day. As</w:t>
      </w:r>
      <w:r>
        <w:t xml:space="preserve"> </w:t>
      </w:r>
      <m:oMath>
        <m:sSub>
          <m:e>
            <m:r>
              <m:t>b</m:t>
            </m:r>
          </m:e>
          <m:sub>
            <m:r>
              <m:rPr>
                <m:sty m:val="p"/>
              </m:rPr>
              <m:t>b</m:t>
            </m:r>
            <m:r>
              <m:rPr>
                <m:sty m:val="p"/>
              </m:rPr>
              <m:t>i</m:t>
            </m:r>
            <m:r>
              <m:rPr>
                <m:sty m:val="p"/>
              </m:rPr>
              <m:t>a</m:t>
            </m:r>
            <m:r>
              <m:rPr>
                <m:sty m:val="p"/>
              </m:rPr>
              <m:t>s</m:t>
            </m:r>
          </m:sub>
        </m:sSub>
      </m:oMath>
      <w:r>
        <w:t xml:space="preserve"> </w:t>
      </w:r>
      <w:r>
        <w:t xml:space="preserve">increases to -0.05, the gate begins to trigger, and both</w:t>
      </w:r>
      <w:r>
        <w:t xml:space="preserve"> </w:t>
      </w:r>
      <m:oMath>
        <m:sSub>
          <m:e>
            <m:r>
              <m:t>R</m:t>
            </m:r>
          </m:e>
          <m:sub>
            <m:r>
              <m:rPr>
                <m:nor/>
                <m:sty m:val="p"/>
              </m:rPr>
              <m:t>test</m:t>
            </m:r>
          </m:sub>
        </m:sSub>
      </m:oMath>
      <w:r>
        <w:t xml:space="preserve"> </w:t>
      </w:r>
      <w:r>
        <w:t xml:space="preserve">and</w:t>
      </w:r>
      <w:r>
        <w:t xml:space="preserve"> </w:t>
      </w:r>
      <m:oMath>
        <m:sSub>
          <m:e>
            <m:r>
              <m:t>E</m:t>
            </m:r>
          </m:e>
          <m:sub>
            <m:r>
              <m:rPr>
                <m:nor/>
                <m:sty m:val="p"/>
              </m:rPr>
              <m:t>daily</m:t>
            </m:r>
          </m:sub>
        </m:sSub>
      </m:oMath>
      <w:r>
        <w:t xml:space="preserve"> </w:t>
      </w:r>
      <w:r>
        <w:t xml:space="preserve">increase. When</w:t>
      </w:r>
      <w:r>
        <w:t xml:space="preserve"> </w:t>
      </w:r>
      <m:oMath>
        <m:sSub>
          <m:e>
            <m:r>
              <m:t>b</m:t>
            </m:r>
          </m:e>
          <m:sub>
            <m:r>
              <m:rPr>
                <m:sty m:val="p"/>
              </m:rPr>
              <m:t>b</m:t>
            </m:r>
            <m:r>
              <m:rPr>
                <m:sty m:val="p"/>
              </m:rPr>
              <m:t>i</m:t>
            </m:r>
            <m:r>
              <m:rPr>
                <m:sty m:val="p"/>
              </m:rPr>
              <m:t>a</m:t>
            </m:r>
            <m:r>
              <m:rPr>
                <m:sty m:val="p"/>
              </m:rPr>
              <m:t>s</m:t>
            </m:r>
          </m:sub>
        </m:sSub>
      </m:oMath>
      <w:r>
        <w:t xml:space="preserve"> </w:t>
      </w:r>
      <w:r>
        <w:t xml:space="preserve">further increases to -0.01 and 0.03,</w:t>
      </w:r>
      <w:r>
        <w:t xml:space="preserve"> </w:t>
      </w:r>
      <m:oMath>
        <m:sSub>
          <m:e>
            <m:r>
              <m:t>N</m:t>
            </m:r>
          </m:e>
          <m:sub>
            <m:r>
              <m:rPr>
                <m:nor/>
                <m:sty m:val="p"/>
              </m:rPr>
              <m:t>daily</m:t>
            </m:r>
          </m:sub>
        </m:sSub>
      </m:oMath>
      <w:r>
        <w:t xml:space="preserve"> </w:t>
      </w:r>
      <w:r>
        <w:t xml:space="preserve">rises to 5.89 and 7.19, and the reward also increases to 1752.93 and 1819.57. Further increases to 0.07 keep the trigger count at a relatively high level, but the reward no longer improves. Overall,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updates to frequent updates. A moderate increase of</w:t>
      </w:r>
      <w:r>
        <w:t xml:space="preserve"> </w:t>
      </w:r>
      <m:oMath>
        <m:sSub>
          <m:e>
            <m:r>
              <m:t>b</m:t>
            </m:r>
          </m:e>
          <m:sub>
            <m:r>
              <m:rPr>
                <m:sty m:val="p"/>
              </m:rPr>
              <m:t>b</m:t>
            </m:r>
            <m:r>
              <m:rPr>
                <m:sty m:val="p"/>
              </m:rPr>
              <m:t>i</m:t>
            </m:r>
            <m:r>
              <m:rPr>
                <m:sty m:val="p"/>
              </m:rPr>
              <m:t>a</m:t>
            </m:r>
            <m:r>
              <m:rPr>
                <m:sty m:val="p"/>
              </m:rPr>
              <m:t>s</m:t>
            </m:r>
          </m:sub>
        </m:sSub>
      </m:oMath>
      <w:r>
        <w:t xml:space="preserve"> </w:t>
      </w:r>
      <w:r>
        <w:t xml:space="preserve">can substantially improve reward, but an overly high value maintains high energy consumption while providing limited additional benefit.</w:t>
      </w:r>
    </w:p>
    <w:p>
      <w:pPr>
        <w:pStyle w:val="Compact"/>
        <w:numPr>
          <w:ilvl w:val="0"/>
          <w:numId w:val="1019"/>
        </w:numPr>
      </w:pPr>
      <w:r>
        <w:t xml:space="preserve">Hysteresis Margin</w:t>
      </w:r>
      <w:r>
        <w:t xml:space="preserve"> </w:t>
      </w:r>
      <m:oMath>
        <m:sSub>
          <m:e>
            <m:r>
              <m:t>m</m:t>
            </m:r>
          </m:e>
          <m:sub>
            <m:r>
              <m:rPr>
                <m:sty m:val="p"/>
              </m:rPr>
              <m:t>h</m:t>
            </m:r>
            <m:r>
              <m:rPr>
                <m:sty m:val="p"/>
              </m:rPr>
              <m:t>y</m:t>
            </m:r>
            <m:r>
              <m:rPr>
                <m:sty m:val="p"/>
              </m:rPr>
              <m:t>s</m:t>
            </m:r>
          </m:sub>
        </m:sSub>
      </m:oMath>
    </w:p>
    <w:p>
      <w:pPr>
        <w:pStyle w:val="FirstParagraph"/>
      </w:pPr>
      <w:r>
        <w:rPr>
          <w:b/>
          <w:bCs/>
        </w:rPr>
        <w:t xml:space="preserve">Table 6</w:t>
      </w:r>
      <w:r>
        <w:t xml:space="preserve"> </w:t>
      </w:r>
      <w:r>
        <w:t xml:space="preserve">Sensitivity results for hysteresis margin</w:t>
      </w:r>
      <w:r>
        <w:t xml:space="preserve"> </w:t>
      </w:r>
      <m:oMath>
        <m:sSub>
          <m:e>
            <m:r>
              <m:t>m</m:t>
            </m:r>
          </m:e>
          <m:sub>
            <m:r>
              <m:rPr>
                <m:sty m:val="p"/>
              </m:rPr>
              <m:t>h</m:t>
            </m:r>
            <m:r>
              <m:rPr>
                <m:sty m:val="p"/>
              </m:rPr>
              <m:t>y</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1565.44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9.16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7799.43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1309.13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6516.55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1453.35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6802.66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1284.91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6863.50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bl>
    <w:p>
      <w:pPr>
        <w:pStyle w:val="BodyText"/>
      </w:pPr>
      <w:r>
        <w:t xml:space="preserve">When the hysteresis margin</w:t>
      </w:r>
      <w:r>
        <w:t xml:space="preserve"> </w:t>
      </w:r>
      <m:oMath>
        <m:sSub>
          <m:e>
            <m:r>
              <m:t>m</m:t>
            </m:r>
          </m:e>
          <m:sub>
            <m:r>
              <m:rPr>
                <m:sty m:val="p"/>
              </m:rPr>
              <m:t>h</m:t>
            </m:r>
            <m:r>
              <m:rPr>
                <m:sty m:val="p"/>
              </m:rPr>
              <m:t>y</m:t>
            </m:r>
            <m:r>
              <m:rPr>
                <m:sty m:val="p"/>
              </m:rPr>
              <m:t>s</m:t>
            </m:r>
          </m:sub>
        </m:sSub>
      </m:oMath>
      <w:r>
        <w:t xml:space="preserve"> </w:t>
      </w:r>
      <w:r>
        <w:t xml:space="preserve">increases, its most direct effect is to suppress triggering. As shown in Table 6, when</w:t>
      </w:r>
      <w:r>
        <w:t xml:space="preserve"> </w:t>
      </w:r>
      <m:oMath>
        <m:sSub>
          <m:e>
            <m:r>
              <m:t>m</m:t>
            </m:r>
          </m:e>
          <m:sub>
            <m:r>
              <m:rPr>
                <m:sty m:val="p"/>
              </m:rPr>
              <m:t>h</m:t>
            </m:r>
            <m:r>
              <m:rPr>
                <m:sty m:val="p"/>
              </m:rPr>
              <m:t>y</m:t>
            </m:r>
            <m:r>
              <m:rPr>
                <m:sty m:val="p"/>
              </m:rPr>
              <m:t>s</m:t>
            </m:r>
          </m:sub>
        </m:sSub>
      </m:oMath>
      <w:r>
        <w:t xml:space="preserve"> </w:t>
      </w:r>
      <w:r>
        <w:t xml:space="preserve">is 0, the gate triggers most frequently,</w:t>
      </w:r>
      <w:r>
        <w:t xml:space="preserve"> </w:t>
      </w:r>
      <m:oMath>
        <m:sSub>
          <m:e>
            <m:r>
              <m:t>N</m:t>
            </m:r>
          </m:e>
          <m:sub>
            <m:r>
              <m:rPr>
                <m:nor/>
                <m:sty m:val="p"/>
              </m:rPr>
              <m:t>daily</m:t>
            </m:r>
          </m:sub>
        </m:sSub>
      </m:oMath>
      <w:r>
        <w:t xml:space="preserve"> </w:t>
      </w:r>
      <w:r>
        <w:t xml:space="preserve">reaches 9.16, and</w:t>
      </w:r>
      <w:r>
        <w:t xml:space="preserve"> </w:t>
      </w:r>
      <m:oMath>
        <m:sSub>
          <m:e>
            <m:r>
              <m:t>E</m:t>
            </m:r>
          </m:e>
          <m:sub>
            <m:r>
              <m:rPr>
                <m:nor/>
                <m:sty m:val="p"/>
              </m:rPr>
              <m:t>daily</m:t>
            </m:r>
          </m:sub>
        </m:sSub>
      </m:oMath>
      <w:r>
        <w:t xml:space="preserve"> </w:t>
      </w:r>
      <w:r>
        <w:t xml:space="preserve">reaches 7799.43 kWh/day. As</w:t>
      </w:r>
      <w:r>
        <w:t xml:space="preserve"> </w:t>
      </w:r>
      <m:oMath>
        <m:sSub>
          <m:e>
            <m:r>
              <m:t>m</m:t>
            </m:r>
          </m:e>
          <m:sub>
            <m:r>
              <m:rPr>
                <m:sty m:val="p"/>
              </m:rPr>
              <m:t>h</m:t>
            </m:r>
            <m:r>
              <m:rPr>
                <m:sty m:val="p"/>
              </m:rPr>
              <m:t>y</m:t>
            </m:r>
            <m:r>
              <m:rPr>
                <m:sty m:val="p"/>
              </m:rPr>
              <m:t>s</m:t>
            </m:r>
          </m:sub>
        </m:sSub>
      </m:oMath>
      <w:r>
        <w:t xml:space="preserve"> </w:t>
      </w:r>
      <w:r>
        <w:t xml:space="preserve">increases to 0.02 and 0.03, the trigger count decreases to 1.44 and 0.78, and energy consumption decreases to 6516.55 and 6802.66 kWh/day. When</w:t>
      </w:r>
      <w:r>
        <w:t xml:space="preserve"> </w:t>
      </w:r>
      <m:oMath>
        <m:sSub>
          <m:e>
            <m:r>
              <m:t>m</m:t>
            </m:r>
          </m:e>
          <m:sub>
            <m:r>
              <m:rPr>
                <m:sty m:val="p"/>
              </m:rPr>
              <m:t>h</m:t>
            </m:r>
            <m:r>
              <m:rPr>
                <m:sty m:val="p"/>
              </m:rPr>
              <m:t>y</m:t>
            </m:r>
            <m:r>
              <m:rPr>
                <m:sty m:val="p"/>
              </m:rPr>
              <m:t>s</m:t>
            </m:r>
          </m:sub>
        </m:sSub>
      </m:oMath>
      <w:r>
        <w:t xml:space="preserve"> </w:t>
      </w:r>
      <w:r>
        <w:t xml:space="preserve">further increases to 0.07 and 0.09, the gate no longer triggers and</w:t>
      </w:r>
      <w:r>
        <w:t xml:space="preserve"> </w:t>
      </w:r>
      <m:oMath>
        <m:sSub>
          <m:e>
            <m:r>
              <m:t>R</m:t>
            </m:r>
          </m:e>
          <m:sub>
            <m:r>
              <m:rPr>
                <m:nor/>
                <m:sty m:val="p"/>
              </m:rPr>
              <m:t>test</m:t>
            </m:r>
          </m:sub>
        </m:sSub>
      </m:oMath>
      <w:r>
        <w:t xml:space="preserve"> </w:t>
      </w:r>
      <w:r>
        <w:t xml:space="preserve">drops to 634.80. Overall, increasing</w:t>
      </w:r>
      <w:r>
        <w:t xml:space="preserve"> </w:t>
      </w:r>
      <m:oMath>
        <m:sSub>
          <m:e>
            <m:r>
              <m:t>m</m:t>
            </m:r>
          </m:e>
          <m:sub>
            <m:r>
              <m:rPr>
                <m:sty m:val="p"/>
              </m:rPr>
              <m:t>h</m:t>
            </m:r>
            <m:r>
              <m:rPr>
                <m:sty m:val="p"/>
              </m:rPr>
              <m:t>y</m:t>
            </m:r>
            <m:r>
              <m:rPr>
                <m:sty m:val="p"/>
              </m:rPr>
              <m:t>s</m:t>
            </m:r>
          </m:sub>
        </m:sSub>
      </m:oMath>
      <w:r>
        <w:t xml:space="preserve"> </w:t>
      </w:r>
      <w:r>
        <w:t xml:space="preserve">reduces frequent updates near the threshold and lowers energy consumption, but an overly large margin causes the controller to miss necessary updates and degrades reward to the no trigger state.</w:t>
      </w:r>
    </w:p>
    <w:p>
      <w:pPr>
        <w:pStyle w:val="Compact"/>
        <w:numPr>
          <w:ilvl w:val="0"/>
          <w:numId w:val="1020"/>
        </w:numPr>
      </w:pPr>
      <w:r>
        <w:t xml:space="preserve">Local Window Length</w:t>
      </w:r>
      <w:r>
        <w:t xml:space="preserve"> </w:t>
      </w:r>
      <m:oMath>
        <m:r>
          <m:t>W</m:t>
        </m:r>
      </m:oMath>
    </w:p>
    <w:p>
      <w:pPr>
        <w:pStyle w:val="FirstParagraph"/>
      </w:pPr>
      <w:r>
        <w:rPr>
          <w:b/>
          <w:bCs/>
        </w:rPr>
        <w:t xml:space="preserve">Table 7</w:t>
      </w:r>
      <w:r>
        <w:t xml:space="preserve"> </w:t>
      </w:r>
      <w:r>
        <w:t xml:space="preserve">Sensitivity results for local window length</w:t>
      </w:r>
      <w:r>
        <w:t xml:space="preserve"> </w:t>
      </w:r>
      <m:oMath>
        <m:r>
          <m:t>W</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1374.46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7053.75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1493.12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7115.59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1176.24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5971.89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1229.66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6157.48</w:t>
            </w:r>
          </w:p>
        </w:tc>
      </w:tr>
    </w:tbl>
    <w:p>
      <w:pPr>
        <w:pStyle w:val="BodyText"/>
      </w:pPr>
      <w:r>
        <w:t xml:space="preserve">When the local window length</w:t>
      </w:r>
      <w:r>
        <w:t xml:space="preserve"> </w:t>
      </w:r>
      <m:oMath>
        <m:r>
          <m:t>W</m:t>
        </m:r>
      </m:oMath>
      <w:r>
        <w:t xml:space="preserve"> </w:t>
      </w:r>
      <w:r>
        <w:t xml:space="preserve">increases, local statistics cover a longer time range and short term fluctuations are further smoothed. As shown in Table 7, under the window setting</w:t>
      </w:r>
      <w:r>
        <w:t xml:space="preserve"> </w:t>
      </w:r>
      <m:oMath>
        <m:r>
          <m:t>W</m:t>
        </m:r>
        <m:r>
          <m:rPr>
            <m:sty m:val="p"/>
          </m:rPr>
          <m:t>=</m:t>
        </m:r>
        <m:r>
          <m:t>60</m:t>
        </m:r>
      </m:oMath>
      <w:r>
        <w:t xml:space="preserve">,</w:t>
      </w:r>
      <w:r>
        <w:t xml:space="preserve"> </w:t>
      </w:r>
      <m:oMath>
        <m:sSub>
          <m:e>
            <m:r>
              <m:t>N</m:t>
            </m:r>
          </m:e>
          <m:sub>
            <m:r>
              <m:rPr>
                <m:nor/>
                <m:sty m:val="p"/>
              </m:rPr>
              <m:t>daily</m:t>
            </m:r>
          </m:sub>
        </m:sSub>
      </m:oMath>
      <w:r>
        <w:t xml:space="preserve"> </w:t>
      </w:r>
      <w:r>
        <w:t xml:space="preserve">is 2.22,</w:t>
      </w:r>
      <w:r>
        <w:t xml:space="preserve"> </w:t>
      </w:r>
      <m:oMath>
        <m:sSub>
          <m:e>
            <m:r>
              <m:t>E</m:t>
            </m:r>
          </m:e>
          <m:sub>
            <m:r>
              <m:rPr>
                <m:nor/>
                <m:sty m:val="p"/>
              </m:rPr>
              <m:t>daily</m:t>
            </m:r>
          </m:sub>
        </m:sSub>
      </m:oMath>
      <w:r>
        <w:t xml:space="preserve"> </w:t>
      </w:r>
      <w:r>
        <w:t xml:space="preserve">is 8410.21 kWh/day, and</w:t>
      </w:r>
      <w:r>
        <w:t xml:space="preserve"> </w:t>
      </w:r>
      <m:oMath>
        <m:sSub>
          <m:e>
            <m:r>
              <m:t>R</m:t>
            </m:r>
          </m:e>
          <m:sub>
            <m:r>
              <m:rPr>
                <m:nor/>
                <m:sty m:val="p"/>
              </m:rPr>
              <m:t>test</m:t>
            </m:r>
          </m:sub>
        </m:sSub>
      </m:oMath>
      <w:r>
        <w:t xml:space="preserve"> </w:t>
      </w:r>
      <w:r>
        <w:t xml:space="preserve">remains at a relatively high value of 1909.19. As</w:t>
      </w:r>
      <w:r>
        <w:t xml:space="preserve"> </w:t>
      </w:r>
      <m:oMath>
        <m:r>
          <m:t>W</m:t>
        </m:r>
      </m:oMath>
      <w:r>
        <w:t xml:space="preserve"> </w:t>
      </w:r>
      <w:r>
        <w:t xml:space="preserve">increases to the range from 90 to 180, the trigger count generally decreases to 0.85 to 1.83, energy consumption decreases to 5971.89 to 7115.59 kWh/day, and the reward becomes lower than under the short window setting. Overall, a shorter</w:t>
      </w:r>
      <w:r>
        <w:t xml:space="preserve"> </w:t>
      </w:r>
      <m:oMath>
        <m:r>
          <m:t>W</m:t>
        </m:r>
      </m:oMath>
      <w:r>
        <w:t xml:space="preserve"> </w:t>
      </w:r>
      <w:r>
        <w:t xml:space="preserve">strengthens the gate response to recent disturbances, yielding a higher reward but higher energy consumption. A longer</w:t>
      </w:r>
      <w:r>
        <w:t xml:space="preserve"> </w:t>
      </w:r>
      <m:oMath>
        <m:r>
          <m:t>W</m:t>
        </m:r>
      </m:oMath>
      <w:r>
        <w:t xml:space="preserve"> </w:t>
      </w:r>
      <w:r>
        <w:t xml:space="preserve">reduces triggering and energy consumption, but it may also weaken the response to rapid disturbances and reduce reward.</w:t>
      </w:r>
    </w:p>
    <w:p>
      <w:pPr>
        <w:pStyle w:val="Compact"/>
        <w:numPr>
          <w:ilvl w:val="0"/>
          <w:numId w:val="1021"/>
        </w:numPr>
      </w:pPr>
      <w:r>
        <w:t xml:space="preserve">Short Scale Weight</w:t>
      </w:r>
      <w:r>
        <w:t xml:space="preserve"> </w:t>
      </w:r>
      <m:oMath>
        <m:sSub>
          <m:e>
            <m:r>
              <m:t>w</m:t>
            </m:r>
          </m:e>
          <m:sub>
            <m:r>
              <m:t>s</m:t>
            </m:r>
          </m:sub>
        </m:sSub>
      </m:oMath>
    </w:p>
    <w:p>
      <w:pPr>
        <w:pStyle w:val="FirstParagraph"/>
      </w:pPr>
      <w:r>
        <w:rPr>
          <w:b/>
          <w:bCs/>
        </w:rPr>
        <w:t xml:space="preserve">Table 8</w:t>
      </w:r>
      <w:r>
        <w:t xml:space="preserve"> </w:t>
      </w:r>
      <w:r>
        <w:t xml:space="preserve">Sensitivity results for short scale weight</w:t>
      </w:r>
      <w:r>
        <w:t xml:space="preserve"> </w:t>
      </w:r>
      <m:oMath>
        <m:sSub>
          <m:e>
            <m:r>
              <m:t>w</m:t>
            </m:r>
          </m:e>
          <m:sub>
            <m: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w</m:t>
                  </m:r>
                </m:e>
                <m:sub>
                  <m: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1066.50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6426.31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1369.15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6872.77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1455.66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6989.56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1462.83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6989.91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1275.80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6269.29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1423.38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6820.44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1542.72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7283.76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1704.65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7806.51</w:t>
            </w:r>
          </w:p>
        </w:tc>
      </w:tr>
    </w:tbl>
    <w:p>
      <w:pPr>
        <w:pStyle w:val="BodyText"/>
      </w:pPr>
      <w:r>
        <w:t xml:space="preserve">When the short scale weight</w:t>
      </w:r>
      <w:r>
        <w:t xml:space="preserve"> </w:t>
      </w:r>
      <m:oMath>
        <m:sSub>
          <m:e>
            <m:r>
              <m:t>w</m:t>
            </m:r>
          </m:e>
          <m:sub>
            <m:r>
              <m:t>s</m:t>
            </m:r>
          </m:sub>
        </m:sSub>
      </m:oMath>
      <w:r>
        <w:t xml:space="preserve"> </w:t>
      </w:r>
      <w:r>
        <w:t xml:space="preserve">increases, short term disturbances account for a larger proportion of the multi scale score. As shown in Table 8, when</w:t>
      </w:r>
      <w:r>
        <w:t xml:space="preserve"> </w:t>
      </w:r>
      <m:oMath>
        <m:sSub>
          <m:e>
            <m:r>
              <m:t>w</m:t>
            </m:r>
          </m:e>
          <m:sub>
            <m:r>
              <m:t>s</m:t>
            </m:r>
          </m:sub>
        </m:sSub>
      </m:oMath>
      <w:r>
        <w:t xml:space="preserve"> </w:t>
      </w:r>
      <w:r>
        <w:t xml:space="preserve">increases from 0.30 to 0.72,</w:t>
      </w:r>
      <w:r>
        <w:t xml:space="preserve"> </w:t>
      </w:r>
      <m:oMath>
        <m:sSub>
          <m:e>
            <m:r>
              <m:t>N</m:t>
            </m:r>
          </m:e>
          <m:sub>
            <m:r>
              <m:rPr>
                <m:nor/>
                <m:sty m:val="p"/>
              </m:rPr>
              <m:t>daily</m:t>
            </m:r>
          </m:sub>
        </m:sSub>
      </m:oMath>
      <w:r>
        <w:t xml:space="preserve"> </w:t>
      </w:r>
      <w:r>
        <w:t xml:space="preserve">rises from 0.13 to 2.62,</w:t>
      </w:r>
      <w:r>
        <w:t xml:space="preserve"> </w:t>
      </w:r>
      <m:oMath>
        <m:sSub>
          <m:e>
            <m:r>
              <m:t>R</m:t>
            </m:r>
          </m:e>
          <m:sub>
            <m:r>
              <m:rPr>
                <m:nor/>
                <m:sty m:val="p"/>
              </m:rPr>
              <m:t>test</m:t>
            </m:r>
          </m:sub>
        </m:sSub>
      </m:oMath>
      <w:r>
        <w:t xml:space="preserve"> </w:t>
      </w:r>
      <w:r>
        <w:t xml:space="preserve">generally increases from 1066.50 to 1704.65, and</w:t>
      </w:r>
      <w:r>
        <w:t xml:space="preserve"> </w:t>
      </w:r>
      <m:oMath>
        <m:sSub>
          <m:e>
            <m:r>
              <m:t>E</m:t>
            </m:r>
          </m:e>
          <m:sub>
            <m:r>
              <m:rPr>
                <m:nor/>
                <m:sty m:val="p"/>
              </m:rPr>
              <m:t>daily</m:t>
            </m:r>
          </m:sub>
        </m:sSub>
      </m:oMath>
      <w:r>
        <w:t xml:space="preserve"> </w:t>
      </w:r>
      <w:r>
        <w:t xml:space="preserve">also increases from 6426.31 kWh/day to 7806.51 kWh/day. Overall, a lower</w:t>
      </w:r>
      <w:r>
        <w:t xml:space="preserve"> </w:t>
      </w:r>
      <m:oMath>
        <m:sSub>
          <m:e>
            <m:r>
              <m:t>w</m:t>
            </m:r>
          </m:e>
          <m:sub>
            <m:r>
              <m:t>s</m:t>
            </m:r>
          </m:sub>
        </m:sSub>
      </m:oMath>
      <w:r>
        <w:t xml:space="preserve"> </w:t>
      </w:r>
      <w:r>
        <w:t xml:space="preserve">makes the gate respond less often to rapid load changes, resulting in fewer triggers and a lower reward. A higher</w:t>
      </w:r>
      <w:r>
        <w:t xml:space="preserve"> </w:t>
      </w:r>
      <m:oMath>
        <m:sSub>
          <m:e>
            <m:r>
              <m:t>w</m:t>
            </m:r>
          </m:e>
          <m:sub>
            <m:r>
              <m:t>s</m:t>
            </m:r>
          </m:sub>
        </m:sSub>
      </m:oMath>
      <w:r>
        <w:t xml:space="preserve"> </w:t>
      </w:r>
      <w:r>
        <w:t xml:space="preserve">strengthens the capture of short term disturbances and brings more control updates and a higher reward, but it also raises energy consumption. Therefore, the main role of</w:t>
      </w:r>
      <w:r>
        <w:t xml:space="preserve"> </w:t>
      </w:r>
      <m:oMath>
        <m:sSub>
          <m:e>
            <m:r>
              <m:t>w</m:t>
            </m:r>
          </m:e>
          <m:sub>
            <m:r>
              <m:t>s</m:t>
            </m:r>
          </m:sub>
        </m:sSub>
      </m:oMath>
      <w:r>
        <w:t xml:space="preserve"> </w:t>
      </w:r>
      <w:r>
        <w:t xml:space="preserve">is to adjust the tradeoff among short term response strength, reward improvement, and increased energy consumption.</w:t>
      </w:r>
    </w:p>
    <w:p>
      <w:pPr>
        <w:pStyle w:val="BodyText"/>
      </w:pPr>
      <w:r>
        <w:t xml:space="preserve">Overall, these parameters affect reward and energy consumption mainly by changing the trigger count. Increasing</w:t>
      </w:r>
      <w:r>
        <w:t xml:space="preserve"> </w:t>
      </w:r>
      <m:oMath>
        <m:r>
          <m:t>q</m:t>
        </m:r>
      </m:oMath>
      <w:r>
        <w:t xml:space="preserve"> </w:t>
      </w:r>
      <w:r>
        <w:t xml:space="preserve">and</w:t>
      </w:r>
      <w:r>
        <w:t xml:space="preserve"> </w:t>
      </w:r>
      <m:oMath>
        <m:sSub>
          <m:e>
            <m:r>
              <m:t>w</m:t>
            </m:r>
          </m:e>
          <m:sub>
            <m:r>
              <m:t>s</m:t>
            </m:r>
          </m:sub>
        </m:sSub>
      </m:oMath>
      <w:r>
        <w:t xml:space="preserve"> </w:t>
      </w:r>
      <w:r>
        <w:t xml:space="preserve">generally raises the trigger frequency and improves reward, but it also increases energy consumption. Increasing</w:t>
      </w:r>
      <w:r>
        <w:t xml:space="preserve"> </w:t>
      </w:r>
      <m:oMath>
        <m:sSub>
          <m:e>
            <m:r>
              <m:t>m</m:t>
            </m:r>
          </m:e>
          <m:sub>
            <m:r>
              <m:rPr>
                <m:sty m:val="p"/>
              </m:rPr>
              <m:t>h</m:t>
            </m:r>
            <m:r>
              <m:rPr>
                <m:sty m:val="p"/>
              </m:rPr>
              <m:t>y</m:t>
            </m:r>
            <m:r>
              <m:rPr>
                <m:sty m:val="p"/>
              </m:rPr>
              <m:t>s</m:t>
            </m:r>
          </m:sub>
        </m:sSub>
      </m:oMath>
      <w:r>
        <w:t xml:space="preserve"> </w:t>
      </w:r>
      <w:r>
        <w:t xml:space="preserve">suppresses triggering, and an overly large value keeps the control action unchanged for an extended period.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triggering to frequent triggering. A moderate value substantially improves reward, whereas the benefit becomes limited when the value is too high. Increasing</w:t>
      </w:r>
      <w:r>
        <w:t xml:space="preserve"> </w:t>
      </w:r>
      <m:oMath>
        <m:r>
          <m:t>W</m:t>
        </m:r>
      </m:oMath>
      <w:r>
        <w:t xml:space="preserve"> </w:t>
      </w:r>
      <w:r>
        <w:t xml:space="preserve">smooths short term fluctuations and reduces both trigger count and energy consumption, but it may weaken the response to rapid disturbances. Therefore, when selecting parameter values in this paper, we first exclude values that make the gate never trigger or trigger too often. Among the remaining values, we prioritize parameter combinations that produce fewer triggers without clear reward degradation, and avoid introducing excessive energy increases only to improve reward.</w:t>
      </w:r>
    </w:p>
    <w:bookmarkEnd w:id="51"/>
    <w:bookmarkEnd w:id="52"/>
    <w:bookmarkStart w:id="53" w:name="conclusion"/>
    <w:p>
      <w:pPr>
        <w:pStyle w:val="Heading1"/>
      </w:pPr>
      <w:r>
        <w:t xml:space="preserve">6. Conclusion</w:t>
      </w:r>
    </w:p>
    <w:p>
      <w:pPr>
        <w:pStyle w:val="FirstParagraph"/>
      </w:pPr>
      <w:r>
        <w:t xml:space="preserve">This paper proposes event-triggered predictive reinforcement learning with unsupervised dynamic event gating (ET-PRL) to address the redundant computation and actuator wear caused by fixed time-step reinforcement learning control in building HVAC systems. ET-PRL constructs an online gating mechanism by combining streaming multi-scale anomaly scoring with a two-layer adaptive threshold, and couples it with a predictive DQN controller so that control actions are updated only when the system state deviates significantly from the recent normal distribution. Experimental results show that, compared with the fixed-step baseline, the proposed method reduces action updates by 53.54% while achieving a 2.13% energy saving rate and retaining 94.41% of baseline performance, demonstrating its ability to achieve an effective trade-off between control accuracy and execution cost.</w:t>
      </w:r>
    </w:p>
    <w:p>
      <w:pPr>
        <w:pStyle w:val="BodyText"/>
      </w:pPr>
      <w:r>
        <w:t xml:space="preserve">Future work will focus on two directions. First, we will further investigate the interaction between event-triggered execution and predictive reinforcement learning, especially how sparse action updates reshape value estimation, delayed feedback, and closed-loop decision stability. This analysis may provide a clearer basis for designing trigger criteria that reflect the learning dynamics of the controller rather than only the statistical deviation of the current state. Second, we will explore uncertainty-aware event gating under non-stationary building operating conditions, so that the trigger mechanism can better distinguish control-relevant changes from ordinary variations caused by seasonal drift or operating regime shifts. Such work may improve the transferability of the proposed method across different building energy systems and support broader use of event-triggered reinforcement learning in long-term HVAC control.</w:t>
      </w:r>
    </w:p>
    <w:bookmarkEnd w:id="53"/>
    <w:bookmarkStart w:id="54" w:name="appendix-a-supplementary-tables"/>
    <w:p>
      <w:pPr>
        <w:pStyle w:val="Heading1"/>
      </w:pPr>
      <w:r>
        <w:t xml:space="preserve">Appendix A: Supplementary Tables</w:t>
      </w:r>
    </w:p>
    <w:p>
      <w:pPr>
        <w:pStyle w:val="FirstParagraph"/>
      </w:pPr>
      <w:r>
        <w:t xml:space="preserve">Table A1 Key design parameters of the HVAC system</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Equipment</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Quantity</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power (kW)</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cooling capacity (kW)</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flow rate (</w:t>
            </w:r>
            <m:oMath>
              <m:sSup>
                <m:e>
                  <m:r>
                    <m:rPr>
                      <m:sty m:val="p"/>
                    </m:rPr>
                    <m:t>m</m:t>
                  </m:r>
                </m:e>
                <m:sup>
                  <m:r>
                    <m:rPr>
                      <m:sty m:val="p"/>
                    </m:rPr>
                    <m:t>3</m:t>
                  </m:r>
                </m:sup>
              </m:sSup>
              <m:r>
                <m:rPr>
                  <m:sty m:val="p"/>
                </m:rPr>
                <m:t>/</m:t>
              </m:r>
              <m:r>
                <m:rPr>
                  <m:sty m:val="p"/>
                </m:rPr>
                <m:t>h</m:t>
              </m:r>
            </m:oMath>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Operating characteristics and key parameters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Centrifugal chiller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COP varies with the load ratio and condenser side operating conditions. The design chilled water supply temperature setpoint is</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t xml:space="preserve">. The control setpoint range is</w:t>
            </w:r>
            <w:r>
              <w:t xml:space="preserve"> </w:t>
            </w:r>
            <m:oMath>
              <m:r>
                <m:rPr>
                  <m:sty m:val="p"/>
                </m:rPr>
                <m:t>[</m:t>
              </m:r>
              <m:r>
                <m:t>6</m:t>
              </m:r>
              <m:r>
                <m:rPr>
                  <m:sty m:val="p"/>
                </m:rPr>
                <m:t>,</m:t>
              </m:r>
              <m:r>
                <m:t>15</m:t>
              </m:r>
              <m:r>
                <m:rPr>
                  <m:sty m:val="p"/>
                </m:rPr>
                <m:t>]</m:t>
              </m:r>
              <m:r>
                <m:t> </m:t>
              </m:r>
              <m:sSup>
                <m:e>
                  <m:r>
                    <m:rPr>
                      <m:sty m:val="p"/>
                    </m:rPr>
                    <m:t>​</m:t>
                  </m:r>
                </m:e>
                <m:sup>
                  <m:r>
                    <m:rPr>
                      <m:sty m:val="p"/>
                    </m:rPr>
                    <m:t>∘</m:t>
                  </m:r>
                </m:sup>
              </m:sSup>
              <m:r>
                <m:rPr>
                  <m:sty m:val="p"/>
                </m:rPr>
                <m:t>C</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Chilled water pump</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Constant speed operation. The rated head is</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Cooling water pump</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Constant speed operation. The rated head is</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Cooling tower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Variable condition operation. The performance is affected by the outdoor wet bulb temperature</w:t>
            </w:r>
            <w:r>
              <w:t xml:space="preserve"> </w:t>
            </w:r>
            <m:oMath>
              <m:sSub>
                <m:e>
                  <m:r>
                    <m:t>T</m:t>
                  </m:r>
                </m:e>
                <m:sub>
                  <m:r>
                    <m:rPr>
                      <m:sty m:val="p"/>
                    </m:rPr>
                    <m:t>w</m:t>
                  </m:r>
                  <m:r>
                    <m:rPr>
                      <m:sty m:val="p"/>
                    </m:rPr>
                    <m:t>b</m:t>
                  </m:r>
                </m:sub>
              </m:sSub>
            </m:oMath>
          </w:p>
        </w:tc>
      </w:tr>
    </w:tbl>
    <w:p>
      <w:pPr>
        <w:pStyle w:val="BodyText"/>
      </w:pPr>
      <w:r>
        <w:t xml:space="preserve">Table A2 Key Hyperparameter Settings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Module</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Parameter Description</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Symbol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DQN Agent</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Learning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α</m:t>
              </m:r>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0.0048</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Discount factor</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γ</m:t>
              </m:r>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0.9620</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Replay buffer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M</m:t>
              </m:r>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20</m:t>
              </m:r>
              <m:r>
                <m:rPr>
                  <m:sty m:val="p"/>
                </m:rPr>
                <m:t>,</m:t>
              </m:r>
              <m:r>
                <m:t>000</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Mini-batch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B</m:t>
              </m:r>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178</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Epsilon schedule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ϵ</m:t>
              </m:r>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p"/>
                </m:rPr>
                <m:t>[</m:t>
              </m:r>
              <m:r>
                <m:t>0.0045</m:t>
              </m:r>
              <m:r>
                <m:rPr>
                  <m:sty m:val="p"/>
                </m:rPr>
                <m:t>,</m:t>
              </m:r>
              <m:r>
                <m:t>0.6109</m:t>
              </m:r>
              <m:r>
                <m:rPr>
                  <m:sty m:val="p"/>
                </m:rPr>
                <m:t>]</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Epsilon decay factor</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t>ϵ</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0.9947</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Target update frequency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C</m:t>
              </m:r>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126</m:t>
              </m:r>
            </m:oMath>
            <w:r>
              <w:t xml:space="preserve"> </w:t>
            </w:r>
            <w:r>
              <w:t xml:space="preserve">steps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Network architecture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Global update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rPr>
                      <m:sty m:val="p"/>
                    </m:rPr>
                    <m:t>g</m:t>
                  </m:r>
                  <m:r>
                    <m:rPr>
                      <m:sty m:val="p"/>
                    </m:rPr>
                    <m:t>l</m:t>
                  </m:r>
                  <m:r>
                    <m:rPr>
                      <m:sty m:val="p"/>
                    </m:rPr>
                    <m:t>o</m:t>
                  </m:r>
                  <m:r>
                    <m:rPr>
                      <m:sty m:val="p"/>
                    </m:rPr>
                    <m:t>b</m:t>
                  </m:r>
                  <m:r>
                    <m:rPr>
                      <m:sty m:val="p"/>
                    </m:rPr>
                    <m:t>a</m:t>
                  </m:r>
                  <m:r>
                    <m:rPr>
                      <m:sty m:val="p"/>
                    </m:rPr>
                    <m:t>l</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0.0625</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window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W</m:t>
              </m:r>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135</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update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rPr>
                      <m:sty m:val="p"/>
                    </m:rPr>
                    <m:t>l</m:t>
                  </m:r>
                  <m:r>
                    <m:rPr>
                      <m:sty m:val="p"/>
                    </m:rPr>
                    <m:t>o</m:t>
                  </m:r>
                  <m:r>
                    <m:rPr>
                      <m:sty m:val="p"/>
                    </m:rPr>
                    <m:t>c</m:t>
                  </m:r>
                  <m:r>
                    <m:rPr>
                      <m:sty m:val="p"/>
                    </m:rPr>
                    <m:t>a</m:t>
                  </m:r>
                  <m:r>
                    <m:rPr>
                      <m:sty m:val="p"/>
                    </m:rPr>
                    <m:t>l</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0.5957</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fusion weight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α</m:t>
                  </m:r>
                </m:e>
                <m:sub>
                  <m:r>
                    <m:rPr>
                      <m:sty m:val="p"/>
                    </m:rPr>
                    <m:t>l</m:t>
                  </m:r>
                  <m:r>
                    <m:rPr>
                      <m:sty m:val="p"/>
                    </m:rPr>
                    <m:t>o</m:t>
                  </m:r>
                  <m:r>
                    <m:rPr>
                      <m:sty m:val="p"/>
                    </m:rPr>
                    <m:t>c</m:t>
                  </m:r>
                  <m:r>
                    <m:rPr>
                      <m:sty m:val="p"/>
                    </m:rPr>
                    <m:t>a</m:t>
                  </m:r>
                  <m:r>
                    <m:rPr>
                      <m:sty m:val="p"/>
                    </m:rPr>
                    <m:t>l</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0.6750</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Bias correction term</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b</m:t>
                  </m:r>
                </m:e>
                <m:sub>
                  <m:r>
                    <m:rPr>
                      <m:sty m:val="p"/>
                    </m:rPr>
                    <m:t>b</m:t>
                  </m:r>
                  <m:r>
                    <m:rPr>
                      <m:sty m:val="p"/>
                    </m:rPr>
                    <m:t>i</m:t>
                  </m:r>
                  <m:r>
                    <m:rPr>
                      <m:sty m:val="p"/>
                    </m:rPr>
                    <m:t>a</m:t>
                  </m:r>
                  <m:r>
                    <m:rPr>
                      <m:sty m:val="p"/>
                    </m:rPr>
                    <m:t>s</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p"/>
                </m:rPr>
                <m:t>−</m:t>
              </m:r>
              <m:r>
                <m:t>0.0431</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Quantile level</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q</m:t>
              </m:r>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0.6675</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MAD scale coefficient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κ</m:t>
              </m:r>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1.1353</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Quantile fusion weight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ω</m:t>
                  </m:r>
                </m:e>
                <m:sub>
                  <m:r>
                    <m:t>q</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0.5750</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Hysteresis margin</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m</m:t>
                  </m:r>
                </m:e>
                <m:sub>
                  <m:r>
                    <m:rPr>
                      <m:sty m:val="p"/>
                    </m:rPr>
                    <m:t>h</m:t>
                  </m:r>
                  <m:r>
                    <m:rPr>
                      <m:sty m:val="p"/>
                    </m:rPr>
                    <m:t>y</m:t>
                  </m:r>
                  <m:r>
                    <m:rPr>
                      <m:sty m:val="p"/>
                    </m:rPr>
                    <m:t>s</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0.0218</m:t>
              </m:r>
            </m:oMath>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Multiscale fusion weights</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bi"/>
                </m:rPr>
                <m:t>w</m:t>
              </m:r>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0.5500</m:t>
              </m:r>
              <m:r>
                <m:rPr>
                  <m:sty m:val="p"/>
                </m:rPr>
                <m:t>,</m:t>
              </m:r>
              <m:r>
                <m:t>0.2750</m:t>
              </m:r>
              <m:r>
                <m:rPr>
                  <m:sty m:val="p"/>
                </m:rPr>
                <m:t>,</m:t>
              </m:r>
              <m:r>
                <m:t>0.1750</m:t>
              </m:r>
            </m:oMath>
            <w:r>
              <w:t xml:space="preserve">​</w:t>
            </w:r>
          </w:p>
        </w:tc>
      </w:tr>
    </w:tbl>
    <w:p>
      <w:pPr>
        <w:pStyle w:val="BodyText"/>
      </w:pPr>
      <w:r>
        <w:t xml:space="preserve">Table A3 Evaluation metrics and optimization objectives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Category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Metric</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Symbol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Unit</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Goal</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Energy efficiency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Average daily energy consumption</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Relative energy saving rate</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Average chiller power</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Temperature control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Action smoothness</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preservation rate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Control sparsity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Daily trigger count</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Total action updates</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Actuation compression ratio</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Action reduction rate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ARR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Trigger interval</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trigger</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Hold length</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hold</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Execution efficiency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Cumulative test reward</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Average reward per update</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bl>
    <w:bookmarkEnd w:id="54"/>
    <w:bookmarkStart w:id="55" w:name="references"/>
    <w:p>
      <w:pPr>
        <w:pStyle w:val="Heading1"/>
      </w:pPr>
      <w:r>
        <w:t xml:space="preserve">References</w:t>
      </w:r>
    </w:p>
    <w:p>
      <w:pPr>
        <w:pStyle w:val="FirstParagraph"/>
      </w:pPr>
      <w:r>
        <w:t xml:space="preserve">[1] Arghand, Taha, et al. </w:t>
      </w:r>
      <w:r>
        <w:t xml:space="preserve">“Individually controlled localized chilled beam combined with chilled ceiling: Thermal environment.”</w:t>
      </w:r>
      <w:r>
        <w:t xml:space="preserve"> </w:t>
      </w:r>
      <w:r>
        <w:t xml:space="preserve">Building and Environment 282 (2025): 113322.</w:t>
      </w:r>
    </w:p>
    <w:p>
      <w:pPr>
        <w:pStyle w:val="BodyText"/>
      </w:pPr>
      <w:r>
        <w:t xml:space="preserve">[2]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[3] Xia, Yihan, et al. </w:t>
      </w:r>
      <w:r>
        <w:t xml:space="preserve">“Federated accelerated deep reinforcement learning for multi-zone HVAC control in commercial buildings.”</w:t>
      </w:r>
      <w:r>
        <w:t xml:space="preserve"> </w:t>
      </w:r>
      <w:r>
        <w:t xml:space="preserve">IEEE Transactions on Smart Grid 16.3 (2025): 2599-2610.</w:t>
      </w:r>
    </w:p>
    <w:p>
      <w:pPr>
        <w:pStyle w:val="BodyText"/>
      </w:pPr>
      <w:r>
        <w:t xml:space="preserve">[4]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[5]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[6] Coraci, Davide, et al. </w:t>
      </w:r>
      <w:r>
        <w:t xml:space="preserve">“An innovative heterogeneous transfer learning framework to enhance the scalability of deep reinforcement learning controllers in buildings with integrated energy systems.”</w:t>
      </w:r>
      <w:r>
        <w:t xml:space="preserve"> </w:t>
      </w:r>
      <w:r>
        <w:t xml:space="preserve">Building simulation. Vol. 17. No. 5. Beijing: Tsinghua University Press, 2024.</w:t>
      </w:r>
    </w:p>
    <w:p>
      <w:pPr>
        <w:pStyle w:val="BodyText"/>
      </w:pPr>
      <w:r>
        <w:t xml:space="preserve">[7] Gu, Zhou, Ruiyan Cao, and Engang Tian.</w:t>
      </w:r>
      <w:r>
        <w:t xml:space="preserve"> </w:t>
      </w:r>
      <w:r>
        <w:t xml:space="preserve">“Reinforcement learning-based event-triggered optimal control of power systems with control input saturation.”</w:t>
      </w:r>
      <w:r>
        <w:t xml:space="preserve"> </w:t>
      </w:r>
      <w:r>
        <w:t xml:space="preserve">IEEE Transactions on Industrial Informatics 21.2 (2024): 1528-1536.</w:t>
      </w:r>
    </w:p>
    <w:p>
      <w:pPr>
        <w:pStyle w:val="BodyText"/>
      </w:pPr>
      <w:r>
        <w:t xml:space="preserve">[8] Wang, Ke, Zhuo Tang, and Chaoxu Mu.</w:t>
      </w:r>
      <w:r>
        <w:t xml:space="preserve"> </w:t>
      </w:r>
      <w:r>
        <w:t xml:space="preserve">“Dynamic event-triggered model-free reinforcement learning for cooperative control of multiagent systems.”</w:t>
      </w:r>
      <w:r>
        <w:t xml:space="preserve"> </w:t>
      </w:r>
      <w:r>
        <w:t xml:space="preserve">IEEE Transactions on Reliability 74.3 (2024): 3166-3179.</w:t>
      </w:r>
    </w:p>
    <w:p>
      <w:pPr>
        <w:pStyle w:val="BodyText"/>
      </w:pPr>
      <w:r>
        <w:t xml:space="preserve">[9] Fu, Qiming, et al. </w:t>
      </w:r>
      <w:r>
        <w:t xml:space="preserve">“ED-DQN: An event-driven deep reinforcement learning control method for multi-zone residential buildings.”</w:t>
      </w:r>
      <w:r>
        <w:t xml:space="preserve"> </w:t>
      </w:r>
      <w:r>
        <w:t xml:space="preserve">Building and Environment 242 (2023): 110546.</w:t>
      </w:r>
    </w:p>
    <w:p>
      <w:pPr>
        <w:pStyle w:val="BodyText"/>
      </w:pPr>
      <w:r>
        <w:t xml:space="preserve">[10] Li, Wenzhuo, Hangxin Li, and Shengwei Wang.</w:t>
      </w:r>
      <w:r>
        <w:t xml:space="preserve"> </w:t>
      </w:r>
      <w:r>
        <w:t xml:space="preserve">“An event-driven multi-agent based distributed optimal control strategy for HVAC systems in IoT-enabled smart buildings.”</w:t>
      </w:r>
      <w:r>
        <w:t xml:space="preserve"> </w:t>
      </w:r>
      <w:r>
        <w:t xml:space="preserve">Automation in Construction 132 (2021): 103919.</w:t>
      </w:r>
    </w:p>
    <w:p>
      <w:pPr>
        <w:pStyle w:val="BodyText"/>
      </w:pPr>
      <w:r>
        <w:t xml:space="preserve">[11] Wang, Xin, et al. </w:t>
      </w:r>
      <w:r>
        <w:t xml:space="preserve">“Observer-based event-triggered optimal control for nonlinear multiagent systems with input delay via reinforcement learning strategy.”</w:t>
      </w:r>
      <w:r>
        <w:t xml:space="preserve"> </w:t>
      </w:r>
      <w:r>
        <w:t xml:space="preserve">IEEE Transactions on Emerging Topics in Computational Intelligence 9.3 (2024): 2398-2409.</w:t>
      </w:r>
    </w:p>
    <w:p>
      <w:pPr>
        <w:pStyle w:val="BodyText"/>
      </w:pPr>
      <w:r>
        <w:t xml:space="preserve">[12]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odyText"/>
      </w:pPr>
      <w:r>
        <w:t xml:space="preserve">[13] Choi, Youngsik, et al. </w:t>
      </w:r>
      <w:r>
        <w:t xml:space="preserve">“Optimization-informed rule extraction for HVAC system: A case study of dedicated outdoor air system control in a mixed-humid climate zone.”</w:t>
      </w:r>
      <w:r>
        <w:t xml:space="preserve"> </w:t>
      </w:r>
      <w:r>
        <w:t xml:space="preserve">Energy and Buildings 295 (2023): 113295.</w:t>
      </w:r>
    </w:p>
    <w:p>
      <w:pPr>
        <w:pStyle w:val="BodyText"/>
      </w:pPr>
      <w:r>
        <w:t xml:space="preserve">[14]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t xml:space="preserve">Buildings 14.1 (2023): 66.</w:t>
      </w:r>
    </w:p>
    <w:p>
      <w:pPr>
        <w:pStyle w:val="BodyText"/>
      </w:pPr>
      <w:r>
        <w:t xml:space="preserve">[15]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t xml:space="preserve">Energies 16.7 (2023): 2967.</w:t>
      </w:r>
    </w:p>
    <w:p>
      <w:pPr>
        <w:pStyle w:val="BodyText"/>
      </w:pPr>
      <w:r>
        <w:t xml:space="preserve">[16] Tang, Lingfeng, et al. </w:t>
      </w:r>
      <w:r>
        <w:t xml:space="preserve">“Deeply flexible commercial building HVAC system control: A physics-aware deep learning-embedded MPC approach.”</w:t>
      </w:r>
      <w:r>
        <w:t xml:space="preserve"> </w:t>
      </w:r>
      <w:r>
        <w:t xml:space="preserve">Applied Energy 388 (2025): 125631.</w:t>
      </w:r>
    </w:p>
    <w:p>
      <w:pPr>
        <w:pStyle w:val="BodyText"/>
      </w:pPr>
      <w:r>
        <w:t xml:space="preserve">[17] Lu, Shengze, et al. </w:t>
      </w:r>
      <w:r>
        <w:t xml:space="preserve">“Exploring the comprehensive integration of artificial intelligence in optimizing HVAC system operations: A review and future outlook.”</w:t>
      </w:r>
      <w:r>
        <w:t xml:space="preserve"> </w:t>
      </w:r>
      <w:r>
        <w:t xml:space="preserve">Results in Engineering 25 (2025): 103765.</w:t>
      </w:r>
    </w:p>
    <w:p>
      <w:pPr>
        <w:pStyle w:val="BodyText"/>
      </w:pPr>
      <w:r>
        <w:t xml:space="preserve">[18] Fu, Qiming, et al. </w:t>
      </w:r>
      <w:r>
        <w:t xml:space="preserve">“Applications of reinforcement learning for building energy efficiency control: A review.”</w:t>
      </w:r>
      <w:r>
        <w:t xml:space="preserve"> </w:t>
      </w:r>
      <w:r>
        <w:t xml:space="preserve">Journal of Building Engineering 50 (2022): 104165.</w:t>
      </w:r>
    </w:p>
    <w:p>
      <w:pPr>
        <w:pStyle w:val="BodyText"/>
      </w:pPr>
      <w:r>
        <w:t xml:space="preserve">[19] Savino, Sabrina, et al. </w:t>
      </w:r>
      <w:r>
        <w:t xml:space="preserve">“Deploying deep reinforcement learning for low-level HVAC control in multi-zone buildings: A comparative study with ASHRAE G36 sequences.”</w:t>
      </w:r>
      <w:r>
        <w:t xml:space="preserve"> </w:t>
      </w:r>
      <w:r>
        <w:t xml:space="preserve">Energy and Buildings (2025): 116456.</w:t>
      </w:r>
    </w:p>
    <w:p>
      <w:pPr>
        <w:pStyle w:val="BodyText"/>
      </w:pPr>
      <w:r>
        <w:t xml:space="preserve">[20] Wang, Man, and Borong Lin.</w:t>
      </w:r>
      <w:r>
        <w:t xml:space="preserve"> </w:t>
      </w:r>
      <w:r>
        <w:t xml:space="preserve">“MF^2: Model-free reinforcement learning for modeling-free building HVAC control with data-driven environment construction in a residential building.”</w:t>
      </w:r>
      <w:r>
        <w:t xml:space="preserve"> </w:t>
      </w:r>
      <w:r>
        <w:t xml:space="preserve">Building and Environment 244 (2023): 110816.</w:t>
      </w:r>
    </w:p>
    <w:p>
      <w:pPr>
        <w:pStyle w:val="BodyText"/>
      </w:pPr>
      <w:r>
        <w:t xml:space="preserve">[21] Zhuang, Dian, et al. </w:t>
      </w:r>
      <w:r>
        <w:t xml:space="preserve">“Data-driven predictive control for smart HVAC system in IoT-integrated buildings with time-series forecasting and reinforcement learning.”</w:t>
      </w:r>
      <w:r>
        <w:t xml:space="preserve"> </w:t>
      </w:r>
      <w:r>
        <w:t xml:space="preserve">Applied Energy 338 (2023): 120936.</w:t>
      </w:r>
    </w:p>
    <w:p>
      <w:pPr>
        <w:pStyle w:val="BodyText"/>
      </w:pPr>
      <w:r>
        <w:t xml:space="preserve">[22] Manjavacas, Antonio, et al. </w:t>
      </w:r>
      <w:r>
        <w:t xml:space="preserve">“An experimental evaluation of deep reinforcement learning algorithms for HVAC control.”</w:t>
      </w:r>
      <w:r>
        <w:t xml:space="preserve"> </w:t>
      </w:r>
      <w:r>
        <w:t xml:space="preserve">Artificial Intelligence Review 57.7 (2024): 173.</w:t>
      </w:r>
    </w:p>
    <w:p>
      <w:pPr>
        <w:pStyle w:val="BodyText"/>
      </w:pPr>
      <w:r>
        <w:t xml:space="preserve">[23] Li, Kai, Wei Ni, and Falko Dressler.</w:t>
      </w:r>
      <w:r>
        <w:t xml:space="preserve"> </w:t>
      </w:r>
      <w:r>
        <w:t xml:space="preserve">“LSTM-characterized deep reinforcement learning for continuous flight control and resource allocation in UAV-assisted sensor network.”</w:t>
      </w:r>
      <w:r>
        <w:t xml:space="preserve"> </w:t>
      </w:r>
      <w:r>
        <w:t xml:space="preserve">IEEE Internet of Things Journal 9.6 (2021): 4179-4189.</w:t>
      </w:r>
    </w:p>
    <w:p>
      <w:pPr>
        <w:pStyle w:val="BodyText"/>
      </w:pPr>
      <w:r>
        <w:t xml:space="preserve">[24] Al Sayed, Khalil, et al. </w:t>
      </w:r>
      <w:r>
        <w:t xml:space="preserve">“Reinforcement learning for HVAC control in intelligent buildings: A technical and conceptual review.”</w:t>
      </w:r>
      <w:r>
        <w:t xml:space="preserve"> </w:t>
      </w:r>
      <w:r>
        <w:t xml:space="preserve">Journal of Building Engineering 95 (2024): 110085.</w:t>
      </w:r>
    </w:p>
    <w:p>
      <w:pPr>
        <w:pStyle w:val="BodyText"/>
      </w:pPr>
      <w:r>
        <w:t xml:space="preserve">[25] He, Kun, et al. </w:t>
      </w:r>
      <w:r>
        <w:t xml:space="preserve">“Predictive control optimization of chiller plants based on deep reinforcement learning.”</w:t>
      </w:r>
      <w:r>
        <w:t xml:space="preserve"> </w:t>
      </w:r>
      <w:r>
        <w:t xml:space="preserve">Journal of Building Engineering 76 (2023): 107158.</w:t>
      </w:r>
    </w:p>
    <w:p>
      <w:pPr>
        <w:pStyle w:val="BodyText"/>
      </w:pPr>
      <w:r>
        <w:t xml:space="preserve">[26] Liu, Xinghua, et al. </w:t>
      </w:r>
      <w:r>
        <w:t xml:space="preserve">“Event-triggered load frequency control of smart grids under deception attacks.”</w:t>
      </w:r>
      <w:r>
        <w:t xml:space="preserve"> </w:t>
      </w:r>
      <w:r>
        <w:t xml:space="preserve">IET Control Theory &amp; Applications 15.10 (2021): 1335-1345.</w:t>
      </w:r>
    </w:p>
    <w:p>
      <w:pPr>
        <w:pStyle w:val="BodyText"/>
      </w:pPr>
      <w:r>
        <w:t xml:space="preserve">[27]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[28] Liu, Derong, et al. </w:t>
      </w:r>
      <w:r>
        <w:t xml:space="preserve">“Adaptive dynamic programming for control: A survey and recent advances.”</w:t>
      </w:r>
      <w:r>
        <w:t xml:space="preserve"> </w:t>
      </w:r>
      <w:r>
        <w:t xml:space="preserve">IEEE Transactions on Systems, Man, and Cybernetics: Systems 51.1 (2020): 142-160.</w:t>
      </w:r>
    </w:p>
    <w:p>
      <w:pPr>
        <w:pStyle w:val="BodyText"/>
      </w:pPr>
      <w:r>
        <w:t xml:space="preserve">[29] Wang, Yuan, et al. </w:t>
      </w:r>
      <w:r>
        <w:t xml:space="preserve">“Dynamic event-triggered control for persistent dwell-time switched nonlinear multiagent systems with random packet loss.”</w:t>
      </w:r>
      <w:r>
        <w:t xml:space="preserve"> </w:t>
      </w:r>
      <w:r>
        <w:t xml:space="preserve">IEEE Transactions on Systems, Man, and Cybernetics: Systems 54.4 (2023): 2045-2054.</w:t>
      </w:r>
    </w:p>
    <w:p>
      <w:pPr>
        <w:pStyle w:val="BodyText"/>
      </w:pPr>
      <w:r>
        <w:t xml:space="preserve">[30] Liu, Xin, et al. </w:t>
      </w:r>
      <w:r>
        <w:t xml:space="preserve">“Building-MoE: A closed-loop routing sparse mixture-of-experts time-series foundation model for building short-term load forecasting.”</w:t>
      </w:r>
      <w:r>
        <w:t xml:space="preserve"> </w:t>
      </w:r>
      <w:r>
        <w:t xml:space="preserve">Building Simulation. Beijing: Tsinghua University Press, 2026.</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svg"/><Relationship Id="rId11" Type="http://schemas.openxmlformats.org/officeDocument/2006/relationships/image" Target="media/rId11.svg"/><Relationship Id="rId16" Type="http://schemas.openxmlformats.org/officeDocument/2006/relationships/image" Target="media/rId16.svg"/><Relationship Id="rId24" Type="http://schemas.openxmlformats.org/officeDocument/2006/relationships/image" Target="media/rId24.svg"/><Relationship Id="rId27" Type="http://schemas.openxmlformats.org/officeDocument/2006/relationships/image" Target="media/rId27.svg"/><Relationship Id="rId36" Type="http://schemas.openxmlformats.org/officeDocument/2006/relationships/image" Target="media/rId36.svg"/><Relationship Id="rId39" Type="http://schemas.openxmlformats.org/officeDocument/2006/relationships/image" Target="media/rId39.svg"/><Relationship Id="rId42" Type="http://schemas.openxmlformats.org/officeDocument/2006/relationships/image" Target="media/rId42.svg"/><Relationship Id="rId45" Type="http://schemas.openxmlformats.org/officeDocument/2006/relationships/image" Target="media/rId4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2026-07-02T14:46:17Z</dcterms:created>
  <dcterms:modified xsi:type="dcterms:W3CDTF">2026-07-02T14:46:17Z</dcterms:modified>
</cp:coreProperties>
</file>

<file path=docProps/custom.xml><?xml version="1.0" encoding="utf-8"?>
<Properties xmlns="http://schemas.openxmlformats.org/officeDocument/2006/custom-properties" xmlns:vt="http://schemas.openxmlformats.org/officeDocument/2006/docPropsVTypes"/>
</file>