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60"/>
        <w:gridCol w:w="360"/>
        <w:gridCol w:w="360"/>
        <w:gridCol w:w="8280"/>
      </w:tblGrid>
      <w:tr>
        <w:tc>
          <w:tcPr>
            <w:tcW w:type="dxa" w:w="9360"/>
            <w:vAlign w:val="center"/>
            <w:gridSpan w:val="4"/>
            <w:tcMar>
              <w:top w:w="30" w:type="dxa"/>
              <w:start w:w="120" w:type="dxa"/>
              <w:bottom w:w="30" w:type="dxa"/>
              <w:end w:w="120" w:type="dxa"/>
            </w:tcMar>
            <w:tcBorders>
              <w:top w:val="single" w:sz="6" w:space="0" w:color="7F7F7F"/>
              <w:bottom w:val="single" w:sz="6" w:space="0" w:color="7F7F7F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Algorithm 1. Event-Triggered Predictive Reinforcement Learning (ET-PRL) Online Control Procedure</w:t>
            </w:r>
          </w:p>
        </w:tc>
      </w:tr>
      <w:tr>
        <w:tc>
          <w:tcPr>
            <w:tcW w:type="dxa" w:w="9360"/>
            <w:vAlign w:val="center"/>
            <w:gridSpan w:val="4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 xml:space="preserve">Input: </w:t>
            </w:r>
            <w:r>
              <w:rPr>
                <w:rFonts w:ascii="Times New Roman" w:hAnsi="Times New Roman" w:eastAsia="Times New Roman"/>
                <w:color w:val="000000"/>
                <w:sz w:val="21"/>
              </w:rPr>
              <w:t xml:space="preserve">Trained DQN policy </w:t>
            </w:r>
            <m:oMath>
              <m:sSub>
                <m:e>
                  <m:r>
                    <m:t>π</m:t>
                  </m:r>
                </m:e>
                <m:sub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Q</m:t>
                  </m:r>
                  <m:r>
                    <m:rPr>
                      <m:sty m:val="p"/>
                    </m:rPr>
                    <m:t>N</m:t>
                  </m:r>
                </m:sub>
              </m:sSub>
            </m:oMath>
            <w:r>
              <w:rPr>
                <w:rFonts w:ascii="Times New Roman" w:hAnsi="Times New Roman" w:eastAsia="Times New Roman"/>
                <w:color w:val="000000"/>
                <w:sz w:val="21"/>
              </w:rPr>
              <w:t xml:space="preserve">; gate parameters </w:t>
            </w:r>
            <m:oMath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κ</m:t>
              </m:r>
              <m:r>
                <m:rPr>
                  <m:sty m:val="p"/>
                </m:rPr>
                <m:t>,</m:t>
              </m:r>
              <m:sSub>
                <m:e>
                  <m:r>
                    <m:t>ω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r>
                <m:t>ν</m:t>
              </m:r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s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rPr>
                <w:rFonts w:ascii="Times New Roman" w:hAnsi="Times New Roman" w:eastAsia="Times New Roman"/>
                <w:color w:val="000000"/>
                <w:sz w:val="21"/>
              </w:rPr>
              <w:t xml:space="preserve"> defined in Eqs. (7) to (16); minimum trigger interval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  <w:r>
              <w:rPr>
                <w:rFonts w:ascii="Times New Roman" w:hAnsi="Times New Roman" w:eastAsia="Times New Roman"/>
                <w:color w:val="000000"/>
                <w:sz w:val="21"/>
              </w:rPr>
              <w:t xml:space="preserve">; total control horizon </w:t>
            </w:r>
            <m:oMath>
              <m:r>
                <m:t>T</m:t>
              </m:r>
            </m:oMath>
            <w:r>
              <w:rPr>
                <w:rFonts w:ascii="Times New Roman" w:hAnsi="Times New Roman" w:eastAsia="Times New Roman"/>
                <w:color w:val="000000"/>
                <w:sz w:val="21"/>
              </w:rPr>
              <w:t>.</w:t>
            </w:r>
          </w:p>
        </w:tc>
      </w:tr>
      <w:tr>
        <w:tc>
          <w:tcPr>
            <w:tcW w:type="dxa" w:w="9360"/>
            <w:vAlign w:val="center"/>
            <w:gridSpan w:val="4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 xml:space="preserve">Output: </w:t>
            </w:r>
            <w:r>
              <w:rPr>
                <w:rFonts w:ascii="Times New Roman" w:hAnsi="Times New Roman" w:eastAsia="Times New Roman"/>
                <w:color w:val="000000"/>
                <w:sz w:val="21"/>
              </w:rPr>
              <w:t xml:space="preserve">Control setpoint sequence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sSubSup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</m:sup>
              </m:sSubSup>
            </m:oMath>
            <w:r>
              <w:rPr>
                <w:rFonts w:ascii="Times New Roman" w:hAnsi="Times New Roman" w:eastAsia="Times New Roman"/>
                <w:color w:val="000000"/>
                <w:sz w:val="21"/>
              </w:rPr>
              <w:t>.</w:t>
            </w:r>
          </w:p>
        </w:tc>
      </w:tr>
      <w:tr>
        <w:tc>
          <w:tcPr>
            <w:tcW w:type="dxa" w:w="9360"/>
            <w:vAlign w:val="center"/>
            <w:gridSpan w:val="4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Initialization:</w:t>
            </w:r>
          </w:p>
        </w:tc>
      </w:tr>
      <w:tr>
        <w:tc>
          <w:tcPr>
            <w:tcW w:type="dxa" w:w="3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/>
        </w:tc>
        <w:tc>
          <w:tcPr>
            <w:tcW w:type="dxa" w:w="9000"/>
            <w:vAlign w:val="center"/>
            <w:gridSpan w:val="3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 xml:space="preserve">Set the initial control action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</w:p>
        </w:tc>
      </w:tr>
      <w:tr>
        <w:tc>
          <w:tcPr>
            <w:tcW w:type="dxa" w:w="3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/>
        </w:tc>
        <w:tc>
          <w:tcPr>
            <w:tcW w:type="dxa" w:w="9000"/>
            <w:vAlign w:val="center"/>
            <w:gridSpan w:val="3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 xml:space="preserve">Set the last trigger time 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</w:p>
        </w:tc>
      </w:tr>
      <w:tr>
        <w:tc>
          <w:tcPr>
            <w:tcW w:type="dxa" w:w="3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/>
        </w:tc>
        <w:tc>
          <w:tcPr>
            <w:tcW w:type="dxa" w:w="9000"/>
            <w:vAlign w:val="center"/>
            <w:gridSpan w:val="3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 xml:space="preserve">Initialize the anomaly score sliding window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</w:p>
        </w:tc>
      </w:tr>
      <w:tr>
        <w:tc>
          <w:tcPr>
            <w:tcW w:type="dxa" w:w="9360"/>
            <w:vAlign w:val="center"/>
            <w:gridSpan w:val="4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 xml:space="preserve">for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rPr>
                <w:rFonts w:ascii="Times New Roman" w:hAnsi="Times New Roman" w:eastAsia="Times New Roman"/>
                <w:color w:val="000000"/>
                <w:sz w:val="21"/>
              </w:rPr>
              <w:t xml:space="preserve"> do</w:t>
            </w:r>
          </w:p>
        </w:tc>
      </w:tr>
      <w:tr>
        <w:tc>
          <w:tcPr>
            <w:tcW w:type="dxa" w:w="3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/>
        </w:tc>
        <w:tc>
          <w:tcPr>
            <w:tcW w:type="dxa" w:w="9000"/>
            <w:vAlign w:val="center"/>
            <w:gridSpan w:val="3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 xml:space="preserve">Collect </w:t>
            </w:r>
            <m:oMath>
              <m:sSubSup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d</m:t>
                  </m:r>
                </m:sub>
                <m:sup>
                  <m:r>
                    <m:t>t</m:t>
                  </m:r>
                </m:sup>
              </m:sSubSup>
            </m:oMath>
            <w:r>
              <w:rPr>
                <w:rFonts w:ascii="Times New Roman" w:hAnsi="Times New Roman" w:eastAsia="Times New Roman"/>
                <w:color w:val="000000"/>
                <w:sz w:val="21"/>
              </w:rPr>
              <w:t xml:space="preserve">, </w:t>
            </w:r>
            <m:oMath>
              <m:sSubSup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b</m:t>
                  </m:r>
                </m:sub>
                <m:sup>
                  <m:r>
                    <m:t>t</m:t>
                  </m:r>
                </m:sup>
              </m:sSubSup>
            </m:oMath>
            <w:r>
              <w:rPr>
                <w:rFonts w:ascii="Times New Roman" w:hAnsi="Times New Roman" w:eastAsia="Times New Roman"/>
                <w:color w:val="000000"/>
                <w:sz w:val="21"/>
              </w:rPr>
              <w:t xml:space="preserve">, and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d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</m:oMath>
          </w:p>
        </w:tc>
      </w:tr>
      <w:tr>
        <w:tc>
          <w:tcPr>
            <w:tcW w:type="dxa" w:w="3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/>
        </w:tc>
        <w:tc>
          <w:tcPr>
            <w:tcW w:type="dxa" w:w="9000"/>
            <w:vAlign w:val="center"/>
            <w:gridSpan w:val="3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 xml:space="preserve">Construct the predictive state </w:t>
            </w:r>
            <m:oMath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d</m:t>
                  </m:r>
                </m:sub>
                <m:sup>
                  <m:r>
                    <m:t>t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b</m:t>
                  </m:r>
                </m:sub>
                <m:sup>
                  <m:r>
                    <m:t>t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d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]</m:t>
              </m:r>
            </m:oMath>
          </w:p>
        </w:tc>
      </w:tr>
      <w:tr>
        <w:tc>
          <w:tcPr>
            <w:tcW w:type="dxa" w:w="3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/>
        </w:tc>
        <w:tc>
          <w:tcPr>
            <w:tcW w:type="dxa" w:w="9000"/>
            <w:vAlign w:val="center"/>
            <w:gridSpan w:val="3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 xml:space="preserve">Compute the scale-specific anomaly scores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/>
                <w:color w:val="000000"/>
                <w:sz w:val="21"/>
              </w:rPr>
              <w:t xml:space="preserve">,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/>
                <w:color w:val="000000"/>
                <w:sz w:val="21"/>
              </w:rPr>
              <w:t xml:space="preserve">, and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>
            <w:tcW w:type="dxa" w:w="3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/>
        </w:tc>
        <w:tc>
          <w:tcPr>
            <w:tcW w:type="dxa" w:w="9000"/>
            <w:vAlign w:val="center"/>
            <w:gridSpan w:val="3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 xml:space="preserve">Compute the multi-scale fused anomaly score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/>
                <w:color w:val="000000"/>
                <w:sz w:val="21"/>
              </w:rPr>
              <w:t xml:space="preserve"> according to Eq. (8)</w:t>
            </w:r>
          </w:p>
        </w:tc>
      </w:tr>
      <w:tr>
        <w:tc>
          <w:tcPr>
            <w:tcW w:type="dxa" w:w="3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/>
        </w:tc>
        <w:tc>
          <w:tcPr>
            <w:tcW w:type="dxa" w:w="9000"/>
            <w:vAlign w:val="center"/>
            <w:gridSpan w:val="3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Compute the candidate threshold, local threshold, and global threshold according to Eqs. (11) to (14)</w:t>
            </w:r>
          </w:p>
        </w:tc>
      </w:tr>
      <w:tr>
        <w:tc>
          <w:tcPr>
            <w:tcW w:type="dxa" w:w="3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/>
        </w:tc>
        <w:tc>
          <w:tcPr>
            <w:tcW w:type="dxa" w:w="9000"/>
            <w:vAlign w:val="center"/>
            <w:gridSpan w:val="3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 xml:space="preserve">Compute the adaptive triggering threshold </w:t>
            </w:r>
            <m:oMath>
              <m:sSubSup>
                <m:e>
                  <m:r>
                    <m:t>τ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rPr>
                <w:rFonts w:ascii="Times New Roman" w:hAnsi="Times New Roman" w:eastAsia="Times New Roman"/>
                <w:color w:val="000000"/>
                <w:sz w:val="21"/>
              </w:rPr>
              <w:t xml:space="preserve"> according to Eq. (15)</w:t>
            </w:r>
          </w:p>
        </w:tc>
      </w:tr>
      <w:tr>
        <w:tc>
          <w:tcPr>
            <w:tcW w:type="dxa" w:w="3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/>
        </w:tc>
        <w:tc>
          <w:tcPr>
            <w:tcW w:type="dxa" w:w="9000"/>
            <w:vAlign w:val="center"/>
            <w:gridSpan w:val="3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 xml:space="preserve">if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sSubSup>
                <m:e>
                  <m:r>
                    <m:t>τ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rPr>
                <w:rFonts w:ascii="Times New Roman" w:hAnsi="Times New Roman" w:eastAsia="Times New Roman"/>
                <w:color w:val="000000"/>
                <w:sz w:val="21"/>
              </w:rPr>
              <w:t xml:space="preserve"> and </w:t>
            </w:r>
            <m:oMath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  <w:r>
              <w:rPr>
                <w:rFonts w:ascii="Times New Roman" w:hAnsi="Times New Roman" w:eastAsia="Times New Roman"/>
                <w:color w:val="000000"/>
                <w:sz w:val="21"/>
              </w:rPr>
              <w:t xml:space="preserve"> then</w:t>
            </w:r>
          </w:p>
        </w:tc>
      </w:tr>
      <w:tr>
        <w:tc>
          <w:tcPr>
            <w:tcW w:type="dxa" w:w="3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/>
        </w:tc>
        <w:tc>
          <w:tcPr>
            <w:tcW w:type="dxa" w:w="3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/>
        </w:tc>
        <w:tc>
          <w:tcPr>
            <w:tcW w:type="dxa" w:w="8640"/>
            <w:vAlign w:val="center"/>
            <w:gridSpan w:val="2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 xml:space="preserve">Infer a new control setpoint using the trained DQN policy: </w:t>
            </w: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Q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>
            <w:tcW w:type="dxa" w:w="3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/>
        </w:tc>
        <w:tc>
          <w:tcPr>
            <w:tcW w:type="dxa" w:w="3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/>
        </w:tc>
        <w:tc>
          <w:tcPr>
            <w:tcW w:type="dxa" w:w="8640"/>
            <w:vAlign w:val="center"/>
            <w:gridSpan w:val="2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 xml:space="preserve">Update the last trigger time: 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</m:oMath>
          </w:p>
        </w:tc>
      </w:tr>
      <w:tr>
        <w:tc>
          <w:tcPr>
            <w:tcW w:type="dxa" w:w="3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/>
        </w:tc>
        <w:tc>
          <w:tcPr>
            <w:tcW w:type="dxa" w:w="9000"/>
            <w:vAlign w:val="center"/>
            <w:gridSpan w:val="3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else</w:t>
            </w:r>
          </w:p>
        </w:tc>
      </w:tr>
      <w:tr>
        <w:tc>
          <w:tcPr>
            <w:tcW w:type="dxa" w:w="3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/>
        </w:tc>
        <w:tc>
          <w:tcPr>
            <w:tcW w:type="dxa" w:w="3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/>
        </w:tc>
        <w:tc>
          <w:tcPr>
            <w:tcW w:type="dxa" w:w="8640"/>
            <w:vAlign w:val="center"/>
            <w:gridSpan w:val="2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 xml:space="preserve">Hold the previous control setpoint: </w:t>
            </w: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</w:p>
        </w:tc>
      </w:tr>
      <w:tr>
        <w:tc>
          <w:tcPr>
            <w:tcW w:type="dxa" w:w="3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/>
        </w:tc>
        <w:tc>
          <w:tcPr>
            <w:tcW w:type="dxa" w:w="9000"/>
            <w:vAlign w:val="center"/>
            <w:gridSpan w:val="3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end if</w:t>
            </w:r>
          </w:p>
        </w:tc>
      </w:tr>
      <w:tr>
        <w:tc>
          <w:tcPr>
            <w:tcW w:type="dxa" w:w="3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/>
        </w:tc>
        <w:tc>
          <w:tcPr>
            <w:tcW w:type="dxa" w:w="9000"/>
            <w:vAlign w:val="center"/>
            <w:gridSpan w:val="3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 xml:space="preserve">Execute </w:t>
            </w: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</m:oMath>
          </w:p>
        </w:tc>
      </w:tr>
      <w:tr>
        <w:tc>
          <w:tcPr>
            <w:tcW w:type="dxa" w:w="3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/>
        </w:tc>
        <w:tc>
          <w:tcPr>
            <w:tcW w:type="dxa" w:w="9000"/>
            <w:vAlign w:val="center"/>
            <w:gridSpan w:val="3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 xml:space="preserve">Append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/>
                <w:color w:val="000000"/>
                <w:sz w:val="21"/>
              </w:rPr>
              <w:t xml:space="preserve"> to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  <w:r>
              <w:rPr>
                <w:rFonts w:ascii="Times New Roman" w:hAnsi="Times New Roman" w:eastAsia="Times New Roman"/>
                <w:color w:val="000000"/>
                <w:sz w:val="21"/>
              </w:rPr>
              <w:t xml:space="preserve"> for use in the next threshold update</w:t>
            </w:r>
          </w:p>
        </w:tc>
      </w:tr>
      <w:tr>
        <w:tc>
          <w:tcPr>
            <w:tcW w:type="dxa" w:w="9360"/>
            <w:vAlign w:val="center"/>
            <w:gridSpan w:val="4"/>
            <w:tcMar>
              <w:top w:w="30" w:type="dxa"/>
              <w:start w:w="120" w:type="dxa"/>
              <w:bottom w:w="30" w:type="dxa"/>
              <w:end w:w="120" w:type="dxa"/>
            </w:tcMar>
            <w:tcBorders>
              <w:bottom w:val="single" w:sz="6" w:space="0" w:color="7F7F7F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end for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