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Highlights</w:t>
      </w:r>
    </w:p>
    <w:p>
      <w:pPr>
        <w:pStyle w:val="ListBullet"/>
      </w:pPr>
      <w:r>
        <w:rPr>
          <w:rFonts w:ascii="Times New Roman" w:hAnsi="Times New Roman"/>
          <w:sz w:val="24"/>
        </w:rPr>
        <w:t>ET-PRL frames HVAC action triggering as online anomaly detection.</w:t>
      </w:r>
    </w:p>
    <w:p>
      <w:pPr>
        <w:pStyle w:val="ListBullet"/>
      </w:pPr>
      <w:r>
        <w:rPr>
          <w:rFonts w:ascii="Times New Roman" w:hAnsi="Times New Roman"/>
          <w:sz w:val="24"/>
        </w:rPr>
        <w:t>Multi-scale anomaly scores and local-global thresholds enable dynamic event gating.</w:t>
      </w:r>
    </w:p>
    <w:p>
      <w:pPr>
        <w:pStyle w:val="ListBullet"/>
      </w:pPr>
      <w:r>
        <w:rPr>
          <w:rFonts w:ascii="Times New Roman" w:hAnsi="Times New Roman"/>
          <w:sz w:val="24"/>
        </w:rPr>
        <w:t>Predictive RL couples with event triggering to reduce redundant control updates.</w:t>
      </w:r>
    </w:p>
    <w:p>
      <w:pPr>
        <w:pStyle w:val="ListBullet"/>
      </w:pPr>
      <w:r>
        <w:rPr>
          <w:rFonts w:ascii="Times New Roman" w:hAnsi="Times New Roman"/>
          <w:sz w:val="24"/>
        </w:rPr>
        <w:t>Real data show 53.54% fewer updates and 2.13% less energy than fixed-step RL.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