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0.svg" ContentType="image/svg+xml"/>
  <Override PartName="/word/media/rId20.svg" ContentType="image/svg+xml"/>
  <Override PartName="/word/media/rId23.svg" ContentType="image/svg+xml"/>
  <Override PartName="/word/media/rId28.svg" ContentType="image/svg+xml"/>
  <Override PartName="/word/media/rId32.svg" ContentType="image/svg+xml"/>
  <Override PartName="/word/media/rId35.svg" ContentType="image/svg+xml"/>
  <Override PartName="/word/media/rId38.svg" ContentType="image/svg+xml"/>
  <Override PartName="/word/media/rId41.svg" ContentType="image/svg+xml"/>
  <Override PartName="/word/media/rId44.svg" ContentType="image/svg+xml"/>
  <Override PartName="/word/media/rId4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b0bc7f40d0a06fea82d73f5c490066b2d76f6f"/>
    <w:p>
      <w:pPr>
        <w:pStyle w:val="Heading1"/>
      </w:pPr>
      <w:r>
        <w:rPr>
          <w:rFonts w:hint="eastAsia"/>
        </w:rPr>
        <w:t xml:space="preserve">基于动态事件触发的</w:t>
      </w:r>
      <w:r>
        <w:t xml:space="preserve"> HVAC </w:t>
      </w:r>
      <w:r>
        <w:rPr>
          <w:rFonts w:hint="eastAsia"/>
        </w:rPr>
        <w:t xml:space="preserve">强化学习预测控制方法</w:t>
      </w:r>
      <w:r>
        <w:t xml:space="preserve"> / HVAC Predictive Control Method Based on Dynamic Event Triggering</w:t>
      </w:r>
    </w:p>
    <w:bookmarkEnd w:id="9"/>
    <w:bookmarkStart w:id="13" w:name="引言-introduction"/>
    <w:p>
      <w:pPr>
        <w:pStyle w:val="Heading1"/>
      </w:pPr>
      <w:r>
        <w:t xml:space="preserve">1. </w:t>
      </w:r>
      <w:r>
        <w:rPr>
          <w:rFonts w:hint="eastAsia"/>
        </w:rPr>
        <w:t xml:space="preserve">引言</w:t>
      </w:r>
      <w:r>
        <w:t xml:space="preserve"> / Introduction</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w:t>
      </w:r>
      <w:r>
        <w:t xml:space="preserve"> </w:t>
      </w:r>
      <w:r>
        <w:rPr>
          <w:rFonts w:hint="eastAsia"/>
        </w:rPr>
        <w:t xml:space="preserve">[1]。在中央空调系统中，冷水机组作为核心耗能部件，其运行效率直接决定了系统的整体性能。然而，实际工程中的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r>
        <w:t xml:space="preserve"> [2]。</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w:t>
      </w:r>
      <w:r>
        <w:t xml:space="preserve"> </w:t>
      </w:r>
      <w:r>
        <w:rPr>
          <w:rFonts w:hint="eastAsia"/>
        </w:rPr>
        <w:t xml:space="preserve">[3]；结合时序特征的预测型</w:t>
      </w:r>
      <w:r>
        <w:t xml:space="preserve"> DRL </w:t>
      </w:r>
      <w:r>
        <w:rPr>
          <w:rFonts w:hint="eastAsia"/>
        </w:rPr>
        <w:t xml:space="preserve">进一步提升了智能体的前瞻预测能力，有效缓解了建筑大热惯性带来的控制滞后</w:t>
      </w:r>
      <w:r>
        <w:t xml:space="preserve"> </w:t>
      </w:r>
      <w:r>
        <w:rPr>
          <w:rFonts w:hint="eastAsia"/>
        </w:rPr>
        <w:t xml:space="preserve">[4]。然而，现有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w:t>
      </w:r>
      <w:r>
        <w:t xml:space="preserve"> </w:t>
      </w:r>
      <w:r>
        <w:rPr>
          <w:rFonts w:hint="eastAsia"/>
        </w:rPr>
        <w:t xml:space="preserve">[5]。这种固定频率驱动方式导致了响应速度与控制代价之间的固有矛盾：高频控制虽能迅速响应环境扰动，却会带来显著的计算开销与执行器机械磨损；低频控制虽能降低硬件损耗，却易造成控温精度下降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w:t>
      </w:r>
      <w:r>
        <w:t xml:space="preserve"> [7]。ETC </w:t>
      </w:r>
      <w:r>
        <w:rPr>
          <w:rFonts w:hint="eastAsia"/>
        </w:rPr>
        <w:t xml:space="preserve">基于按需决策理念，仅在系统状态发生显著偏离时激活控制更新</w:t>
      </w:r>
      <w:r>
        <w:t xml:space="preserve"> </w:t>
      </w:r>
      <w:r>
        <w:rPr>
          <w:rFonts w:hint="eastAsia"/>
        </w:rPr>
        <w:t xml:space="preserve">[8]。这种稀疏控制机制有效突破了时间步长的硬性约束，为平衡响应速度与控制代价提供了可行途径。基于这一优势，已有研究在深度强化学习中引入</w:t>
      </w:r>
      <w:r>
        <w:t xml:space="preserve"> ETC </w:t>
      </w:r>
      <w:r>
        <w:rPr>
          <w:rFonts w:hint="eastAsia"/>
        </w:rPr>
        <w:t xml:space="preserve">范式以进一步优化系统运行。这类方法在触发特定的预设事件时调整控制策略，有助于在热舒适度与能源消耗之间实现更好的平衡</w:t>
      </w:r>
      <w:r>
        <w:t xml:space="preserve"> </w:t>
      </w:r>
      <w:r>
        <w:rPr>
          <w:rFonts w:hint="eastAsia"/>
        </w:rPr>
        <w:t xml:space="preserve">[9]。然而，现有</w:t>
      </w:r>
      <w:r>
        <w:t xml:space="preserve"> ETC </w:t>
      </w:r>
      <w:r>
        <w:rPr>
          <w:rFonts w:hint="eastAsia"/>
        </w:rPr>
        <w:t xml:space="preserve">方案主要依赖基于专家经验的静态规则，例如设定固定的温度死区或负荷波动阈值</w:t>
      </w:r>
      <w:r>
        <w:t xml:space="preserve"> </w:t>
      </w:r>
      <w:r>
        <w:rPr>
          <w:rFonts w:hint="eastAsia"/>
        </w:rPr>
        <w:t xml:space="preserve">[10]。静态触发机制在面对高度非线性且时变的真实建筑环境时缺乏动态适应能力，难以适应不同建筑的热惯性差异以及设备老化后的性能漂移，极易导致频繁误触发或控制响应迟滞现象</w:t>
      </w:r>
      <w:r>
        <w:t xml:space="preserve"> [11]。</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rPr>
          <w:rFonts w:hint="eastAsia"/>
        </w:rPr>
        <w:t xml:space="preserve">考虑到上述问题，有必要引入一种可随系统运行状态调整触发边界的动态阈值更新策略，使触发边界由基于固定经验的预设规则转变为依据偏离信号演化过程的自适应判定。在</w:t>
      </w:r>
      <w:r>
        <w:t xml:space="preserve"> HVAC </w:t>
      </w:r>
      <w:r>
        <w:rPr>
          <w:rFonts w:hint="eastAsia"/>
        </w:rPr>
        <w:t xml:space="preserve">控制更新策略中，固定间隔更新策略以恒定节奏执行更新，无法区分扰动强弱时段；固定阈值更新策略虽可在偏离越限时触发响应，但其静态边界在面对时变工况时缺乏适应能力——阈值过松则平稳期冗余更新，过紧则扰动期响应迟滞。相比之下，动态阈值更新策略根据偏离趋势持续调整触发边界，在扰动增强时提升触发密度以保障响应性，在相对平稳时段降低触发频率以抑制冗余执行。这种自适应更新策略使得控制响应性与执行代价之间的平衡更加有效。</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BodyText"/>
      </w:pPr>
      <w:r>
        <w:drawing>
          <wp:inline>
            <wp:extent cx="5334000" cy="1738273"/>
            <wp:effectExtent b="0" l="0" r="0" t="0"/>
            <wp:docPr descr="" title="" id="11" name="Picture"/>
            <a:graphic>
              <a:graphicData uri="http://schemas.openxmlformats.org/drawingml/2006/picture">
                <pic:pic>
                  <pic:nvPicPr>
                    <pic:cNvPr descr="../pics/fig1_update_strategy_comparison.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r>
        <w:t xml:space="preserve"> </w:t>
      </w:r>
      <w:r>
        <w:rPr>
          <w:rFonts w:hint="eastAsia"/>
          <w:b/>
          <w:bCs/>
        </w:rPr>
        <w:t xml:space="preserve">图1</w:t>
      </w:r>
      <w:r>
        <w:t xml:space="preserve"> </w:t>
      </w:r>
      <w:r>
        <w:rPr>
          <w:rFonts w:hint="eastAsia"/>
        </w:rPr>
        <w:t xml:space="preserve">固定间隔更新策略、固定阈值更新策略与动态阈值更新策略对比。上排为室温偏差信号与不同触发阈值的关系；下排为触发时刻的分布。虚线标记表示触发时刻。</w:t>
      </w:r>
    </w:p>
    <w:p>
      <w:pPr>
        <w:pStyle w:val="BodyText"/>
      </w:pPr>
      <w:r>
        <w:rPr>
          <w:rFonts w:hint="eastAsia"/>
        </w:rPr>
        <w:t xml:space="preserve">基于上述动机，本文提出了一种基于无监督动态事件门控的事件触发预测强化学习控制框架（Event-Triggered</w:t>
      </w:r>
      <w:r>
        <w:t xml:space="preserve"> Predictive Reinforcement Learning with Unsupervised Dynamic Event Gating, </w:t>
      </w:r>
      <w:r>
        <w:rPr>
          <w:rFonts w:hint="eastAsia"/>
        </w:rPr>
        <w:t xml:space="preserve">ET-PRL），将时间序列预测、无监督动态事件门控与强化学习决策过程相结合。ET-PRL</w:t>
      </w:r>
      <w:r>
        <w:t xml:space="preserve"> </w:t>
      </w:r>
      <w:r>
        <w:rPr>
          <w:rFonts w:hint="eastAsia"/>
        </w:rPr>
        <w:t xml:space="preserve">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框架在关键干扰期间保持完全控制能力，同时在稳定期间抑制冗余更新。本文的主要贡献如下：</w:t>
      </w:r>
    </w:p>
    <w:p>
      <w:pPr>
        <w:pStyle w:val="BodyText"/>
      </w:pPr>
      <w:r>
        <w:t xml:space="preserve">Driven by the above motivations, this paper proposes a new HVAC control framework,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into a unified framework, the method preserves full control capability during major disturbances while reducing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深度耦合，有效补偿稀疏按需执行导致的信息缺失，并进一步增强策略的前瞻性决策能力。</w:t>
      </w:r>
    </w:p>
    <w:p>
      <w:pPr>
        <w:numPr>
          <w:ilvl w:val="0"/>
          <w:numId w:val="1001"/>
        </w:numPr>
      </w:pPr>
      <w:r>
        <w:rPr>
          <w:b/>
          <w:bCs/>
        </w:rPr>
        <w:t xml:space="preserve">We construct a time decoupled, event driven predictive control framework</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framework effectively compensates for information loss caused by sparse on demand execution and further improves the policy’s anticipatory decision making capability.</w:t>
      </w:r>
    </w:p>
    <w:p>
      <w:pPr>
        <w:numPr>
          <w:ilvl w:val="0"/>
          <w:numId w:val="1001"/>
        </w:numPr>
      </w:pPr>
      <w:r>
        <w:rPr>
          <w:rFonts w:hint="eastAsia"/>
          <w:b/>
          <w:bCs/>
        </w:rPr>
        <w:t xml:space="preserve">实现控制精度与执行代价的量化优化折衷</w:t>
      </w:r>
      <w:r>
        <w:rPr>
          <w:rFonts w:hint="eastAsia"/>
        </w:rPr>
        <w:t xml:space="preserve">：基于102天真实冷水机组运行数据，我们通过系统对比、消融与敏感性分析量化证明了所提方法在动作更新次数上降低53.54%、日均能耗由7491降至7332</w:t>
      </w:r>
      <w:r>
        <w:t xml:space="preserve"> </w:t>
      </w:r>
      <w:r>
        <w:rPr>
          <w:rFonts w:hint="eastAsia"/>
        </w:rPr>
        <w:t xml:space="preserve">kWh/day（节能2.13%），且在保持94.41%基线性能下表现稳定，说明该方法具备鲁棒性与工程可部署性。</w:t>
      </w:r>
    </w:p>
    <w:p>
      <w:pPr>
        <w:numPr>
          <w:ilvl w:val="0"/>
          <w:numId w:val="1001"/>
        </w:numPr>
      </w:pPr>
      <w:r>
        <w:rPr>
          <w:b/>
          <w:bCs/>
        </w:rPr>
        <w:t xml:space="preserve">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bookmarkEnd w:id="13"/>
    <w:bookmarkStart w:id="14" w:name="相关工作-related-work"/>
    <w:p>
      <w:pPr>
        <w:pStyle w:val="Heading1"/>
      </w:pPr>
      <w:r>
        <w:t xml:space="preserve">2. </w:t>
      </w:r>
      <w:r>
        <w:rPr>
          <w:rFonts w:hint="eastAsia"/>
        </w:rPr>
        <w:t xml:space="preserve">相关工作</w:t>
      </w:r>
      <w:r>
        <w:t xml:space="preserve"> / Related Work</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系统在能效优化与热舒适保障之间的协同控制长期面临工程挑战。为应对建筑能耗增长与运行稳定性要求，传统研究主要采用基于规则的控制（RBC）与比例</w:t>
      </w:r>
      <w:r>
        <w:t xml:space="preserve"> - </w:t>
      </w:r>
      <w:r>
        <w:rPr>
          <w:rFonts w:hint="eastAsia"/>
        </w:rPr>
        <w:t xml:space="preserve">积分</w:t>
      </w:r>
      <w:r>
        <w:t xml:space="preserve"> - </w:t>
      </w:r>
      <w:r>
        <w:rPr>
          <w:rFonts w:hint="eastAsia"/>
        </w:rPr>
        <w:t xml:space="preserve">微分（PID）等经典方法</w:t>
      </w:r>
      <w:r>
        <w:t xml:space="preserve"> </w:t>
      </w:r>
      <w:r>
        <w:rPr>
          <w:rFonts w:hint="eastAsia"/>
        </w:rPr>
        <w:t xml:space="preserve">[12]。其中，Choi</w:t>
      </w:r>
      <w:r>
        <w:t xml:space="preserve"> </w:t>
      </w:r>
      <w:r>
        <w:rPr>
          <w:rFonts w:hint="eastAsia"/>
        </w:rPr>
        <w:t xml:space="preserve">等</w:t>
      </w:r>
      <w:r>
        <w:t xml:space="preserve"> [13]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[14]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[15] </w:t>
      </w:r>
      <w:r>
        <w:rPr>
          <w:rFonts w:hint="eastAsia"/>
        </w:rPr>
        <w:t xml:space="preserve">进一步引入模糊控制思想，增强了传统控制器在特定工况下的适应能力。Tang</w:t>
      </w:r>
      <w:r>
        <w:t xml:space="preserve"> </w:t>
      </w:r>
      <w:r>
        <w:rPr>
          <w:rFonts w:hint="eastAsia"/>
        </w:rPr>
        <w:t xml:space="preserve">等</w:t>
      </w:r>
      <w:r>
        <w:t xml:space="preserve"> [16] </w:t>
      </w:r>
      <w:r>
        <w:rPr>
          <w:rFonts w:hint="eastAsia"/>
        </w:rPr>
        <w:t xml:space="preserve">提出了一种物理感知深度学习嵌入的模型预测控制（MPC）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智能控制的重要方向。其中，强化学习能够在不依赖精确物理模型的情况下，通过与建筑环境的试错交互学习运行状态与控制动作之间的优化映射，因而逐渐被用于建筑能耗管理、HVAC</w:t>
      </w:r>
      <w:r>
        <w:t xml:space="preserve"> </w:t>
      </w:r>
      <w:r>
        <w:rPr>
          <w:rFonts w:hint="eastAsia"/>
        </w:rPr>
        <w:t xml:space="preserve">控制与需求响应等任务</w:t>
      </w:r>
      <w:r>
        <w:t xml:space="preserve"> [18]。Savino </w:t>
      </w:r>
      <w:r>
        <w:rPr>
          <w:rFonts w:hint="eastAsia"/>
        </w:rPr>
        <w:t xml:space="preserve">等</w:t>
      </w:r>
      <w:r>
        <w:t xml:space="preserve"> [19] </w:t>
      </w:r>
      <w:r>
        <w:rPr>
          <w:rFonts w:hint="eastAsia"/>
        </w:rPr>
        <w:t xml:space="preserve">系统展示了深度强化学习在多区域底层控制中的应用潜力；Wang</w:t>
      </w:r>
      <w:r>
        <w:t xml:space="preserve"> </w:t>
      </w:r>
      <w:r>
        <w:rPr>
          <w:rFonts w:hint="eastAsia"/>
        </w:rPr>
        <w:t xml:space="preserve">与</w:t>
      </w:r>
      <w:r>
        <w:t xml:space="preserve"> Lin [20] </w:t>
      </w:r>
      <w:r>
        <w:rPr>
          <w:rFonts w:hint="eastAsia"/>
        </w:rPr>
        <w:t xml:space="preserve">以及</w:t>
      </w:r>
      <w:r>
        <w:t xml:space="preserve"> Zhuang </w:t>
      </w:r>
      <w:r>
        <w:rPr>
          <w:rFonts w:hint="eastAsia"/>
        </w:rPr>
        <w:t xml:space="preserve">等</w:t>
      </w:r>
      <w:r>
        <w:t xml:space="preserve"> [21] </w:t>
      </w:r>
      <w:r>
        <w:rPr>
          <w:rFonts w:hint="eastAsia"/>
        </w:rPr>
        <w:t xml:space="preserve">分别基于</w:t>
      </w:r>
      <w:r>
        <w:t xml:space="preserve"> DQN/DDPG </w:t>
      </w:r>
      <w:r>
        <w:rPr>
          <w:rFonts w:hint="eastAsia"/>
        </w:rPr>
        <w:t xml:space="preserve">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[22]。为此，Li</w:t>
      </w:r>
      <w:r>
        <w:t xml:space="preserve"> </w:t>
      </w:r>
      <w:r>
        <w:rPr>
          <w:rFonts w:hint="eastAsia"/>
        </w:rPr>
        <w:t xml:space="preserve">等</w:t>
      </w:r>
      <w:r>
        <w:t xml:space="preserve"> [23] </w:t>
      </w:r>
      <w:r>
        <w:rPr>
          <w:rFonts w:hint="eastAsia"/>
        </w:rPr>
        <w:t xml:space="preserve">将</w:t>
      </w:r>
      <w:r>
        <w:t xml:space="preserve"> LSTM </w:t>
      </w:r>
      <w:r>
        <w:rPr>
          <w:rFonts w:hint="eastAsia"/>
        </w:rPr>
        <w:t xml:space="preserve">等时序模型融入决策过程，通过引入前瞻预测信息增强了策略对环境演化的感知能力，并在一定程度上改善了控制平稳性；He</w:t>
      </w:r>
      <w:r>
        <w:t xml:space="preserve"> </w:t>
      </w:r>
      <w:r>
        <w:rPr>
          <w:rFonts w:hint="eastAsia"/>
        </w:rPr>
        <w:t xml:space="preserve">等</w:t>
      </w:r>
      <w:r>
        <w:t xml:space="preserve"> [24] </w:t>
      </w:r>
      <w:r>
        <w:rPr>
          <w:rFonts w:hint="eastAsia"/>
        </w:rPr>
        <w:t xml:space="preserve">进一步面向冷机群优化，将</w:t>
      </w:r>
      <w:r>
        <w:t xml:space="preserve"> LSTM </w:t>
      </w:r>
      <w:r>
        <w:rPr>
          <w:rFonts w:hint="eastAsia"/>
        </w:rPr>
        <w:t xml:space="preserve">负荷预测与</w:t>
      </w:r>
      <w:r>
        <w:t xml:space="preserve"> DQN </w:t>
      </w:r>
      <w:r>
        <w:rPr>
          <w:rFonts w:hint="eastAsia"/>
        </w:rPr>
        <w:t xml:space="preserve">控制相结合，构建了无模型的预测型强化学习框架，表明引入预测信息能够在保持强化学习自适应性的同时提升控制前瞻性。需要指出的是，现有</w:t>
      </w:r>
      <w:r>
        <w:t xml:space="preserve"> RL </w:t>
      </w:r>
      <w:r>
        <w:rPr>
          <w:rFonts w:hint="eastAsia"/>
        </w:rPr>
        <w:t xml:space="preserve">及预测型</w:t>
      </w:r>
      <w:r>
        <w:t xml:space="preserve"> RL </w:t>
      </w:r>
      <w:r>
        <w:rPr>
          <w:rFonts w:hint="eastAsia"/>
        </w:rPr>
        <w:t xml:space="preserve">方法在执行层面仍普遍遵循固定时间步长控制（TTC）范式，即按预设周期进行状态采样与动作更新，难以根据负荷扰动强弱自适应调整决策频率，因而存在冗余计算、执行机构磨损之间的固有矛盾</w:t>
      </w:r>
      <w:r>
        <w:t xml:space="preserve"> [25]。</w:t>
      </w:r>
    </w:p>
    <w:p>
      <w:pPr>
        <w:pStyle w:val="BodyText"/>
      </w:pPr>
      <w:r>
        <w:t xml:space="preserve">To overcome the modeling and adaptability limits of traditional control, data-driven methods have become an important direction for intelligent HVAC control. Among them, reinforcement learning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LSTM into the decision process, improving awareness of system evolution and partially improving control stability; He et al. [24] further developed a model-free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[26] </w:t>
      </w:r>
      <w:r>
        <w:rPr>
          <w:rFonts w:hint="eastAsia"/>
        </w:rPr>
        <w:t xml:space="preserve">与</w:t>
      </w:r>
      <w:r>
        <w:t xml:space="preserve"> Xue </w:t>
      </w:r>
      <w:r>
        <w:rPr>
          <w:rFonts w:hint="eastAsia"/>
        </w:rPr>
        <w:t xml:space="preserve">等</w:t>
      </w:r>
      <w:r>
        <w:t xml:space="preserve"> [27] </w:t>
      </w:r>
      <w:r>
        <w:rPr>
          <w:rFonts w:hint="eastAsia"/>
        </w:rPr>
        <w:t xml:space="preserve">的研究表明，事件驱动控制（ETC）通过按需更新机制，能够在状态越限或事件发生时才触发控制与通信，从而有效减少时间触发控制中的无效更新。进一步地，Fu</w:t>
      </w:r>
      <w:r>
        <w:t xml:space="preserve"> </w:t>
      </w:r>
      <w:r>
        <w:rPr>
          <w:rFonts w:hint="eastAsia"/>
        </w:rPr>
        <w:t xml:space="preserve">等</w:t>
      </w:r>
      <w:r>
        <w:t xml:space="preserve"> [9] </w:t>
      </w:r>
      <w:r>
        <w:rPr>
          <w:rFonts w:hint="eastAsia"/>
        </w:rPr>
        <w:t xml:space="preserve">提出了事件驱动深度强化学习控制方法</w:t>
      </w:r>
      <w:r>
        <w:t xml:space="preserve"> </w:t>
      </w:r>
      <w:r>
        <w:rPr>
          <w:rFonts w:hint="eastAsia"/>
        </w:rPr>
        <w:t xml:space="preserve">ED-DQN，将事件触发机制引入多区域住宅建筑</w:t>
      </w:r>
      <w:r>
        <w:t xml:space="preserve"> HVAC </w:t>
      </w:r>
      <w:r>
        <w:rPr>
          <w:rFonts w:hint="eastAsia"/>
        </w:rPr>
        <w:t xml:space="preserve">控制，使智能体仅在预设事件发生时更新控制动作，从而减少固定步长控制下的冗余决策。Liu</w:t>
      </w:r>
      <w:r>
        <w:t xml:space="preserve"> </w:t>
      </w:r>
      <w:r>
        <w:rPr>
          <w:rFonts w:hint="eastAsia"/>
        </w:rPr>
        <w:t xml:space="preserve">等</w:t>
      </w:r>
      <w:r>
        <w:t xml:space="preserve"> [28]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事件触发过程重构为在线无监督异常检测问题，并提出耦合动态门控与预测型强化学习的按需控制框架（ET-PRL）。与依赖静态规则的传统方法及现有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漂移的适应性。与固定步长强化学习不同，该框架进一步以事件驱动方式解耦决策时序，在削减冗余推理与设备磨损的同时，利用预测特征弥补稀疏控制带来的状态信息缺失，最终在真实建筑非平稳工况中实现控制性能与执行代价的有效折衷。</w:t>
      </w:r>
    </w:p>
    <w:p>
      <w:pPr>
        <w:pStyle w:val="BodyText"/>
      </w:pPr>
      <w:r>
        <w:t xml:space="preserve">Building on these studies, this paper reformulates HVAC event triggering as an online unsupervised anomaly detection problem and proposes ET-PRL, an on-demand framework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framework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4"/>
    <w:bookmarkStart w:id="18" w:name="方法-methodology"/>
    <w:p>
      <w:pPr>
        <w:pStyle w:val="Heading1"/>
      </w:pPr>
      <w:r>
        <w:t xml:space="preserve">3. </w:t>
      </w:r>
      <w:r>
        <w:rPr>
          <w:rFonts w:hint="eastAsia"/>
        </w:rPr>
        <w:t xml:space="preserve">方法</w:t>
      </w:r>
      <w:r>
        <w:t xml:space="preserve"> / Methodology</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this paper proposes ET-PRL, an on-demand control framework that couples streaming anomaly gating with DRL.</w:t>
      </w:r>
    </w:p>
    <w:p>
      <w:pPr>
        <w:pStyle w:val="BlockText"/>
      </w:pPr>
      <w:r>
        <w:rPr>
          <w:rFonts w:hint="eastAsia"/>
          <w:b/>
          <w:bCs/>
        </w:rPr>
        <w:t xml:space="preserve">图2</w:t>
      </w:r>
      <w:r>
        <w:rPr>
          <w:b/>
          <w:bCs/>
        </w:rPr>
        <w:t xml:space="preserve"> </w:t>
      </w:r>
      <w:r>
        <w:rPr>
          <w:rFonts w:hint="eastAsia"/>
          <w:b/>
          <w:bCs/>
        </w:rPr>
        <w:t xml:space="preserve">占位：ET-PRL</w:t>
      </w:r>
      <w:r>
        <w:rPr>
          <w:b/>
          <w:bCs/>
        </w:rPr>
        <w:t xml:space="preserve"> </w:t>
      </w:r>
      <w:r>
        <w:rPr>
          <w:rFonts w:hint="eastAsia"/>
          <w:b/>
          <w:bCs/>
        </w:rPr>
        <w:t xml:space="preserve">总体框架图</w:t>
      </w:r>
      <w:r>
        <w:t xml:space="preserve"> </w:t>
      </w:r>
      <w:r>
        <w:rPr>
          <w:b/>
          <w:bCs/>
        </w:rPr>
        <w:t xml:space="preserve">Figure 2 placeholder: Overall ET-PRL framework</w:t>
      </w:r>
    </w:p>
    <w:p>
      <w:pPr>
        <w:pStyle w:val="BlockText"/>
      </w:pPr>
      <w:r>
        <w:rPr>
          <w:rFonts w:hint="eastAsia"/>
        </w:rPr>
        <w:t xml:space="preserve">对图</w:t>
      </w:r>
      <w:r>
        <w:t xml:space="preserve"> 2 </w:t>
      </w:r>
      <w:r>
        <w:rPr>
          <w:rFonts w:hint="eastAsia"/>
        </w:rPr>
        <w:t xml:space="preserve">中内容的描述</w:t>
      </w:r>
    </w:p>
    <w:bookmarkStart w:id="15" w:name="X53cee1d894eb5d0f229a148fb5f809fc4989c5b"/>
    <w:p>
      <w:pPr>
        <w:pStyle w:val="Heading2"/>
      </w:pPr>
      <w:r>
        <w:t xml:space="preserve">3.1 </w:t>
      </w:r>
      <w:r>
        <w:rPr>
          <w:rFonts w:hint="eastAsia"/>
        </w:rPr>
        <w:t xml:space="preserve">基于流式特征追踪的动态事件触发机制设计</w:t>
      </w:r>
      <w:r>
        <w:t xml:space="preserve"> / Dynamic Event Triggering Design Based on Streaming Feature Tracking</w:t>
      </w:r>
    </w:p>
    <w:p>
      <w:pPr>
        <w:pStyle w:val="FirstParagraph"/>
      </w:pPr>
      <w:r>
        <w:rPr>
          <w:rFonts w:hint="eastAsia"/>
        </w:rPr>
        <w:t xml:space="preserve">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 xml:space="preserve">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pPr>
        <w:pStyle w:val="BodyText"/>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rPr>
          <w:rFonts w:hint="eastAsia"/>
        </w:rPr>
        <w:t xml:space="preserve">设系统状态特征向量为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为指示函数，条件成立时取</w:t>
      </w:r>
      <w:r>
        <w:t xml:space="preserve"> </w:t>
      </w:r>
      <w:r>
        <w:rPr>
          <w:rFonts w:hint="eastAsia"/>
        </w:rPr>
        <w:t xml:space="preserve">1，否则取</w:t>
      </w:r>
      <w:r>
        <w:t xml:space="preserve"> </w:t>
      </w:r>
      <w:r>
        <w:rPr>
          <w:rFonts w:hint="eastAsia"/>
        </w:rPr>
        <w:t xml:space="preserve">0；</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为判别阈值。上述定义表明，事件识别本质上是对是否偏离常态区域的二值判定；当状态进入高偏离区域时触发控制动作更新，否则维持当前控制动作。</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rPr>
          <w:rFonts w:hint="eastAsia"/>
        </w:rPr>
        <w:t xml:space="preserve">为将偏离度检验转化为可流式更新的标量判据，本文采用异常分数函数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作为分布偏离度量</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w:t>
      </w:r>
      <w:r>
        <w:rPr>
          <w:rFonts w:hint="eastAsia"/>
        </w:rPr>
        <w:t xml:space="preserve">的标量化代理，并将集合判别转化为可计算的阈值比较：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为触发阈值，对应于公式</w:t>
      </w:r>
      <w:r>
        <w:t xml:space="preserve"> (1) </w:t>
      </w:r>
      <w:r>
        <w:rPr>
          <w:rFonts w:hint="eastAsia"/>
        </w:rPr>
        <w:t xml:space="preserve">中判别阈值</w:t>
      </w:r>
      <w:r>
        <w:t xml:space="preserve"> </w:t>
      </w:r>
      <m:oMath>
        <m:sSub>
          <m:e>
            <m:r>
              <m:t>δ</m:t>
            </m:r>
          </m:e>
          <m:sub>
            <m:r>
              <m:t>t</m:t>
            </m:r>
          </m:sub>
        </m:sSub>
      </m:oMath>
      <w:r>
        <w:t xml:space="preserve"> </w:t>
      </w:r>
      <w:r>
        <w:rPr>
          <w:rFonts w:hint="eastAsia"/>
        </w:rPr>
        <w:t xml:space="preserve">在异常分数空间中的可计算形式。该形式具有两点优势：其一，可与流式统计量直接耦合，支持逐时间步在线更新；其二，便于与后续门控逻辑统一，实现由异常评分到触发决策的一体化建模与实现。</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表示由历史异常分数驱动的阈值更新算子。该设计旨在平衡灵敏性与稳定性：在扰动增强时提升事件检出率，在平稳区间抑制冗余触发，从而降低误触发与漏触发风险。</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BodyText"/>
      </w:pPr>
      <w:r>
        <w:rPr>
          <w:rFonts w:hint="eastAsia"/>
        </w:rPr>
        <w:t xml:space="preserve">（1）系统状态特征定义</w:t>
      </w:r>
    </w:p>
    <w:p>
      <w:pPr>
        <w:pStyle w:val="BodyText"/>
      </w:pPr>
      <w:r>
        <w:rPr>
          <w:rFonts w:hint="eastAsia"/>
        </w:rPr>
        <w:t xml:space="preserve">（1）Definition</w:t>
      </w:r>
      <w:r>
        <w:t xml:space="preserve"> of System State Features</w:t>
      </w:r>
    </w:p>
    <w:p>
      <w:pPr>
        <w:pStyle w:val="BodyText"/>
      </w:pPr>
      <w:r>
        <w:rPr>
          <w:rFonts w:hint="eastAsia"/>
        </w:rPr>
        <w:t xml:space="preserve">事件门控模块与强化学习控制器共享同一状态特征输入。本文将该输入定义为紧凑的三维特征向量：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the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BodyText"/>
      </w:pPr>
      <w:r>
        <w:rPr>
          <w:rFonts w:hint="eastAsia"/>
        </w:rPr>
        <w:t xml:space="preserve">（2）流式隔离深度与多尺度异常追踪</w:t>
      </w:r>
    </w:p>
    <w:p>
      <w:pPr>
        <w:pStyle w:val="BodyText"/>
      </w:pPr>
      <w:r>
        <w:rPr>
          <w:rFonts w:hint="eastAsia"/>
        </w:rPr>
        <w:t xml:space="preserve">（2）Streaming</w:t>
      </w:r>
      <w:r>
        <w:t xml:space="preserve"> Isolation Depth and Multi-Scale Anomaly Tracking</w:t>
      </w:r>
    </w:p>
    <w:p>
      <w:pPr>
        <w:pStyle w:val="BodyText"/>
      </w:pPr>
      <w:r>
        <w:rPr>
          <w:rFonts w:hint="eastAsia"/>
        </w:rPr>
        <w:t xml:space="preserve">传统离线异常检测通常依赖静态样本库，在季节性工况漂移场景下稳定性受限。为此，本文采用流式隔离深度机制，对在线到达的系统状态特征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rPr>
          <w:rFonts w:hint="eastAsia"/>
        </w:rPr>
        <w:t xml:space="preserve">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rPr>
          <w:rFonts w:hint="eastAsia"/>
        </w:rPr>
        <w:t xml:space="preserve">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rPr>
          <w:rFonts w:hint="eastAsia"/>
        </w:rPr>
        <w:t xml:space="preserve">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BodyText"/>
      </w:pPr>
      <w:r>
        <w:rPr>
          <w:rFonts w:hint="eastAsia"/>
        </w:rPr>
        <w:t xml:space="preserve">（3）流式双层自适应阈值优化</w:t>
      </w:r>
    </w:p>
    <w:p>
      <w:pPr>
        <w:pStyle w:val="BodyText"/>
      </w:pPr>
      <w:r>
        <w:rPr>
          <w:rFonts w:hint="eastAsia"/>
        </w:rPr>
        <w:t xml:space="preserve">（3）Streaming</w:t>
      </w:r>
      <w:r>
        <w:t xml:space="preserve"> Two-Layer Adaptive Threshold Optimization</w:t>
      </w:r>
    </w:p>
    <w:p>
      <w:pPr>
        <w:pStyle w:val="BodyText"/>
      </w:pPr>
      <w:r>
        <w:rPr>
          <w:rFonts w:hint="eastAsia"/>
        </w:rPr>
        <w:t xml:space="preserve">式</w:t>
      </w:r>
      <w:r>
        <w:t xml:space="preserve"> (8) </w:t>
      </w:r>
      <w:r>
        <w:rPr>
          <w:rFonts w:hint="eastAsia"/>
        </w:rPr>
        <w:t xml:space="preserve">给出了多尺度融合异常分数</w:t>
      </w:r>
      <w:r>
        <w:t xml:space="preserve"> </w:t>
      </w:r>
      <m:oMath>
        <m:r>
          <m:t>A</m:t>
        </m:r>
        <m:r>
          <m:rPr>
            <m:sty m:val="p"/>
          </m:rPr>
          <m:t>(</m:t>
        </m:r>
        <m:sSub>
          <m:e>
            <m:r>
              <m:t>s</m:t>
            </m:r>
          </m:e>
          <m:sub>
            <m:r>
              <m:t>t</m:t>
            </m:r>
          </m:sub>
        </m:sSub>
        <m:r>
          <m:rPr>
            <m:sty m:val="p"/>
          </m:rPr>
          <m:t>)</m:t>
        </m:r>
      </m:oMath>
      <w:r>
        <w:rPr>
          <w:rFonts w:hint="eastAsia"/>
        </w:rPr>
        <w:t xml:space="preserve">，但触发决策还需将其与阈值</w:t>
      </w:r>
      <w:r>
        <w:t xml:space="preserve"> </w:t>
      </w:r>
      <m:oMath>
        <m:sSub>
          <m:e>
            <m:r>
              <m:t>τ</m:t>
            </m:r>
          </m:e>
          <m:sub>
            <m:r>
              <m:t>t</m:t>
            </m:r>
          </m:sub>
        </m:sSub>
      </m:oMath>
      <w:r>
        <w:t xml:space="preserve"> </w:t>
      </w:r>
      <w:r>
        <w:rPr>
          <w:rFonts w:hint="eastAsia"/>
        </w:rPr>
        <w:t xml:space="preserve">进行比较，即式</w:t>
      </w:r>
      <w:r>
        <w:t xml:space="preserve"> (2) </w:t>
      </w:r>
      <w:r>
        <w:rPr>
          <w:rFonts w:hint="eastAsia"/>
        </w:rPr>
        <w:t xml:space="preserve">的判别条件。若采用固定阈值，在</w:t>
      </w:r>
      <w:r>
        <w:t xml:space="preserve"> HVAC </w:t>
      </w:r>
      <w:r>
        <w:rPr>
          <w:rFonts w:hint="eastAsia"/>
        </w:rPr>
        <w:t xml:space="preserve">长周期非平稳运行中易出现灵敏性不足或过触发问题；若仅依赖单一自适应统计量，则难以同时兼顾短期扰动的快速响应与长期漂移的平滑跟踪。为此，本文构造局部-全局双层自适应阈值，通过快慢双时间尺度的协同更新实现自适应触发判定。具体而言，首先在滑动窗口内基于上分位数与绝对中位差分别估计异常分数经验分布的上尾边界，并加权融合为候选阈值；随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pPr>
        <w:pStyle w:val="BodyText"/>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rPr>
          <w:rFonts w:hint="eastAsia"/>
        </w:rPr>
        <w:t xml:space="preserve">为降低异常样本对位置统计量和尺度统计量的影响，本文采用两类鲁棒统计量构造候选阈值：基于上分位数的阈值</w:t>
      </w:r>
      <w:r>
        <w:t xml:space="preserve"> </w:t>
      </w:r>
      <m:oMath>
        <m:sSubSup>
          <m:e>
            <m:r>
              <m:t>τ</m:t>
            </m:r>
          </m:e>
          <m:sub>
            <m:r>
              <m:t>q</m:t>
            </m:r>
          </m:sub>
          <m:sup>
            <m:r>
              <m:rPr>
                <m:sty m:val="p"/>
              </m:rPr>
              <m:t>(</m:t>
            </m:r>
            <m:r>
              <m:t>t</m:t>
            </m:r>
            <m:r>
              <m:rPr>
                <m:sty m:val="p"/>
              </m:rPr>
              <m:t>)</m:t>
            </m:r>
          </m:sup>
        </m:sSubSup>
      </m:oMath>
      <w:r>
        <w:t xml:space="preserve"> </w:t>
      </w:r>
      <w:r>
        <w:rPr>
          <w:rFonts w:hint="eastAsia"/>
        </w:rPr>
        <w:t xml:space="preserve">与基于绝对中位差（MAD）的阈值</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rPr>
          <w:rFonts w:hint="eastAsia"/>
        </w:rPr>
        <w:t xml:space="preserve">。前者表征异常分数经验分布的上尾位置，后者刻画围绕中位数的稳健离散度，二者定义如下：</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rPr>
          <w:rFonts w:hint="eastAsia"/>
        </w:rPr>
        <w:t xml:space="preserve">其中，</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rPr>
          <w:rFonts w:hint="eastAsia"/>
        </w:rPr>
        <w:t xml:space="preserve">表示长度为</w:t>
      </w:r>
      <w:r>
        <w:t xml:space="preserve"> </w:t>
      </w:r>
      <m:oMath>
        <m:r>
          <m:t>W</m:t>
        </m:r>
      </m:oMath>
      <w:r>
        <w:t xml:space="preserve"> </w:t>
      </w:r>
      <w:r>
        <w:rPr>
          <w:rFonts w:hint="eastAsia"/>
        </w:rPr>
        <w:t xml:space="preserve">的异常分数滑动窗口，</w:t>
      </w:r>
      <m:oMath>
        <m:r>
          <m:t>W</m:t>
        </m:r>
      </m:oMath>
      <w:r>
        <w:t xml:space="preserve"> </w:t>
      </w:r>
      <w:r>
        <w:rPr>
          <w:rFonts w:hint="eastAsia"/>
        </w:rPr>
        <w:t xml:space="preserve">为窗口长度；</w:t>
      </w:r>
      <m:oMath>
        <m:sSub>
          <m:e>
            <m:r>
              <m:t>Q</m:t>
            </m:r>
          </m:e>
          <m:sub>
            <m:r>
              <m:t>q</m:t>
            </m:r>
          </m:sub>
        </m:sSub>
        <m:r>
          <m:rPr>
            <m:sty m:val="p"/>
          </m:rPr>
          <m:t>(</m:t>
        </m:r>
        <m:r>
          <m:rPr>
            <m:sty m:val="p"/>
          </m:rPr>
          <m:t>⋅</m:t>
        </m:r>
        <m:r>
          <m:rPr>
            <m:sty m:val="p"/>
          </m:rPr>
          <m:t>)</m:t>
        </m:r>
      </m:oMath>
      <w:r>
        <w:t xml:space="preserve"> </w:t>
      </w:r>
      <w:r>
        <w:rPr>
          <w:rFonts w:hint="eastAsia"/>
        </w:rPr>
        <w:t xml:space="preserve">表示分位点为</w:t>
      </w:r>
      <w:r>
        <w:t xml:space="preserve"> </w:t>
      </w:r>
      <m:oMath>
        <m:r>
          <m:t>q</m:t>
        </m:r>
      </m:oMath>
      <w:r>
        <w:t xml:space="preserve"> </w:t>
      </w:r>
      <w:r>
        <w:rPr>
          <w:rFonts w:hint="eastAsia"/>
        </w:rPr>
        <w:t xml:space="preserve">的经验分位数，且</w:t>
      </w:r>
      <w:r>
        <w:t xml:space="preserve"> </w:t>
      </w:r>
      <m:oMath>
        <m:r>
          <m:t>q</m:t>
        </m:r>
        <m:r>
          <m:rPr>
            <m:sty m:val="p"/>
          </m:rPr>
          <m:t>∈</m:t>
        </m:r>
        <m:r>
          <m:rPr>
            <m:sty m:val="p"/>
          </m:rPr>
          <m:t>(</m:t>
        </m:r>
        <m:r>
          <m:t>0.5</m:t>
        </m:r>
        <m:r>
          <m:rPr>
            <m:sty m:val="p"/>
          </m:rPr>
          <m:t>,</m:t>
        </m:r>
        <m:r>
          <m:t>1</m:t>
        </m:r>
        <m:r>
          <m:rPr>
            <m:sty m:val="p"/>
          </m:rPr>
          <m:t>)</m:t>
        </m:r>
      </m:oMath>
      <w:r>
        <w:rPr>
          <w:rFonts w:hint="eastAsia"/>
        </w:rPr>
        <w:t xml:space="preserve">；</w:t>
      </w:r>
      <m:oMath>
        <m:r>
          <m:rPr>
            <m:sty m:val="p"/>
          </m:rPr>
          <m:t>med</m:t>
        </m:r>
        <m:r>
          <m:rPr>
            <m:sty m:val="p"/>
          </m:rPr>
          <m:t>(</m:t>
        </m:r>
        <m:r>
          <m:rPr>
            <m:sty m:val="p"/>
          </m:rPr>
          <m:t>⋅</m:t>
        </m:r>
        <m:r>
          <m:rPr>
            <m:sty m:val="p"/>
          </m:rPr>
          <m:t>)</m:t>
        </m:r>
      </m:oMath>
      <w:r>
        <w:t xml:space="preserve"> </w:t>
      </w:r>
      <w:r>
        <w:rPr>
          <w:rFonts w:hint="eastAsia"/>
        </w:rPr>
        <w:t xml:space="preserve">为中位数函数；</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为高斯分布下的正常一致性校正常数。</w:t>
      </w:r>
      <m:oMath>
        <m:sSubSup>
          <m:e>
            <m:r>
              <m:t>τ</m:t>
            </m:r>
          </m:e>
          <m:sub>
            <m:r>
              <m:t>q</m:t>
            </m:r>
          </m:sub>
          <m:sup>
            <m:r>
              <m:rPr>
                <m:sty m:val="p"/>
              </m:rPr>
              <m:t>(</m:t>
            </m:r>
            <m:r>
              <m:t>t</m:t>
            </m:r>
            <m:r>
              <m:rPr>
                <m:sty m:val="p"/>
              </m:rPr>
              <m:t>)</m:t>
            </m:r>
          </m:sup>
        </m:sSubSup>
      </m:oMath>
      <w:r>
        <w:t xml:space="preserve"> </w:t>
      </w:r>
      <w:r>
        <w:rPr>
          <w:rFonts w:hint="eastAsia"/>
        </w:rPr>
        <w:t xml:space="preserve">主要表征异常分数经验分布的上尾位置，而</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rPr>
          <w:rFonts w:hint="eastAsia"/>
        </w:rPr>
        <w:t xml:space="preserve">则根据窗口内分数的稳健离散程度对该边界进行修正。</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rPr>
          <w:rFonts w:hint="eastAsia"/>
        </w:rPr>
        <w:t xml:space="preserve">在此基础上，本文构造局部候选阈值，用于给出历史窗口下的触发阈值估计：</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为融合权重。</w:t>
      </w:r>
      <m:oMath>
        <m:sSub>
          <m:e>
            <m:r>
              <m:t>ω</m:t>
            </m:r>
          </m:e>
          <m:sub>
            <m:r>
              <m:t>q</m:t>
            </m:r>
          </m:sub>
        </m:sSub>
      </m:oMath>
      <w:r>
        <w:t xml:space="preserve"> </w:t>
      </w:r>
      <w:r>
        <w:rPr>
          <w:rFonts w:hint="eastAsia"/>
        </w:rPr>
        <w:t xml:space="preserve">较大时，候选阈值更接近上尾分位边界，因此更依赖当前异常分数是否超过历史窗口中的高分位水平；</w:t>
      </w:r>
      <m:oMath>
        <m:sSub>
          <m:e>
            <m:r>
              <m:t>ω</m:t>
            </m:r>
          </m:e>
          <m:sub>
            <m:r>
              <m:t>q</m:t>
            </m:r>
          </m:sub>
        </m:sSub>
      </m:oMath>
      <w:r>
        <w:t xml:space="preserve"> </w:t>
      </w:r>
      <w:r>
        <w:rPr>
          <w:rFonts w:hint="eastAsia"/>
        </w:rPr>
        <w:t xml:space="preserve">较小时，候选阈值更强调</w:t>
      </w:r>
      <w:r>
        <w:t xml:space="preserve"> MAD </w:t>
      </w:r>
      <w:r>
        <w:rPr>
          <w:rFonts w:hint="eastAsia"/>
        </w:rPr>
        <w:t xml:space="preserve">所反映的稳健波动尺度，因此对分数分布的扩张或收缩更为敏感。</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rPr>
          <w:rFonts w:hint="eastAsia"/>
        </w:rPr>
        <w:t xml:space="preserve">由于</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rPr>
          <w:rFonts w:hint="eastAsia"/>
        </w:rPr>
        <w:t xml:space="preserve">仍可能受到单时刻尖峰扰动的影响，本文进一步对其进行快时间尺度上的指数平滑，得到局部阈值：</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为局部更新率，</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oMath>
      <w:r>
        <w:t xml:space="preserve"> </w:t>
      </w:r>
      <w:r>
        <w:rPr>
          <w:rFonts w:hint="eastAsia"/>
        </w:rPr>
        <w:t xml:space="preserve">取首个完整滑动窗口上得到的候选阈值。该步骤通过一阶平滑在阈值响应性与抗抖动性之间取得折衷。</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较大时，局部阈值更快跟随近期工况切换；</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较小时，局部阈值对短时脉冲噪声更不敏感。</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rPr>
          <w:rFonts w:hint="eastAsia"/>
        </w:rPr>
        <w:t xml:space="preserve">若系统因季节变化、设备老化或运行边界迁移而发生缓慢漂移，局部阈值可能被长期变化逐步牵引，从而削弱对持续分布偏移的识别能力。因此，本文进一步在更慢时间尺度上构造全局阈值，作为长期基线参考：</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其中，</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rPr>
          <w:rFonts w:hint="eastAsia"/>
        </w:rPr>
        <w:t xml:space="preserve">（</w:t>
      </w:r>
      <m:oMath>
        <m:sSub>
          <m:e>
            <m:r>
              <m:t>t</m:t>
            </m:r>
          </m:e>
          <m:sub>
            <m:r>
              <m:t>0</m:t>
            </m:r>
          </m:sub>
        </m:sSub>
      </m:oMath>
      <w:r>
        <w:t xml:space="preserve"> </w:t>
      </w:r>
      <w:r>
        <w:rPr>
          <w:rFonts w:hint="eastAsia"/>
        </w:rPr>
        <w:t xml:space="preserve">为首个完整滑动窗口可用时的时间步），且</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，以保证全局阈值具有更强的平滑性与迟滞性。</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rPr>
          <w:rFonts w:hint="eastAsia"/>
        </w:rPr>
        <w:t xml:space="preserve">最终，流式双层自适应阈值由局部阈值与全局阈值融合得到：</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控制短期信息与长期信息的融合比例：当其增大时，最终阈值更偏向近期工况，响应更灵敏；当其减小时，最终阈值更偏向长期基线，判定更稳定。</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rPr>
          <w:rFonts w:hint="eastAsia"/>
        </w:rPr>
        <w:t xml:space="preserve">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5"/>
    <w:bookmarkStart w:id="16" w:name="X814d24bd9ffe6807b0228de402160123fcf70b2"/>
    <w:p>
      <w:pPr>
        <w:pStyle w:val="Heading2"/>
      </w:pPr>
      <w:r>
        <w:t xml:space="preserve">3.2 </w:t>
      </w:r>
      <w:r>
        <w:rPr>
          <w:rFonts w:hint="eastAsia"/>
        </w:rPr>
        <w:t xml:space="preserve">在线流式事件门控模块构建</w:t>
      </w:r>
      <w:r>
        <w:t xml:space="preserve"> / Online Streaming Event Gating Module Construction</w:t>
      </w:r>
    </w:p>
    <w:p>
      <w:pPr>
        <w:pStyle w:val="FirstParagraph"/>
      </w:pPr>
      <w:r>
        <w:rPr>
          <w:rFonts w:hint="eastAsia"/>
        </w:rPr>
        <w:t xml:space="preserve">在获得基础自适应门控阈值</w:t>
      </w:r>
      <w:r>
        <w:t xml:space="preserve"> </w:t>
      </w:r>
      <m:oMath>
        <m:sSub>
          <m:e>
            <m:acc>
              <m:accPr>
                <m:chr m:val="̃"/>
              </m:accPr>
              <m:e>
                <m:r>
                  <m:t>τ</m:t>
                </m:r>
              </m:e>
            </m:acc>
          </m:e>
          <m:sub>
            <m:r>
              <m:t>t</m:t>
            </m:r>
          </m:sub>
        </m:sSub>
      </m:oMath>
      <w:r>
        <w:t xml:space="preserve"> </w:t>
      </w:r>
      <w:r>
        <w:rPr>
          <w:rFonts w:hint="eastAsia"/>
        </w:rPr>
        <w:t xml:space="preserve">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与自适应阈值实现对当前状态偏离程度的阈值判定，后者通过最小触发间隔约束显式控制动作更新频率，避免短时高频波动引发连续触发，进而导致执行器过度切换。</w:t>
      </w:r>
    </w:p>
    <w:p>
      <w:pPr>
        <w:pStyle w:val="BodyText"/>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rPr>
          <w:rFonts w:hint="eastAsia"/>
        </w:rPr>
        <w:t xml:space="preserve">在每个控制时刻，门控模块接收当前系统状态特征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并执行二值触发判定：</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sSub>
          <m:e>
            <m:acc>
              <m:accPr>
                <m:chr m:val="̃"/>
              </m:accPr>
              <m:e>
                <m:r>
                  <m:t>τ</m:t>
                </m:r>
              </m:e>
            </m:acc>
          </m:e>
          <m:sub>
            <m:r>
              <m:t>t</m:t>
            </m:r>
          </m:sub>
        </m:sSub>
      </m:oMath>
      <w:r>
        <w:t xml:space="preserve"> </w:t>
      </w:r>
      <w:r>
        <w:rPr>
          <w:rFonts w:hint="eastAsia"/>
        </w:rPr>
        <w:t xml:space="preserve">为式</w:t>
      </w:r>
      <w:r>
        <w:t xml:space="preserve"> (14) </w:t>
      </w:r>
      <w:r>
        <w:rPr>
          <w:rFonts w:hint="eastAsia"/>
        </w:rPr>
        <w:t xml:space="preserve">给出的流式双层自适应阈值；</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为滞回裕度，用于防止阈值边界附近的触发信号反复翻转；</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记录系统上一次触发控制动作更新的时间步；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表示当前时刻触发控制动作的重新生成，</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表示维持上一时刻的控制指令。</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rPr>
          <w:rFonts w:hint="eastAsia"/>
        </w:rPr>
        <w:t xml:space="preserve">无论</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w:t>
      </w:r>
      <w:r>
        <w:rPr>
          <w:rFonts w:hint="eastAsia"/>
        </w:rPr>
        <w:t xml:space="preserve">取值如何，门控模块均在每个时间步执行异常分数窗口维护与双层阈值递推更新。具体而言，在执行式</w:t>
      </w:r>
      <w:r>
        <w:t xml:space="preserve"> (15) </w:t>
      </w:r>
      <w:r>
        <w:rPr>
          <w:rFonts w:hint="eastAsia"/>
        </w:rPr>
        <w:t xml:space="preserve">的触发判定后，将当前异常分数</w:t>
      </w:r>
      <w:r>
        <w:t xml:space="preserve"> </w:t>
      </w:r>
      <m:oMath>
        <m:r>
          <m:t>A</m:t>
        </m:r>
        <m:r>
          <m:rPr>
            <m:sty m:val="p"/>
          </m:rPr>
          <m:t>(</m:t>
        </m:r>
        <m:sSub>
          <m:e>
            <m:r>
              <m:t>s</m:t>
            </m:r>
          </m:e>
          <m:sub>
            <m:r>
              <m:t>t</m:t>
            </m:r>
          </m:sub>
        </m:sSub>
        <m:r>
          <m:rPr>
            <m:sty m:val="p"/>
          </m:rPr>
          <m:t>)</m:t>
        </m:r>
      </m:oMath>
      <w:r>
        <w:t xml:space="preserve"> </w:t>
      </w:r>
      <w:r>
        <w:rPr>
          <w:rFonts w:hint="eastAsia"/>
        </w:rPr>
        <w:t xml:space="preserve">追加至滑动窗口</w:t>
      </w:r>
      <w:r>
        <w:t xml:space="preserve"> </w:t>
      </w:r>
      <m:oMath>
        <m:sSubSup>
          <m:e>
            <m:r>
              <m:rPr>
                <m:scr m:val="script"/>
                <m:sty m:val="p"/>
              </m:rPr>
              <m:t>A</m:t>
            </m:r>
          </m:e>
          <m:sub>
            <m:r>
              <m:t>t</m:t>
            </m:r>
          </m:sub>
          <m:sup>
            <m:r>
              <m:rPr>
                <m:sty m:val="p"/>
              </m:rPr>
              <m:t>(</m:t>
            </m:r>
            <m:r>
              <m:t>W</m:t>
            </m:r>
            <m:r>
              <m:rPr>
                <m:sty m:val="p"/>
              </m:rPr>
              <m:t>)</m:t>
            </m:r>
          </m:sup>
        </m:sSubSup>
      </m:oMath>
      <w:r>
        <w:rPr>
          <w:rFonts w:hint="eastAsia"/>
        </w:rPr>
        <w:t xml:space="preserve">，并按式</w:t>
      </w:r>
      <w:r>
        <w:t xml:space="preserve"> (11)–(14) </w:t>
      </w:r>
      <w:r>
        <w:rPr>
          <w:rFonts w:hint="eastAsia"/>
        </w:rPr>
        <w:t xml:space="preserve">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 to (14),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16"/>
    <w:bookmarkStart w:id="17" w:name="Xf8a19abc77548207adb2ebdab25677e1275e005"/>
    <w:p>
      <w:pPr>
        <w:pStyle w:val="Heading2"/>
      </w:pPr>
      <w:r>
        <w:t xml:space="preserve">3.3 </w:t>
      </w:r>
      <w:r>
        <w:rPr>
          <w:rFonts w:hint="eastAsia"/>
        </w:rPr>
        <w:t xml:space="preserve">基于动态阈值事件触发的预测型强化学习控制算法</w:t>
      </w:r>
      <w:r>
        <w:t xml:space="preserve"> / Predictive RL Control Algorithm with Dynamic Event Triggering</w:t>
      </w:r>
    </w:p>
    <w:p>
      <w:pPr>
        <w:pStyle w:val="FirstParagraph"/>
      </w:pPr>
      <w:r>
        <w:rPr>
          <w:rFonts w:hint="eastAsia"/>
        </w:rPr>
        <w:t xml:space="preserve">基于上述门控模块提供的触发判定信号，为兼顾控制性能与在线计算开销，本文构建结合短期负荷预测信息的轻量级</w:t>
      </w:r>
      <w:r>
        <w:t xml:space="preserve"> DQN </w:t>
      </w:r>
      <w:r>
        <w:rPr>
          <w:rFonts w:hint="eastAsia"/>
        </w:rPr>
        <w:t xml:space="preserve">智能体作为强化学习控制器。该控制器在触发时刻接收状态向量</w:t>
      </w:r>
      <w:r>
        <w:t xml:space="preserve"> </w:t>
      </w:r>
      <m:oMath>
        <m:sSub>
          <m:e>
            <m:r>
              <m:t>s</m:t>
            </m:r>
          </m:e>
          <m:sub>
            <m:r>
              <m:t>t</m:t>
            </m:r>
          </m:sub>
        </m:sSub>
      </m:oMath>
      <w:r>
        <w:rPr>
          <w:rFonts w:hint="eastAsia"/>
        </w:rPr>
        <w:t xml:space="preserve">，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pPr>
        <w:pStyle w:val="BodyText"/>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BodyText"/>
      </w:pPr>
      <w:r>
        <w:rPr>
          <w:b/>
          <w:bCs/>
        </w:rPr>
        <w:t xml:space="preserve">(1) </w:t>
      </w:r>
      <w:r>
        <w:rPr>
          <w:rFonts w:hint="eastAsia"/>
          <w:b/>
          <w:bCs/>
        </w:rPr>
        <w:t xml:space="preserve">任务建模与问题定义</w:t>
      </w:r>
      <w:r>
        <w:rPr>
          <w:b/>
          <w:bCs/>
        </w:rPr>
        <w:t xml:space="preserve"> / Task formulation and problem definition</w:t>
      </w:r>
    </w:p>
    <w:p>
      <w:pPr>
        <w:pStyle w:val="BodyText"/>
      </w:pPr>
      <w:r>
        <w:rPr>
          <w:rFonts w:hint="eastAsia"/>
        </w:rPr>
        <w:t xml:space="preserve">针对建筑</w:t>
      </w:r>
      <w:r>
        <w:t xml:space="preserve"> HVAC </w:t>
      </w:r>
      <w:r>
        <w:rPr>
          <w:rFonts w:hint="eastAsia"/>
        </w:rPr>
        <w:t xml:space="preserve">控制中状态维度高、样本间存在强时序关联的问题，本文采用紧凑状态表征，并将控制问题建模为马尔可夫决策过程（Markov</w:t>
      </w:r>
      <w:r>
        <w:t xml:space="preserve"> decision process, </w:t>
      </w:r>
      <w:r>
        <w:rPr>
          <w:rFonts w:hint="eastAsia"/>
        </w:rPr>
        <w:t xml:space="preserve">MDP）</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P</m:t>
        </m:r>
      </m:oMath>
      <w:r>
        <w:t xml:space="preserve"> </w:t>
      </w:r>
      <w:r>
        <w:rPr>
          <w:rFonts w:hint="eastAsia"/>
        </w:rPr>
        <w:t xml:space="preserve">为状态转移概率核，</w:t>
      </w:r>
      <m:oMath>
        <m:r>
          <m:rPr>
            <m:scr m:val="script"/>
            <m:sty m:val="p"/>
          </m:rPr>
          <m:t>R</m:t>
        </m:r>
      </m:oMath>
      <w:r>
        <w:t xml:space="preserve"> </w:t>
      </w:r>
      <w:r>
        <w:rPr>
          <w:rFonts w:hint="eastAsia"/>
        </w:rPr>
        <w:t xml:space="preserve">为奖励函数，</w:t>
      </w:r>
      <m:oMath>
        <m:r>
          <m:t>γ</m:t>
        </m:r>
      </m:oMath>
      <w:r>
        <w:t xml:space="preserve"> </w:t>
      </w:r>
      <w:r>
        <w:rPr>
          <w:rFonts w:hint="eastAsia"/>
        </w:rPr>
        <w:t xml:space="preserve">为折扣因子。</w:t>
      </w:r>
    </w:p>
    <w:p>
      <w:pPr>
        <w:pStyle w:val="BodyText"/>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rPr>
          <w:rFonts w:hint="eastAsia"/>
        </w:rPr>
        <w:t xml:space="preserve">状态空间</w:t>
      </w:r>
      <w:r>
        <w:t xml:space="preserve"> </w:t>
      </w:r>
      <m:oMath>
        <m:r>
          <m:rPr>
            <m:scr m:val="script"/>
            <m:sty m:val="p"/>
          </m:rPr>
          <m:t>S</m:t>
        </m:r>
      </m:oMath>
      <w:r>
        <w:t xml:space="preserve"> </w:t>
      </w:r>
      <w:r>
        <w:rPr>
          <w:rFonts w:hint="eastAsia"/>
        </w:rPr>
        <w:t xml:space="preserve">中的状态向量定义如式</w:t>
      </w:r>
      <w:r>
        <w:t xml:space="preserve"> </w:t>
      </w:r>
      <w:r>
        <w:rPr>
          <w:rFonts w:hint="eastAsia"/>
        </w:rPr>
        <w:t xml:space="preserve">(17)：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rPr>
                <m:sty m:val="p"/>
              </m:rPr>
              <m:t>l</m:t>
            </m:r>
            <m:r>
              <m:rPr>
                <m:sty m:val="p"/>
              </m:rPr>
              <m:t>o</m:t>
            </m:r>
            <m:r>
              <m:rPr>
                <m:sty m:val="p"/>
              </m:rPr>
              <m:t>a</m:t>
            </m:r>
            <m:r>
              <m:rPr>
                <m:sty m:val="p"/>
              </m:rPr>
              <m:t>d</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的系统冷负荷，</w:t>
      </w:r>
      <m:oMath>
        <m:sSubSup>
          <m:e>
            <m:r>
              <m:t>T</m:t>
            </m:r>
          </m:e>
          <m:sub>
            <m:r>
              <m:rPr>
                <m:sty m:val="p"/>
              </m:rPr>
              <m:t>w</m:t>
            </m:r>
            <m:r>
              <m:rPr>
                <m:sty m:val="p"/>
              </m:rPr>
              <m:t>b</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的室外湿球温度，</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表示下一时刻系统冷负荷的短期预测值。MDP</w:t>
      </w:r>
      <w:r>
        <w:t xml:space="preserve"> </w:t>
      </w:r>
      <w:r>
        <w:rPr>
          <w:rFonts w:hint="eastAsia"/>
        </w:rPr>
        <w:t xml:space="preserve">状态向量</w:t>
      </w:r>
      <w:r>
        <w:t xml:space="preserve"> </w:t>
      </w:r>
      <m:oMath>
        <m:sSub>
          <m:e>
            <m:r>
              <m:t>s</m:t>
            </m:r>
          </m:e>
          <m:sub>
            <m:r>
              <m:t>t</m:t>
            </m:r>
          </m:sub>
        </m:sSub>
      </m:oMath>
      <w:r>
        <w:t xml:space="preserve"> </w:t>
      </w:r>
      <w:r>
        <w:rPr>
          <w:rFonts w:hint="eastAsia"/>
        </w:rPr>
        <w:t xml:space="preserve">与式</w:t>
      </w:r>
      <w:r>
        <w:t xml:space="preserve"> (4) </w:t>
      </w:r>
      <w:r>
        <w:rPr>
          <w:rFonts w:hint="eastAsia"/>
        </w:rPr>
        <w:t xml:space="preserve">中门控模块输入状态特征向量采用相同的特征组成。为在紧凑状态表征中补充前瞻性负荷信息，本文纳入下一时刻负荷预测项</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，用于刻画短期负荷变化趋势，并在不显著增加状态维度的情况下增强状态对负荷动态的表达能力。对于未显式纳入状态向量的较长时间尺度动态信息，则由门控模块中的多尺度统计量进行补充刻画。</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rPr>
          <w:rFonts w:hint="eastAsia"/>
        </w:rPr>
        <w:t xml:space="preserve">动作</w:t>
      </w:r>
      <w:r>
        <w:t xml:space="preserve"> </w:t>
      </w:r>
      <m:oMath>
        <m:sSub>
          <m:e>
            <m:r>
              <m:t>a</m:t>
            </m:r>
          </m:e>
          <m:sub>
            <m:r>
              <m:t>t</m:t>
            </m:r>
          </m:sub>
        </m:sSub>
      </m:oMath>
      <w:r>
        <w:t xml:space="preserve"> </w:t>
      </w:r>
      <w:r>
        <w:rPr>
          <w:rFonts w:hint="eastAsia"/>
        </w:rPr>
        <w:t xml:space="preserve">定义为时刻</w:t>
      </w:r>
      <w:r>
        <w:t xml:space="preserve"> </w:t>
      </w:r>
      <m:oMath>
        <m:r>
          <m:t>t</m:t>
        </m:r>
      </m:oMath>
      <w:r>
        <w:t xml:space="preserve"> </w:t>
      </w:r>
      <w:r>
        <w:rPr>
          <w:rFonts w:hint="eastAsia"/>
        </w:rPr>
        <w:t xml:space="preserve">输出的冷冻水供水温度设定值，取值范围为</w:t>
      </w:r>
      <w:r>
        <w:t xml:space="preserve"> </w:t>
      </w:r>
      <m:oMath>
        <m:r>
          <m:rPr>
            <m:sty m:val="p"/>
          </m:rPr>
          <m:t>[</m:t>
        </m:r>
        <m:r>
          <m:t>6</m:t>
        </m:r>
        <m:r>
          <m:rPr>
            <m:sty m:val="p"/>
          </m:rPr>
          <m:t>,</m:t>
        </m:r>
        <m:r>
          <m:t>15</m:t>
        </m:r>
        <m:sSup>
          <m:e>
            <m:r>
              <m:rPr>
                <m:sty m:val="p"/>
              </m:rPr>
              <m:t>]</m:t>
            </m:r>
          </m:e>
          <m:sup>
            <m:r>
              <m:rPr>
                <m:sty m:val="p"/>
              </m:rPr>
              <m:t>∘</m:t>
            </m:r>
          </m:sup>
        </m:sSup>
        <m:r>
          <m:rPr>
            <m:sty m:val="p"/>
          </m:rPr>
          <m:t>C</m:t>
        </m:r>
      </m:oMath>
      <w:r>
        <w:rPr>
          <w:rFonts w:hint="eastAsia"/>
        </w:rPr>
        <w:t xml:space="preserve">，对应</w:t>
      </w:r>
      <w:r>
        <w:t xml:space="preserve"> 10 </w:t>
      </w:r>
      <w:r>
        <w:rPr>
          <w:rFonts w:hint="eastAsia"/>
        </w:rPr>
        <w:t xml:space="preserve">个离散设定点，用于直接调节冷源系统的运行目标。与状态向量的紧凑表征相对应，本文将控制决策压缩为单一设定点输出，以避免动作维度过高带来的训练复杂度和在线推理开销。该动作由上层强化学习模块根据当前状态自适应生成；对于机组启停、最小运行时长等不由智能体直接决定的工程约束，则由底层规则模块协同执行并加以约束。</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rPr>
          <w:rFonts w:hint="eastAsia"/>
        </w:rPr>
        <w:t xml:space="preserve">奖励</w:t>
      </w:r>
      <w:r>
        <w:t xml:space="preserve"> </w:t>
      </w:r>
      <m:oMath>
        <m:sSub>
          <m:e>
            <m:r>
              <m:t>r</m:t>
            </m:r>
          </m:e>
          <m:sub>
            <m:r>
              <m:t>t</m:t>
            </m:r>
          </m:sub>
        </m:sSub>
      </m:oMath>
      <w:r>
        <w:t xml:space="preserve"> </w:t>
      </w:r>
      <w:r>
        <w:rPr>
          <w:rFonts w:hint="eastAsia"/>
        </w:rPr>
        <w:t xml:space="preserve">定义为能效奖励与温控跟踪奖励的加权和，用于在节能目标与温度跟踪目标之间实现平衡：</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，分别表示能效项与温控项在总奖励中的权重；</w:t>
      </w:r>
      <m:oMath>
        <m:sSub>
          <m:e>
            <m:r>
              <m:t>ω</m:t>
            </m:r>
          </m:e>
          <m:sub>
            <m:r>
              <m:t>η</m:t>
            </m:r>
          </m:sub>
        </m:sSub>
      </m:oMath>
      <w:r>
        <w:t xml:space="preserve"> </w:t>
      </w:r>
      <w:r>
        <w:rPr>
          <w:rFonts w:hint="eastAsia"/>
        </w:rPr>
        <w:t xml:space="preserve">越大，策略越偏向节能，</w:t>
      </w:r>
      <m:oMath>
        <m:sSub>
          <m:e>
            <m:r>
              <m:t>ω</m:t>
            </m:r>
          </m:e>
          <m:sub>
            <m:r>
              <m:t>τ</m:t>
            </m:r>
          </m:sub>
        </m:sSub>
      </m:oMath>
      <w:r>
        <w:t xml:space="preserve"> </w:t>
      </w:r>
      <w:r>
        <w:rPr>
          <w:rFonts w:hint="eastAsia"/>
        </w:rPr>
        <w:t xml:space="preserve">越大，策略越偏向温度跟踪。能效奖励项定义为式</w:t>
      </w:r>
      <w:r>
        <w:t xml:space="preserve"> </w:t>
      </w:r>
      <w:r>
        <w:rPr>
          <w:rFonts w:hint="eastAsia"/>
        </w:rPr>
        <w:t xml:space="preserve">(19)：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为机组瞬时运行功率，</w:t>
      </w:r>
      <m:oMath>
        <m:sSub>
          <m:e>
            <m:r>
              <m:t>P</m:t>
            </m:r>
          </m:e>
          <m:sub>
            <m:r>
              <m:rPr>
                <m:sty m:val="p"/>
              </m:rPr>
              <m:t>r</m:t>
            </m:r>
            <m:r>
              <m:rPr>
                <m:sty m:val="p"/>
              </m:rPr>
              <m:t>e</m:t>
            </m:r>
            <m:r>
              <m:rPr>
                <m:sty m:val="p"/>
              </m:rPr>
              <m:t>f</m:t>
            </m:r>
          </m:sub>
        </m:sSub>
      </m:oMath>
      <w:r>
        <w:t xml:space="preserve"> </w:t>
      </w:r>
      <w:r>
        <w:rPr>
          <w:rFonts w:hint="eastAsia"/>
        </w:rPr>
        <w:t xml:space="preserve">为额定功率。该项以额定功率为基准刻画当前运行能耗，功率越低则奖励越高。温控跟踪奖励项采用高斯径向基函数对设定点跟踪精度进行连续量化，定义为式</w:t>
      </w:r>
      <w:r>
        <w:t xml:space="preserve"> </w:t>
      </w:r>
      <w:r>
        <w:rPr>
          <w:rFonts w:hint="eastAsia"/>
        </w:rPr>
        <w:t xml:space="preserve">(20)：</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为高斯核带宽参数，决定奖励对温度偏差的敏感程度。该项在实际供水温度接近目标设定值时取较高值，从而鼓励控制策略维持稳定的温控性能。</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BodyText"/>
      </w:pPr>
      <w:r>
        <w:rPr>
          <w:b/>
          <w:bCs/>
        </w:rPr>
        <w:t xml:space="preserve">(2) </w:t>
      </w:r>
      <w:r>
        <w:rPr>
          <w:rFonts w:hint="eastAsia"/>
          <w:b/>
          <w:bCs/>
        </w:rPr>
        <w:t xml:space="preserve">预测型</w:t>
      </w:r>
      <w:r>
        <w:rPr>
          <w:b/>
          <w:bCs/>
        </w:rPr>
        <w:t xml:space="preserve"> DQN </w:t>
      </w:r>
      <w:r>
        <w:rPr>
          <w:rFonts w:hint="eastAsia"/>
          <w:b/>
          <w:bCs/>
        </w:rPr>
        <w:t xml:space="preserve">网络架构与训练过程</w:t>
      </w:r>
      <w:r>
        <w:rPr>
          <w:b/>
          <w:bCs/>
        </w:rPr>
        <w:t xml:space="preserve"> / Predictive DQN network architecture and training procedure</w:t>
      </w:r>
    </w:p>
    <w:p>
      <w:pPr>
        <w:pStyle w:val="BodyText"/>
      </w:pPr>
      <w:r>
        <w:rPr>
          <w:rFonts w:hint="eastAsia"/>
        </w:rPr>
        <w:t xml:space="preserve">本文将冷源供水温度设定点优化过程建模为离散动作空间下的动作价值函数逼近问题，并采用预测型</w:t>
      </w:r>
      <w:r>
        <w:t xml:space="preserve"> DQN </w:t>
      </w:r>
      <w:r>
        <w:rPr>
          <w:rFonts w:hint="eastAsia"/>
        </w:rPr>
        <w:t xml:space="preserve">控制器进行求解。多层全连接网络用于近似动作价值函数</w:t>
      </w:r>
      <w:r>
        <w:t xml:space="preserve"> </w:t>
      </w:r>
      <m:oMath>
        <m:sSub>
          <m:e>
            <m:r>
              <m:t>Q</m:t>
            </m:r>
          </m:e>
          <m:sub>
            <m:r>
              <m:t>θ</m:t>
            </m:r>
          </m:sub>
        </m:sSub>
      </m:oMath>
      <w:r>
        <w:rPr>
          <w:rFonts w:hint="eastAsia"/>
        </w:rPr>
        <w:t xml:space="preserve">，其中</w:t>
      </w:r>
      <w:r>
        <w:t xml:space="preserve"> </w:t>
      </w:r>
      <m:oMath>
        <m:r>
          <m:t>θ</m:t>
        </m:r>
      </m:oMath>
      <w:r>
        <w:t xml:space="preserve"> </w:t>
      </w:r>
      <w:r>
        <w:rPr>
          <w:rFonts w:hint="eastAsia"/>
        </w:rPr>
        <w:t xml:space="preserve">表示在线网络参数；该网络以式</w:t>
      </w:r>
      <w:r>
        <w:t xml:space="preserve"> (17) </w:t>
      </w:r>
      <w:r>
        <w:rPr>
          <w:rFonts w:hint="eastAsia"/>
        </w:rPr>
        <w:t xml:space="preserve">定义的状态向量</w:t>
      </w:r>
      <w:r>
        <w:t xml:space="preserve"> </w:t>
      </w:r>
      <m:oMath>
        <m:sSub>
          <m:e>
            <m:r>
              <m:t>s</m:t>
            </m:r>
          </m:e>
          <m:sub>
            <m:r>
              <m:t>t</m:t>
            </m:r>
          </m:sub>
        </m:sSub>
      </m:oMath>
      <w:r>
        <w:t xml:space="preserve"> </w:t>
      </w:r>
      <w:r>
        <w:rPr>
          <w:rFonts w:hint="eastAsia"/>
        </w:rPr>
        <w:t xml:space="preserve">为输入，并输出离散设定点集合</w:t>
      </w:r>
      <w:r>
        <w:t xml:space="preserve"> </w:t>
      </w:r>
      <m:oMath>
        <m:r>
          <m:rPr>
            <m:scr m:val="script"/>
            <m:sty m:val="p"/>
          </m:rPr>
          <m:t>A</m:t>
        </m:r>
      </m:oMath>
      <w:r>
        <w:t xml:space="preserve"> </w:t>
      </w:r>
      <w:r>
        <w:rPr>
          <w:rFonts w:hint="eastAsia"/>
        </w:rPr>
        <w:t xml:space="preserve">中各候选动作</w:t>
      </w:r>
      <w:r>
        <w:t xml:space="preserve"> </w:t>
      </w:r>
      <m:oMath>
        <m:r>
          <m:t>a</m:t>
        </m:r>
      </m:oMath>
      <w:r>
        <w:t xml:space="preserve"> </w:t>
      </w:r>
      <w:r>
        <w:rPr>
          <w:rFonts w:hint="eastAsia"/>
        </w:rPr>
        <w:t xml:space="preserve">的动作价值</w:t>
      </w:r>
      <w:r>
        <w:t xml:space="preserve"> </w:t>
      </w:r>
      <m:oMath>
        <m:sSub>
          <m:e>
            <m:r>
              <m:t>Q</m:t>
            </m:r>
          </m:e>
          <m:sub>
            <m:r>
              <m:t>θ</m:t>
            </m:r>
          </m:sub>
        </m:sSub>
        <m:r>
          <m:rPr>
            <m:sty m:val="p"/>
          </m:rPr>
          <m:t>[</m:t>
        </m:r>
        <m:sSub>
          <m:e>
            <m:r>
              <m:t>s</m:t>
            </m:r>
          </m:e>
          <m:sub>
            <m:r>
              <m:t>t</m:t>
            </m:r>
          </m:sub>
        </m:sSub>
        <m:r>
          <m:rPr>
            <m:sty m:val="p"/>
          </m:rPr>
          <m:t>,</m:t>
        </m:r>
        <m:r>
          <m:t>a</m:t>
        </m:r>
        <m:r>
          <m:rPr>
            <m:sty m:val="p"/>
          </m:rPr>
          <m:t>]</m:t>
        </m:r>
      </m:oMath>
      <w:r>
        <w:rPr>
          <w:rFonts w:hint="eastAsia"/>
        </w:rPr>
        <w:t xml:space="preserve">。与仅依赖当前观测的反应式动作选择不同，状态中的一步负荷预测项使</w:t>
      </w:r>
      <w:r>
        <w:t xml:space="preserve"> </w:t>
      </w:r>
      <m:oMath>
        <m:sSub>
          <m:e>
            <m:r>
              <m:t>Q</m:t>
            </m:r>
          </m:e>
          <m:sub>
            <m:r>
              <m:t>θ</m:t>
            </m:r>
          </m:sub>
        </m:sSub>
      </m:oMath>
      <w:r>
        <w:t xml:space="preserve"> </w:t>
      </w:r>
      <w:r>
        <w:rPr>
          <w:rFonts w:hint="eastAsia"/>
        </w:rPr>
        <w:t xml:space="preserve">能够在当前工况与短期负荷演化共同约束下评估候选设定点的长期收益，从而支撑事件触发时的前瞻式动作推理。</w:t>
      </w:r>
    </w:p>
    <w:p>
      <w:pPr>
        <w:pStyle w:val="BodyText"/>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rPr>
          <w:rFonts w:hint="eastAsia"/>
        </w:rPr>
        <w:t xml:space="preserve">离线训练采用按时间顺序划分的数据序列，以避免未来工况信息泄漏并贴近部署时的顺序观测条件。仿真环境基于冷机性能曲线、冷负荷和室外湿球温度建立状态动作到物理反馈的映射，并计算式</w:t>
      </w:r>
      <w:r>
        <w:t xml:space="preserve"> (18) </w:t>
      </w:r>
      <w:r>
        <w:rPr>
          <w:rFonts w:hint="eastAsia"/>
        </w:rPr>
        <w:t xml:space="preserve">至式</w:t>
      </w:r>
      <w:r>
        <w:t xml:space="preserve"> (20) </w:t>
      </w:r>
      <w:r>
        <w:rPr>
          <w:rFonts w:hint="eastAsia"/>
        </w:rPr>
        <w:t xml:space="preserve">定义的即时奖励</w:t>
      </w:r>
      <w:r>
        <w:t xml:space="preserve"> </w:t>
      </w:r>
      <m:oMath>
        <m:sSub>
          <m:e>
            <m:r>
              <m:t>r</m:t>
            </m:r>
          </m:e>
          <m:sub>
            <m:r>
              <m:t>t</m:t>
            </m:r>
          </m:sub>
        </m:sSub>
      </m:oMath>
      <w:r>
        <w:rPr>
          <w:rFonts w:hint="eastAsia"/>
        </w:rPr>
        <w:t xml:space="preserve">。因此，参数更新由能耗效率与温控跟踪性能共同约束；训练阶段采用逐步衰减的</w:t>
      </w:r>
      <w:r>
        <w:t xml:space="preserve"> </w:t>
      </w:r>
      <m:oMath>
        <m:r>
          <m:t>ϵ</m:t>
        </m:r>
      </m:oMath>
      <w:r>
        <w:t xml:space="preserve">-greedy </w:t>
      </w:r>
      <w:r>
        <w:rPr>
          <w:rFonts w:hint="eastAsia"/>
        </w:rPr>
        <w:t xml:space="preserve">动作选择机制，以兼顾供水温度设定点探索和基于动作价值的利用。</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rPr>
          <w:rFonts w:hint="eastAsia"/>
        </w:rPr>
        <w:t xml:space="preserve">交互样本</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rPr>
          <w:rFonts w:hint="eastAsia"/>
        </w:rPr>
        <w:t xml:space="preserve">存入容量为</w:t>
      </w:r>
      <w:r>
        <w:t xml:space="preserve"> </w:t>
      </w:r>
      <m:oMath>
        <m:r>
          <m:t>M</m:t>
        </m:r>
      </m:oMath>
      <w:r>
        <w:t xml:space="preserve"> </w:t>
      </w:r>
      <w:r>
        <w:rPr>
          <w:rFonts w:hint="eastAsia"/>
        </w:rPr>
        <w:t xml:space="preserve">的经验回放池</w:t>
      </w:r>
      <w:r>
        <w:t xml:space="preserve"> </w:t>
      </w:r>
      <m:oMath>
        <m:r>
          <m:rPr>
            <m:scr m:val="script"/>
            <m:sty m:val="p"/>
          </m:rPr>
          <m:t>D</m:t>
        </m:r>
      </m:oMath>
      <w:r>
        <w:rPr>
          <w:rFonts w:hint="eastAsia"/>
        </w:rPr>
        <w:t xml:space="preserve">，其中</w:t>
      </w:r>
      <w:r>
        <w:t xml:space="preserve"> </w:t>
      </w:r>
      <m:oMath>
        <m:sSub>
          <m:e>
            <m:r>
              <m:t>a</m:t>
            </m:r>
          </m:e>
          <m:sub>
            <m:r>
              <m:t>t</m:t>
            </m:r>
          </m:sub>
        </m:sSub>
      </m:oMath>
      <w:r>
        <w:t xml:space="preserve"> </w:t>
      </w:r>
      <w:r>
        <w:rPr>
          <w:rFonts w:hint="eastAsia"/>
        </w:rPr>
        <w:t xml:space="preserve">表示离散设定点编码；当样本数量达到批量大小</w:t>
      </w:r>
      <w:r>
        <w:t xml:space="preserve"> </w:t>
      </w:r>
      <m:oMath>
        <m:r>
          <m:t>B</m:t>
        </m:r>
      </m:oMath>
      <w:r>
        <w:t xml:space="preserve"> </w:t>
      </w:r>
      <w:r>
        <w:rPr>
          <w:rFonts w:hint="eastAsia"/>
        </w:rPr>
        <w:t xml:space="preserve">后，从</w:t>
      </w:r>
      <w:r>
        <w:t xml:space="preserve"> </w:t>
      </w:r>
      <m:oMath>
        <m:r>
          <m:rPr>
            <m:scr m:val="script"/>
            <m:sty m:val="p"/>
          </m:rPr>
          <m:t>D</m:t>
        </m:r>
      </m:oMath>
      <w:r>
        <w:t xml:space="preserve"> </w:t>
      </w:r>
      <w:r>
        <w:rPr>
          <w:rFonts w:hint="eastAsia"/>
        </w:rPr>
        <w:t xml:space="preserve">中随机抽样进行参数更新，以削弱相邻时刻负荷样本的相关性。与本文的序列回放实现一致，目标</w:t>
      </w:r>
      <w:r>
        <w:t xml:space="preserve"> Q </w:t>
      </w:r>
      <w:r>
        <w:rPr>
          <w:rFonts w:hint="eastAsia"/>
        </w:rPr>
        <w:t xml:space="preserve">值</w:t>
      </w:r>
      <w:r>
        <w:t xml:space="preserve"> </w:t>
      </w:r>
      <m:oMath>
        <m:sSubSup>
          <m:e>
            <m:r>
              <m:t>y</m:t>
            </m:r>
          </m:e>
          <m:sub>
            <m:r>
              <m:t>t</m:t>
            </m:r>
          </m:sub>
          <m:sup>
            <m:r>
              <m:t>Q</m:t>
            </m:r>
          </m:sup>
        </m:sSubSup>
      </m:oMath>
      <w:r>
        <w:t xml:space="preserve"> </w:t>
      </w:r>
      <w:r>
        <w:rPr>
          <w:rFonts w:hint="eastAsia"/>
        </w:rPr>
        <w:t xml:space="preserve">不显式引入终止掩码，而由即时奖励</w:t>
      </w:r>
      <w:r>
        <w:t xml:space="preserve"> </w:t>
      </w:r>
      <m:oMath>
        <m:sSub>
          <m:e>
            <m:r>
              <m:t>r</m:t>
            </m:r>
          </m:e>
          <m:sub>
            <m:r>
              <m:t>t</m:t>
            </m:r>
          </m:sub>
        </m:sSub>
      </m:oMath>
      <w:r>
        <w:rPr>
          <w:rFonts w:hint="eastAsia"/>
        </w:rPr>
        <w:t xml:space="preserve">、折扣因子</w:t>
      </w:r>
      <w:r>
        <w:t xml:space="preserve"> </w:t>
      </w:r>
      <m:oMath>
        <m:r>
          <m:t>γ</m:t>
        </m:r>
      </m:oMath>
      <w:r>
        <w:t xml:space="preserve"> </w:t>
      </w:r>
      <w:r>
        <w:rPr>
          <w:rFonts w:hint="eastAsia"/>
        </w:rPr>
        <w:t xml:space="preserve">和目标网络参数</w:t>
      </w:r>
      <w:r>
        <w:t xml:space="preserve"> </w:t>
      </w:r>
      <m:oMath>
        <m:sSup>
          <m:e>
            <m:r>
              <m:t>θ</m:t>
            </m:r>
          </m:e>
          <m:sup>
            <m:r>
              <m:rPr>
                <m:sty m:val="p"/>
              </m:rPr>
              <m:t>−</m:t>
            </m:r>
          </m:sup>
        </m:sSup>
      </m:oMath>
      <w:r>
        <w:t xml:space="preserve"> </w:t>
      </w:r>
      <w:r>
        <w:rPr>
          <w:rFonts w:hint="eastAsia"/>
        </w:rPr>
        <w:t xml:space="preserve">下的下一状态最大动作价值构造，其中</w:t>
      </w:r>
      <w:r>
        <w:t xml:space="preserve"> </w:t>
      </w:r>
      <m:oMath>
        <m:sSup>
          <m:e>
            <m:r>
              <m:t>a</m:t>
            </m:r>
          </m:e>
          <m:sup>
            <m:r>
              <m:rPr>
                <m:sty m:val="p"/>
              </m:rPr>
              <m:t>′</m:t>
            </m:r>
          </m:sup>
        </m:sSup>
      </m:oMath>
      <w:r>
        <w:t xml:space="preserve"> </w:t>
      </w:r>
      <w:r>
        <w:rPr>
          <w:rFonts w:hint="eastAsia"/>
        </w:rPr>
        <w:t xml:space="preserve">表示下一状态</w:t>
      </w:r>
      <w:r>
        <w:t xml:space="preserve"> </w:t>
      </w:r>
      <m:oMath>
        <m:sSub>
          <m:e>
            <m:r>
              <m:t>s</m:t>
            </m:r>
          </m:e>
          <m:sub>
            <m:r>
              <m:t>t</m:t>
            </m:r>
            <m:r>
              <m:rPr>
                <m:sty m:val="p"/>
              </m:rPr>
              <m:t>+</m:t>
            </m:r>
            <m:r>
              <m:t>1</m:t>
            </m:r>
          </m:sub>
        </m:sSub>
      </m:oMath>
      <w:r>
        <w:t xml:space="preserve"> </w:t>
      </w:r>
      <w:r>
        <w:rPr>
          <w:rFonts w:hint="eastAsia"/>
        </w:rPr>
        <w:t xml:space="preserve">下的候选离散设定点动作，见式</w:t>
      </w:r>
      <w:r>
        <w:t xml:space="preserve">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训练损失</w:t>
      </w:r>
      <w:r>
        <w:t xml:space="preserve"> </w:t>
      </w:r>
      <m:oMath>
        <m:sSub>
          <m:e>
            <m:r>
              <m:rPr>
                <m:scr m:val="script"/>
                <m:sty m:val="p"/>
              </m:rPr>
              <m:t>L</m:t>
            </m:r>
          </m:e>
          <m:sub>
            <m:r>
              <m:t>θ</m:t>
            </m:r>
          </m:sub>
        </m:sSub>
      </m:oMath>
      <w:r>
        <w:t xml:space="preserve"> </w:t>
      </w:r>
      <w:r>
        <w:rPr>
          <w:rFonts w:hint="eastAsia"/>
        </w:rPr>
        <w:t xml:space="preserve">采用</w:t>
      </w:r>
      <w:r>
        <w:t xml:space="preserve"> Smooth L1 </w:t>
      </w:r>
      <w:r>
        <w:rPr>
          <w:rFonts w:hint="eastAsia"/>
        </w:rPr>
        <w:t xml:space="preserve">loss，以降低负荷突变和冷机功率模型局部非线性对梯度更新的异常影响。令</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rPr>
          <w:rFonts w:hint="eastAsia"/>
        </w:rPr>
        <w:t xml:space="preserve">表示动作价值估计误差，</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rPr>
          <w:rFonts w:hint="eastAsia"/>
        </w:rPr>
        <w:t xml:space="preserve">表示</w:t>
      </w:r>
      <w:r>
        <w:t xml:space="preserve"> Smooth L1 loss </w:t>
      </w:r>
      <w:r>
        <w:rPr>
          <w:rFonts w:hint="eastAsia"/>
        </w:rPr>
        <w:t xml:space="preserve">函数，则在线网络参数</w:t>
      </w:r>
      <w:r>
        <w:t xml:space="preserve"> </w:t>
      </w:r>
      <m:oMath>
        <m:r>
          <m:t>θ</m:t>
        </m:r>
      </m:oMath>
      <w:r>
        <w:t xml:space="preserve"> </w:t>
      </w:r>
      <w:r>
        <w:rPr>
          <w:rFonts w:hint="eastAsia"/>
        </w:rPr>
        <w:t xml:space="preserve">的优化目标为式</w:t>
      </w:r>
      <w:r>
        <w:t xml:space="preserve">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rPr>
          <w:rFonts w:hint="eastAsia"/>
        </w:rPr>
        <w:t xml:space="preserve">在线网络使用</w:t>
      </w:r>
      <w:r>
        <w:t xml:space="preserve"> Adam </w:t>
      </w:r>
      <w:r>
        <w:rPr>
          <w:rFonts w:hint="eastAsia"/>
        </w:rPr>
        <w:t xml:space="preserve">优化器更新，目标网络按固定频率与在线网络同步。训练期间，当前策略在验证序列上关闭探索并以贪心动作选择方式评估累积奖励；当训练后半程验证奖励持续未改善时，执行早停并保留验证表现最优的策略网络。最终得到的</w:t>
      </w:r>
      <w:r>
        <w:t xml:space="preserve"> DQN </w:t>
      </w:r>
      <w:r>
        <w:rPr>
          <w:rFonts w:hint="eastAsia"/>
        </w:rPr>
        <w:t xml:space="preserve">策略在在线阶段仅用于动作推理，即在事件触发时根据预测型状态输出冷冻水供水温度设定点。</w:t>
      </w:r>
    </w:p>
    <w:p>
      <w:pPr>
        <w:pStyle w:val="BodyText"/>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BodyText"/>
      </w:pPr>
      <w:r>
        <w:rPr>
          <w:b/>
          <w:bCs/>
        </w:rPr>
        <w:t xml:space="preserve">(3) </w:t>
      </w:r>
      <w:r>
        <w:rPr>
          <w:rFonts w:hint="eastAsia"/>
          <w:b/>
          <w:bCs/>
        </w:rPr>
        <w:t xml:space="preserve">事件驱动在线执行算法</w:t>
      </w:r>
      <w:r>
        <w:rPr>
          <w:b/>
          <w:bCs/>
        </w:rPr>
        <w:t xml:space="preserve"> / Event-driven online execution algorithm</w:t>
      </w:r>
    </w:p>
    <w:p>
      <w:pPr>
        <w:pStyle w:val="BodyText"/>
      </w:pPr>
      <w:r>
        <w:rPr>
          <w:rFonts w:hint="eastAsia"/>
        </w:rPr>
        <w:t xml:space="preserve">在在线运行阶段，系统按固定采样间隔采集冷负荷</w:t>
      </w:r>
      <w:r>
        <w:t xml:space="preserve"> </w:t>
      </w:r>
      <m:oMath>
        <m:sSubSup>
          <m:e>
            <m:r>
              <m:t>Q</m:t>
            </m:r>
          </m:e>
          <m:sub>
            <m:r>
              <m:rPr>
                <m:sty m:val="p"/>
              </m:rPr>
              <m:t>l</m:t>
            </m:r>
            <m:r>
              <m:rPr>
                <m:sty m:val="p"/>
              </m:rPr>
              <m:t>o</m:t>
            </m:r>
            <m:r>
              <m:rPr>
                <m:sty m:val="p"/>
              </m:rPr>
              <m:t>a</m:t>
            </m:r>
            <m:r>
              <m:rPr>
                <m:sty m:val="p"/>
              </m:rPr>
              <m:t>d</m:t>
            </m:r>
          </m:sub>
          <m:sup>
            <m:r>
              <m:t>t</m:t>
            </m:r>
          </m:sup>
        </m:sSubSup>
      </m:oMath>
      <w:r>
        <w:rPr>
          <w:rFonts w:hint="eastAsia"/>
        </w:rPr>
        <w:t xml:space="preserve">、室外湿球温度</w:t>
      </w:r>
      <w:r>
        <w:t xml:space="preserve"> </w:t>
      </w:r>
      <m:oMath>
        <m:sSubSup>
          <m:e>
            <m:r>
              <m:t>T</m:t>
            </m:r>
          </m:e>
          <m:sub>
            <m:r>
              <m:rPr>
                <m:sty m:val="p"/>
              </m:rPr>
              <m:t>w</m:t>
            </m:r>
            <m:r>
              <m:rPr>
                <m:sty m:val="p"/>
              </m:rPr>
              <m:t>b</m:t>
            </m:r>
          </m:sub>
          <m:sup>
            <m:r>
              <m:t>t</m:t>
            </m:r>
          </m:sup>
        </m:sSubSup>
      </m:oMath>
      <w:r>
        <w:t xml:space="preserve"> </w:t>
      </w:r>
      <w:r>
        <w:rPr>
          <w:rFonts w:hint="eastAsia"/>
        </w:rPr>
        <w:t xml:space="preserve">以及一步预测负荷</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，并构造预测型状态</w:t>
      </w:r>
      <w:r>
        <w:t xml:space="preserve"> </w:t>
      </w:r>
      <m:oMath>
        <m:sSub>
          <m:e>
            <m:r>
              <m:t>s</m:t>
            </m:r>
          </m:e>
          <m:sub>
            <m:r>
              <m:t>t</m:t>
            </m:r>
          </m:sub>
        </m:sSub>
      </m:oMath>
      <w:r>
        <w:rPr>
          <w:rFonts w:hint="eastAsia"/>
        </w:rPr>
        <w:t xml:space="preserve">。随后，流式门控模块判断当前运行状态是否偏离由多尺度滑动窗口表征的近期参考分布。只有当触发准则被满足时，系统才调用训练好的</w:t>
      </w:r>
      <w:r>
        <w:t xml:space="preserve"> DQN </w:t>
      </w:r>
      <w:r>
        <w:rPr>
          <w:rFonts w:hint="eastAsia"/>
        </w:rPr>
        <w:t xml:space="preserve">推理新的冷冻水供水温度设定点。该设计将多尺度异常评分与预测型强化学习控制相结合，使控制器能够响应负荷突变、室外热环境扰动和工况迁移，同时在稳定工况下减少不必要的策略评估、频繁设定点切换和执行器振荡。</w:t>
      </w:r>
    </w:p>
    <w:p>
      <w:pPr>
        <w:pStyle w:val="BodyText"/>
      </w:pPr>
      <w:r>
        <w:t xml:space="preserve">During online operation, the system samples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rPr>
          <w:rFonts w:hint="eastAsia"/>
        </w:rPr>
        <w:t xml:space="preserve">具体而言，流式门控模块首先基于短、中、长三个滑动窗口计算当前状态的尺度特异异常分数，以刻画高频扰动、日内周期变化和长期慢变趋势。随后，尺度特异异常分数按照式</w:t>
      </w:r>
      <w:r>
        <w:t xml:space="preserve"> (8) </w:t>
      </w:r>
      <w:r>
        <w:rPr>
          <w:rFonts w:hint="eastAsia"/>
        </w:rPr>
        <w:t xml:space="preserve">融合为多尺度融合异常分数</w:t>
      </w:r>
      <w:r>
        <w:t xml:space="preserve"> </w:t>
      </w:r>
      <m:oMath>
        <m:r>
          <m:t>A</m:t>
        </m:r>
        <m:r>
          <m:rPr>
            <m:sty m:val="p"/>
          </m:rPr>
          <m:t>(</m:t>
        </m:r>
        <m:sSub>
          <m:e>
            <m:r>
              <m:t>s</m:t>
            </m:r>
          </m:e>
          <m:sub>
            <m:r>
              <m:t>t</m:t>
            </m:r>
          </m:sub>
        </m:sSub>
        <m:r>
          <m:rPr>
            <m:sty m:val="p"/>
          </m:rPr>
          <m:t>)</m:t>
        </m:r>
      </m:oMath>
      <w:r>
        <w:rPr>
          <w:rFonts w:hint="eastAsia"/>
        </w:rPr>
        <w:t xml:space="preserve">，并利用式</w:t>
      </w:r>
      <w:r>
        <w:t xml:space="preserve"> (9) </w:t>
      </w:r>
      <w:r>
        <w:rPr>
          <w:rFonts w:hint="eastAsia"/>
        </w:rPr>
        <w:t xml:space="preserve">至式</w:t>
      </w:r>
      <w:r>
        <w:t xml:space="preserve"> (16) </w:t>
      </w:r>
      <w:r>
        <w:rPr>
          <w:rFonts w:hint="eastAsia"/>
        </w:rPr>
        <w:t xml:space="preserve">定义的局部-全局双层自适应阈值得到自适应触发阈值</w:t>
      </w:r>
      <w:r>
        <w:t xml:space="preserve"> </w:t>
      </w:r>
      <m:oMath>
        <m:sSubSup>
          <m:e>
            <m:r>
              <m:t>τ</m:t>
            </m:r>
          </m:e>
          <m:sub>
            <m:r>
              <m:t>t</m:t>
            </m:r>
          </m:sub>
          <m:sup>
            <m:r>
              <m:rPr>
                <m:sty m:val="p"/>
              </m:rPr>
              <m:t>*</m:t>
            </m:r>
          </m:sup>
        </m:sSubSup>
      </m:oMath>
      <w:r>
        <w:rPr>
          <w:rFonts w:hint="eastAsia"/>
        </w:rPr>
        <w:t xml:space="preserve">。触发判定比较</w:t>
      </w:r>
      <w:r>
        <w:t xml:space="preserve"> </w:t>
      </w:r>
      <m:oMath>
        <m:r>
          <m:t>A</m:t>
        </m:r>
        <m:r>
          <m:rPr>
            <m:sty m:val="p"/>
          </m:rPr>
          <m:t>(</m:t>
        </m:r>
        <m:sSub>
          <m:e>
            <m:r>
              <m:t>s</m:t>
            </m:r>
          </m:e>
          <m:sub>
            <m:r>
              <m:t>t</m:t>
            </m:r>
          </m:sub>
        </m:sSub>
        <m:r>
          <m:rPr>
            <m:sty m:val="p"/>
          </m:rPr>
          <m:t>)</m:t>
        </m:r>
      </m:oMath>
      <w:r>
        <w:t xml:space="preserve"> </w:t>
      </w:r>
      <w:r>
        <w:rPr>
          <w:rFonts w:hint="eastAsia"/>
        </w:rPr>
        <w:t xml:space="preserve">与</w:t>
      </w:r>
      <w:r>
        <w:t xml:space="preserve"> </w:t>
      </w:r>
      <m:oMath>
        <m:sSubSup>
          <m:e>
            <m:r>
              <m:t>τ</m:t>
            </m:r>
          </m:e>
          <m:sub>
            <m:r>
              <m:t>t</m:t>
            </m:r>
          </m:sub>
          <m:sup>
            <m:r>
              <m:rPr>
                <m:sty m:val="p"/>
              </m:rPr>
              <m:t>*</m:t>
            </m:r>
          </m:sup>
        </m:sSubSup>
      </m:oMath>
      <w:r>
        <w:rPr>
          <w:rFonts w:hint="eastAsia"/>
        </w:rPr>
        <w:t xml:space="preserve">，并进一步引入最小触发间隔</w:t>
      </w:r>
      <w:r>
        <w:t xml:space="preserve"> </w:t>
      </w:r>
      <m:oMath>
        <m:sSub>
          <m:e>
            <m:r>
              <m:rPr>
                <m:sty m:val="p"/>
              </m:rPr>
              <m:t>Δ</m:t>
            </m:r>
          </m:e>
          <m:sub>
            <m:r>
              <m:rPr>
                <m:sty m:val="p"/>
              </m:rPr>
              <m:t>min</m:t>
            </m:r>
          </m:sub>
        </m:sSub>
      </m:oMath>
      <w:r>
        <w:t xml:space="preserve"> </w:t>
      </w:r>
      <w:r>
        <w:rPr>
          <w:rFonts w:hint="eastAsia"/>
        </w:rPr>
        <w:t xml:space="preserve">和迟滞裕度，以抑制异常分数在阈值附近波动时导致的重复触发。若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rPr>
          <w:rFonts w:hint="eastAsia"/>
        </w:rPr>
        <w:t xml:space="preserve">，则表示当前运行状态相对于近期参考分布的偏离程度足以触发新的策略推理，训练好的</w:t>
      </w:r>
      <w:r>
        <w:t xml:space="preserve"> DQN </w:t>
      </w:r>
      <w:r>
        <w:rPr>
          <w:rFonts w:hint="eastAsia"/>
        </w:rPr>
        <w:t xml:space="preserve">从离散设定点集合</w:t>
      </w:r>
      <w:r>
        <w:t xml:space="preserve"> </w:t>
      </w:r>
      <m:oMath>
        <m:r>
          <m:rPr>
            <m:scr m:val="script"/>
            <m:sty m:val="p"/>
          </m:rPr>
          <m:t>A</m:t>
        </m:r>
      </m:oMath>
      <w:r>
        <w:t xml:space="preserve"> </w:t>
      </w:r>
      <w:r>
        <w:rPr>
          <w:rFonts w:hint="eastAsia"/>
        </w:rPr>
        <w:t xml:space="preserve">中选择学习动作价值最大的设定点。若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rPr>
          <w:rFonts w:hint="eastAsia"/>
        </w:rPr>
        <w:t xml:space="preserve">，则不执行新的策略推理，控制动作由零阶保持器维持，即</w:t>
      </w:r>
      <w:r>
        <w:t xml:space="preserve"> </w:t>
      </w:r>
      <m:oMath>
        <m:sSub>
          <m:e>
            <m:r>
              <m:t>a</m:t>
            </m:r>
          </m:e>
          <m:sub>
            <m:r>
              <m:t>t</m:t>
            </m:r>
          </m:sub>
        </m:sSub>
        <m:r>
          <m:rPr>
            <m:sty m:val="p"/>
          </m:rPr>
          <m:t>=</m:t>
        </m:r>
        <m:sSub>
          <m:e>
            <m:r>
              <m:t>a</m:t>
            </m:r>
          </m:e>
          <m:sub>
            <m:r>
              <m:t>t</m:t>
            </m:r>
            <m:r>
              <m:rPr>
                <m:sty m:val="p"/>
              </m:rPr>
              <m:t>−</m:t>
            </m:r>
            <m:r>
              <m:t>1</m:t>
            </m:r>
          </m:sub>
        </m:sSub>
      </m:oMath>
      <w:r>
        <w:rPr>
          <w:rFonts w:hint="eastAsia"/>
        </w:rPr>
        <w:t xml:space="preserve">。其中</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rPr>
          <w:rFonts w:hint="eastAsia"/>
        </w:rPr>
        <w:t xml:space="preserve">为训练好的</w:t>
      </w:r>
      <w:r>
        <w:t xml:space="preserve"> DQN </w:t>
      </w:r>
      <w:r>
        <w:rPr>
          <w:rFonts w:hint="eastAsia"/>
        </w:rPr>
        <w:t xml:space="preserve">策略网络在状态</w:t>
      </w:r>
      <w:r>
        <w:t xml:space="preserve"> </w:t>
      </w:r>
      <m:oMath>
        <m:sSub>
          <m:e>
            <m:r>
              <m:t>s</m:t>
            </m:r>
          </m:e>
          <m:sub>
            <m:r>
              <m:t>t</m:t>
            </m:r>
          </m:sub>
        </m:sSub>
      </m:oMath>
      <w:r>
        <w:t xml:space="preserve"> </w:t>
      </w:r>
      <w:r>
        <w:rPr>
          <w:rFonts w:hint="eastAsia"/>
        </w:rPr>
        <w:t xml:space="preserve">下输出的贪心动作。在线执行律由式</w:t>
      </w:r>
      <w:r>
        <w:t xml:space="preserve"> (23) </w:t>
      </w:r>
      <w:r>
        <w:rPr>
          <w:rFonts w:hint="eastAsia"/>
        </w:rPr>
        <w:t xml:space="preserve">定义：</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 to (16);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 to (14)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17"/>
    <w:bookmarkEnd w:id="18"/>
    <w:bookmarkStart w:id="27" w:name="案例系统与仿真环境"/>
    <w:p>
      <w:pPr>
        <w:pStyle w:val="Heading1"/>
      </w:pPr>
      <w:r>
        <w:t xml:space="preserve">4. </w:t>
      </w:r>
      <w:r>
        <w:rPr>
          <w:rFonts w:hint="eastAsia"/>
        </w:rPr>
        <w:t xml:space="preserve">案例系统与仿真环境</w:t>
      </w:r>
    </w:p>
    <w:bookmarkStart w:id="19" w:name="建筑热力系统建模"/>
    <w:p>
      <w:pPr>
        <w:pStyle w:val="Heading2"/>
      </w:pPr>
      <w:r>
        <w:t xml:space="preserve">4.1 </w:t>
      </w:r>
      <w:r>
        <w:rPr>
          <w:rFonts w:hint="eastAsia"/>
        </w:rPr>
        <w:t xml:space="preserve">建筑热力系统建模</w:t>
      </w:r>
    </w:p>
    <w:p>
      <w:pPr>
        <w:pStyle w:val="FirstParagraph"/>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软件构建仿真环境。该模型已在前期研究中基于实测数据完成参数校验，验证了其对系统热力学特性的有效表征能力。冷源系统配置为典型的一次泵定流量系统（Primary</w:t>
      </w:r>
      <w:r>
        <w:t xml:space="preserve"> Constant Flow </w:t>
      </w:r>
      <w:r>
        <w:rPr>
          <w:rFonts w:hint="eastAsia"/>
        </w:rPr>
        <w:t xml:space="preserve">System），核心组件包括离心式冷水机组、冷冻水泵、冷却水泵及冷却塔。</w:t>
      </w:r>
    </w:p>
    <w:p>
      <w:pPr>
        <w:pStyle w:val="BodyText"/>
      </w:pPr>
      <w:r>
        <w:rPr>
          <w:rFonts w:hint="eastAsia"/>
        </w:rPr>
        <w:t xml:space="preserve">为准确模拟系统的能耗与热力学特性，本研究对各核心组件的额定参数进行了统一设定。系统关键设备的设计参数汇总见表</w:t>
      </w:r>
      <w:r>
        <w:t xml:space="preserve"> 4-1。</w:t>
      </w:r>
    </w:p>
    <w:p>
      <w:pPr>
        <w:pStyle w:val="BodyText"/>
      </w:pPr>
      <w:r>
        <w:rPr>
          <w:rFonts w:hint="eastAsia"/>
        </w:rPr>
        <w:t xml:space="preserve">表</w:t>
      </w:r>
      <w:r>
        <w:t xml:space="preserve"> 4-1 HVAC </w:t>
      </w:r>
      <w:r>
        <w:rPr>
          <w:rFonts w:hint="eastAsia"/>
        </w:rPr>
        <w:t xml:space="preserve">系统关键设备参数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w:t>
            </w:r>
            <w:r>
              <w:rPr>
                <w:b/>
                <w:bCs/>
              </w:rPr>
              <w:t xml:space="preserve"> (Pref,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t xml:space="preserve">COP </w:t>
            </w:r>
            <w:r>
              <w:rPr>
                <w:rFonts w:hint="eastAsia"/>
              </w:rPr>
              <w:t xml:space="preserve">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pStyle w:val="BodyText"/>
      </w:pPr>
      <w:r>
        <w:rPr>
          <w:rFonts w:hint="eastAsia"/>
        </w:rPr>
        <w:t xml:space="preserve">基于上述参数，冷冻水侧的热量传递过程可由热力学守恒关系描述。本文在计算中采用标准水物性参数：比热容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。瞬时冷负荷计算公式为：</w:t>
      </w:r>
    </w:p>
    <w:p>
      <w:pPr>
        <w:pStyle w:val="BodyText"/>
      </w:pPr>
      <m:oMathPara>
        <m:oMathParaPr>
          <m:jc m:val="center"/>
        </m:oMathParaPr>
        <m:oMath>
          <m:sSub>
            <m:e>
              <m:r>
                <m:t>Q</m:t>
              </m:r>
            </m:e>
            <m:sub>
              <m:r>
                <m:t>l</m:t>
              </m:r>
              <m:r>
                <m:t>o</m:t>
              </m:r>
              <m:r>
                <m:t>a</m:t>
              </m:r>
              <m:r>
                <m:t>d</m:t>
              </m:r>
            </m:sub>
          </m:sSub>
          <m:r>
            <m:rPr>
              <m:sty m:val="p"/>
            </m:rPr>
            <m:t>=</m:t>
          </m:r>
          <m:sSub>
            <m:e>
              <m:r>
                <m:t>ρ</m:t>
              </m:r>
            </m:e>
            <m:sub>
              <m:r>
                <m:rPr>
                  <m:nor/>
                  <m:sty m:val="p"/>
                </m:rPr>
                <m:t>water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pStyle w:val="FirstParagraph"/>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分别表示冷冻水回水温度与供水温度。该物理建模过程保证了仿真环境能够较为真实地反映控制策略对系统热力状态的影响。</w:t>
      </w:r>
    </w:p>
    <w:bookmarkEnd w:id="19"/>
    <w:bookmarkStart w:id="26" w:name="气象与负荷数据集特征"/>
    <w:p>
      <w:pPr>
        <w:pStyle w:val="Heading2"/>
      </w:pPr>
      <w:r>
        <w:t xml:space="preserve">4.2 </w:t>
      </w:r>
      <w:r>
        <w:rPr>
          <w:rFonts w:hint="eastAsia"/>
        </w:rPr>
        <w:t xml:space="preserve">气象与负荷数据集特征</w:t>
      </w:r>
    </w:p>
    <w:p>
      <w:pPr>
        <w:pStyle w:val="FirstParagraph"/>
      </w:pPr>
      <w:r>
        <w:rPr>
          <w:rFonts w:hint="eastAsia"/>
        </w:rPr>
        <w:t xml:space="preserve">本研究采用基于上海地区典型气象年（Typical</w:t>
      </w:r>
      <w:r>
        <w:t xml:space="preserve"> Meteorological Year, </w:t>
      </w:r>
      <w:r>
        <w:rPr>
          <w:rFonts w:hint="eastAsia"/>
        </w:rPr>
        <w:t xml:space="preserve">TMY）生成的建筑冷负荷仿真数据集，采样间隔设定为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个时间步，能够同时表征日内周期性波动与季节尺度变化。统计结果表明：冷负荷峰值为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，变异系数（CV）为</w:t>
      </w:r>
      <w:r>
        <w:t xml:space="preserve"> </w:t>
      </w:r>
      <m:oMath>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t xml:space="preserve">。</w:t>
      </w:r>
    </w:p>
    <w:p>
      <w:pPr>
        <w:pStyle w:val="BodyText"/>
      </w:pPr>
      <w:r>
        <w:rPr>
          <w:rFonts w:hint="eastAsia"/>
        </w:rPr>
        <w:t xml:space="preserve">图3展示了冷负荷与气象变量在不同时间尺度上的变化特征。图3(a)</w:t>
      </w:r>
      <w:r>
        <w:t xml:space="preserve"> </w:t>
      </w:r>
      <w:r>
        <w:rPr>
          <w:rFonts w:hint="eastAsia"/>
        </w:rPr>
        <w:t xml:space="preserve">给出全季数据中选取的代表性</w:t>
      </w:r>
      <w:r>
        <w:t xml:space="preserve"> 14 </w:t>
      </w:r>
      <w:r>
        <w:rPr>
          <w:rFonts w:hint="eastAsia"/>
        </w:rPr>
        <w:t xml:space="preserve">天连续片段，结果表明冷负荷（</w:t>
      </w:r>
      <m:oMath>
        <m:sSub>
          <m:e>
            <m:r>
              <m:t>Q</m:t>
            </m:r>
          </m:e>
          <m:sub>
            <m:r>
              <m:t>l</m:t>
            </m:r>
            <m:r>
              <m:t>o</m:t>
            </m:r>
            <m:r>
              <m:t>a</m:t>
            </m:r>
            <m:r>
              <m:t>d</m:t>
            </m:r>
          </m:sub>
        </m:sSub>
      </m:oMath>
      <w:r>
        <w:rPr>
          <w:rFonts w:hint="eastAsia"/>
        </w:rPr>
        <w:t xml:space="preserve">）与湿球温度（</w:t>
      </w:r>
      <m:oMath>
        <m:sSub>
          <m:e>
            <m:r>
              <m:t>T</m:t>
            </m:r>
          </m:e>
          <m:sub>
            <m:r>
              <m:t>w</m:t>
            </m:r>
            <m:r>
              <m:t>b</m:t>
            </m:r>
          </m:sub>
        </m:sSub>
      </m:oMath>
      <w:r>
        <w:rPr>
          <w:rFonts w:hint="eastAsia"/>
        </w:rPr>
        <w:t xml:space="preserve">）在高负荷阶段总体呈同向变化，且</w:t>
      </w:r>
      <w:r>
        <w:t xml:space="preserve"> </w:t>
      </w:r>
      <m:oMath>
        <m:sSub>
          <m:e>
            <m:r>
              <m:t>Q</m:t>
            </m:r>
          </m:e>
          <m:sub>
            <m:r>
              <m:t>l</m:t>
            </m:r>
            <m:r>
              <m:t>o</m:t>
            </m:r>
            <m:r>
              <m:t>a</m:t>
            </m:r>
            <m:r>
              <m:t>d</m:t>
            </m:r>
          </m:sub>
        </m:sSub>
      </m:oMath>
      <w:r>
        <w:t xml:space="preserve"> </w:t>
      </w:r>
      <w:r>
        <w:rPr>
          <w:rFonts w:hint="eastAsia"/>
        </w:rPr>
        <w:t xml:space="preserve">的昼夜振幅显著高于</w:t>
      </w:r>
      <w:r>
        <w:t xml:space="preserve"> </w:t>
      </w:r>
      <m:oMath>
        <m:sSub>
          <m:e>
            <m:r>
              <m:t>T</m:t>
            </m:r>
          </m:e>
          <m:sub>
            <m:r>
              <m:t>w</m:t>
            </m:r>
            <m:r>
              <m:t>b</m:t>
            </m:r>
          </m:sub>
        </m:sSub>
      </m:oMath>
      <w:r>
        <w:rPr>
          <w:rFonts w:hint="eastAsia"/>
        </w:rPr>
        <w:t xml:space="preserve">。图3(b)</w:t>
      </w:r>
      <w:r>
        <w:t xml:space="preserve"> </w:t>
      </w:r>
      <w:r>
        <w:rPr>
          <w:rFonts w:hint="eastAsia"/>
        </w:rPr>
        <w:t xml:space="preserve">给出按日内时刻聚合后的均值曲线，结果显示</w:t>
      </w:r>
      <w:r>
        <w:t xml:space="preserve"> </w:t>
      </w:r>
      <m:oMath>
        <m:sSub>
          <m:e>
            <m:r>
              <m:t>Q</m:t>
            </m:r>
          </m:e>
          <m:sub>
            <m:r>
              <m:t>l</m:t>
            </m:r>
            <m:r>
              <m:t>o</m:t>
            </m:r>
            <m:r>
              <m:t>a</m:t>
            </m:r>
            <m:r>
              <m:t>d</m:t>
            </m:r>
          </m:sub>
        </m:sSub>
      </m:oMath>
      <w:r>
        <w:t xml:space="preserve"> </w:t>
      </w:r>
      <w:r>
        <w:rPr>
          <w:rFonts w:hint="eastAsia"/>
        </w:rPr>
        <w:t xml:space="preserve">在白天工作时段持续抬升并于夜间回落，而</w:t>
      </w:r>
      <w:r>
        <w:t xml:space="preserve"> </w:t>
      </w:r>
      <m:oMath>
        <m:sSub>
          <m:e>
            <m:r>
              <m:t>T</m:t>
            </m:r>
          </m:e>
          <m:sub>
            <m:r>
              <m:t>w</m:t>
            </m:r>
            <m:r>
              <m:t>b</m:t>
            </m:r>
          </m:sub>
        </m:sSub>
      </m:oMath>
      <w:r>
        <w:t xml:space="preserve"> </w:t>
      </w:r>
      <w:r>
        <w:rPr>
          <w:rFonts w:hint="eastAsia"/>
        </w:rPr>
        <w:t xml:space="preserve">的日内波动相对缓和。</w:t>
      </w:r>
    </w:p>
    <w:p>
      <w:pPr>
        <w:pStyle w:val="BodyText"/>
      </w:pPr>
      <w:r>
        <w:rPr>
          <w:rFonts w:hint="eastAsia"/>
        </w:rPr>
        <w:t xml:space="preserve">图4进一步展示了关键变量的边际分布与联合分布特征。图4(a)</w:t>
      </w:r>
      <w:r>
        <w:t xml:space="preserve"> </w:t>
      </w:r>
      <w:r>
        <w:rPr>
          <w:rFonts w:hint="eastAsia"/>
        </w:rPr>
        <w:t xml:space="preserve">表明冷负荷分布呈明显右偏与长尾特性，说明高负荷样本占比虽低但持续存在。图4(b)</w:t>
      </w:r>
      <w:r>
        <w:t xml:space="preserve"> </w:t>
      </w:r>
      <w:r>
        <w:rPr>
          <w:rFonts w:hint="eastAsia"/>
        </w:rPr>
        <w:t xml:space="preserve">表明湿球温度主要集中于相对狭窄区间，刻画了外生气象扰动的有效波动边界。图4(c)</w:t>
      </w:r>
      <w:r>
        <w:t xml:space="preserve"> </w:t>
      </w:r>
      <w:r>
        <w:rPr>
          <w:rFonts w:hint="eastAsia"/>
        </w:rPr>
        <w:t xml:space="preserve">的联合密度结果显示，</w:t>
      </w:r>
      <m:oMath>
        <m:sSub>
          <m:e>
            <m:r>
              <m:t>T</m:t>
            </m:r>
          </m:e>
          <m:sub>
            <m:r>
              <m:t>w</m:t>
            </m:r>
            <m:r>
              <m:t>b</m:t>
            </m:r>
          </m:sub>
        </m:sSub>
      </m:oMath>
      <w:r>
        <w:t xml:space="preserve"> </w:t>
      </w:r>
      <w:r>
        <w:rPr>
          <w:rFonts w:hint="eastAsia"/>
        </w:rPr>
        <w:t xml:space="preserve">与</w:t>
      </w:r>
      <w:r>
        <w:t xml:space="preserve"> </w:t>
      </w:r>
      <m:oMath>
        <m:sSub>
          <m:e>
            <m:r>
              <m:t>Q</m:t>
            </m:r>
          </m:e>
          <m:sub>
            <m:r>
              <m:t>l</m:t>
            </m:r>
            <m:r>
              <m:t>o</m:t>
            </m:r>
            <m:r>
              <m:t>a</m:t>
            </m:r>
            <m:r>
              <m:t>d</m:t>
            </m:r>
          </m:sub>
        </m:sSub>
      </m:oMath>
      <w:r>
        <w:t xml:space="preserve"> </w:t>
      </w:r>
      <w:r>
        <w:rPr>
          <w:rFonts w:hint="eastAsia"/>
        </w:rPr>
        <w:t xml:space="preserve">的关系并非单一线性带状结构，而是在不同温度区间呈现异质性密度聚集。综合图3与图4可知，该数据集同时具备显著时序周期性与非线性联合分布特征，可为门控机制中的联合特征建模与动态判别提供数据依据。</w:t>
      </w:r>
    </w:p>
    <w:p>
      <w:pPr>
        <w:pStyle w:val="CaptionedFigure"/>
      </w:pPr>
      <w:r>
        <w:drawing>
          <wp:inline>
            <wp:extent cx="5334000" cy="3426797"/>
            <wp:effectExtent b="0" l="0" r="0" t="0"/>
            <wp:docPr descr="图3 数据集时序特征可视化（全时段序列与日内统计轮廓）" title="" id="21" name="Picture"/>
            <a:graphic>
              <a:graphicData uri="http://schemas.openxmlformats.org/drawingml/2006/picture">
                <pic:pic>
                  <pic:nvPicPr>
                    <pic:cNvPr descr="../pics/fig4_dataset_temporal_characteristics.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数据集时序特征可视化（全时段序列与日内统计轮廓）</w:t>
      </w:r>
    </w:p>
    <w:p>
      <w:pPr>
        <w:pStyle w:val="CaptionedFigure"/>
      </w:pPr>
      <w:r>
        <w:drawing>
          <wp:inline>
            <wp:extent cx="5334000" cy="1530032"/>
            <wp:effectExtent b="0" l="0" r="0" t="0"/>
            <wp:docPr descr="图4 数据集分布与特征依赖关系可视化" title="" id="24" name="Picture"/>
            <a:graphic>
              <a:graphicData uri="http://schemas.openxmlformats.org/drawingml/2006/picture">
                <pic:pic>
                  <pic:nvPicPr>
                    <pic:cNvPr descr="../pics/fig5_dataset_distribution_and_correl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数据集分布与特征依赖关系可视化</w:t>
      </w:r>
    </w:p>
    <w:p>
      <w:pPr>
        <w:pStyle w:val="BodyText"/>
      </w:pPr>
      <w:r>
        <w:rPr>
          <w:rFonts w:hint="eastAsia"/>
        </w:rPr>
        <w:t xml:space="preserve">在预处理阶段，针对原始仿真序列中出现的少量非物理负值（共</w:t>
      </w:r>
      <w:r>
        <w:t xml:space="preserve"> 8 </w:t>
      </w:r>
      <w:r>
        <w:rPr>
          <w:rFonts w:hint="eastAsia"/>
        </w:rPr>
        <w:t xml:space="preserve">处），本文采用零值截断进行修正。为增强状态表征的前瞻性，进一步引入由</w:t>
      </w:r>
      <w:r>
        <w:t xml:space="preserve"> LSTM </w:t>
      </w:r>
      <w:r>
        <w:rPr>
          <w:rFonts w:hint="eastAsia"/>
        </w:rPr>
        <w:t xml:space="preserve">模型生成的下一时刻负荷预测值</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作为增广特征，从而构建同时包含当前运行状态与短时演化趋势的输入表示。</w:t>
      </w:r>
    </w:p>
    <w:p>
      <w:pPr>
        <w:pStyle w:val="BodyText"/>
      </w:pPr>
      <w:r>
        <w:rPr>
          <w:rFonts w:hint="eastAsia"/>
        </w:rPr>
        <w:t xml:space="preserve">为避免时间信息泄漏并贴合实际部署场景，本文采用严格的时间顺序划分（Chronological</w:t>
      </w:r>
      <w:r>
        <w:t xml:space="preserve"> </w:t>
      </w:r>
      <w:r>
        <w:rPr>
          <w:rFonts w:hint="eastAsia"/>
        </w:rPr>
        <w:t xml:space="preserve">Split）策略，将数据集按时间先后划分为训练集、验证集与测试集，比例设定为</w:t>
      </w:r>
      <w:r>
        <w:t xml:space="preserve"> 70:15:15。</w:t>
      </w:r>
    </w:p>
    <w:bookmarkEnd w:id="26"/>
    <w:bookmarkEnd w:id="27"/>
    <w:bookmarkStart w:id="51" w:name="实验及结果"/>
    <w:p>
      <w:pPr>
        <w:pStyle w:val="Heading1"/>
      </w:pPr>
      <w:r>
        <w:t xml:space="preserve">5. </w:t>
      </w:r>
      <w:r>
        <w:rPr>
          <w:rFonts w:hint="eastAsia"/>
        </w:rPr>
        <w:t xml:space="preserve">实验及结果</w:t>
      </w:r>
    </w:p>
    <w:bookmarkStart w:id="31" w:name="实验设置-experimental-setup"/>
    <w:p>
      <w:pPr>
        <w:pStyle w:val="Heading2"/>
      </w:pPr>
      <w:r>
        <w:t xml:space="preserve">5.1 </w:t>
      </w:r>
      <w:r>
        <w:rPr>
          <w:rFonts w:hint="eastAsia"/>
        </w:rPr>
        <w:t xml:space="preserve">实验设置</w:t>
      </w:r>
      <w:r>
        <w:t xml:space="preserve"> (Experimental Setup)</w:t>
      </w:r>
    </w:p>
    <w:p>
      <w:pPr>
        <w:pStyle w:val="FirstParagraph"/>
      </w:pPr>
      <w:r>
        <w:rPr>
          <w:rFonts w:hint="eastAsia"/>
        </w:rPr>
        <w:t xml:space="preserve">（1）实验配置与超参数设置</w:t>
      </w:r>
    </w:p>
    <w:p>
      <w:pPr>
        <w:pStyle w:val="BodyText"/>
      </w:pPr>
      <w:r>
        <w:rPr>
          <w:rFonts w:hint="eastAsia"/>
        </w:rPr>
        <w:t xml:space="preserve">本节给出实验中采用的核心超参数设置。为保证实验可复现性，表</w:t>
      </w:r>
      <w:r>
        <w:t xml:space="preserve"> 5-1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分钟。所有超参数均通过贝叶斯优化算法确定，并在验证集上完成性能筛选后固定用于后续实验。</w:t>
      </w:r>
    </w:p>
    <w:p>
      <w:pPr>
        <w:pStyle w:val="Compact"/>
        <w:numPr>
          <w:ilvl w:val="0"/>
          <w:numId w:val="1002"/>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2"/>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p>
      <w:pPr>
        <w:pStyle w:val="FirstParagraph"/>
      </w:pPr>
      <w:r>
        <w:rPr>
          <w:rFonts w:hint="eastAsia"/>
        </w:rPr>
        <w:t xml:space="preserve">表</w:t>
      </w:r>
      <w:r>
        <w:t xml:space="preserve"> 5-1 </w:t>
      </w:r>
      <w:r>
        <w:rPr>
          <w:rFonts w:hint="eastAsia"/>
        </w:rPr>
        <w:t xml:space="preserve">关键超参数设置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Global update rate</w:t>
            </w:r>
          </w:p>
        </w:tc>
        <w:tc>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p>
            <w:pPr>
              <w:pStyle w:val="Compact"/>
            </w:pPr>
            <m:oMath>
              <m:r>
                <m:t>0.0625</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135</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0.595659</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700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0.310449</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0.675</m:t>
              </m:r>
            </m:oMath>
          </w:p>
        </w:tc>
      </w:tr>
      <w:tr>
        <w:tc>
          <w:tcPr/>
          <w:p>
            <w:pPr>
              <w:pStyle w:val="Compact"/>
            </w:pPr>
          </w:p>
        </w:tc>
        <w:tc>
          <w:tcPr/>
          <w:p>
            <w:pPr>
              <w:pStyle w:val="Compact"/>
            </w:pPr>
            <w:r>
              <w:t xml:space="preserve">Threshold bias correction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0.043058</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0.667542</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1.135275</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0.575</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0.021760</m:t>
              </m:r>
            </m:oMath>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70</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0.55</m:t>
              </m:r>
              <m:r>
                <m:rPr>
                  <m:sty m:val="p"/>
                </m:rPr>
                <m:t>,</m:t>
              </m:r>
              <m:r>
                <m:t>0.275</m:t>
              </m:r>
              <m:r>
                <m:rPr>
                  <m:sty m:val="p"/>
                </m:rPr>
                <m:t>,</m:t>
              </m:r>
              <m:r>
                <m:t>0.175</m:t>
              </m:r>
              <m:r>
                <m:rPr>
                  <m:sty m:val="p"/>
                </m:rPr>
                <m:t>]</m:t>
              </m:r>
            </m:oMath>
          </w:p>
        </w:tc>
      </w:tr>
    </w:tbl>
    <w:p>
      <w:pPr>
        <w:pStyle w:val="BodyText"/>
      </w:pPr>
      <w:r>
        <w:rPr>
          <w:rFonts w:hint="eastAsia"/>
        </w:rPr>
        <w:t xml:space="preserve">（2）评价指标体系</w:t>
      </w:r>
      <w:r>
        <w:t xml:space="preserve"> (Evaluation Metrics)</w:t>
      </w:r>
    </w:p>
    <w:p>
      <w:pPr>
        <w:pStyle w:val="BodyText"/>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03"/>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04"/>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04"/>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)：用于量化任一待评估方法相较统一比较基线的节能效果：</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numPr>
          <w:ilvl w:val="1"/>
          <w:numId w:val="1004"/>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03"/>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本研究采用冷冻水供水温度（代码记录字段</w:t>
      </w:r>
      <w:r>
        <w:t xml:space="preserve"> </w:t>
      </w:r>
      <w:r>
        <w:rPr>
          <w:rStyle w:val="VerbatimChar"/>
        </w:rPr>
        <w:t xml:space="preserve">chiller_supply_temp</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05"/>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05"/>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03"/>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06"/>
        </w:numPr>
      </w:pPr>
      <w:r>
        <w:rPr>
          <w:rFonts w:hint="eastAsia"/>
        </w:rPr>
        <w:t xml:space="preserve">动作更新总次数</w:t>
      </w:r>
      <w:r>
        <w:t xml:space="preserve"> (Total Action Updates,</w:t>
      </w:r>
      <w:r>
        <w:t xml:space="preserve"> </w:t>
      </w:r>
      <m:oMath>
        <m:sSub>
          <m:e>
            <m:r>
              <m:t>N</m:t>
            </m:r>
          </m:e>
          <m:sub>
            <m:r>
              <m:rPr>
                <m:nor/>
                <m:sty m:val="p"/>
              </m:rPr>
              <m:t>update</m:t>
            </m:r>
          </m:sub>
        </m:sSub>
      </m:oMath>
      <w:r>
        <w:rPr>
          <w:rFonts w:hint="eastAsia"/>
        </w:rPr>
        <w:t xml:space="preserve">)：用于统计测试周期内控制动作实际发生更新的总次数：</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numPr>
          <w:ilvl w:val="1"/>
          <w:numId w:val="1000"/>
        </w:numPr>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numPr>
          <w:ilvl w:val="1"/>
          <w:numId w:val="1006"/>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06"/>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numPr>
          <w:ilvl w:val="1"/>
          <w:numId w:val="1006"/>
        </w:numPr>
      </w:pPr>
      <w:r>
        <w:rPr>
          <w:rFonts w:hint="eastAsia"/>
        </w:rPr>
        <w:t xml:space="preserve">动作减少率</w:t>
      </w:r>
      <w:r>
        <w:t xml:space="preserve"> (Action Reduction Rate, </w:t>
      </w:r>
      <w:r>
        <w:rPr>
          <w:rFonts w:hint="eastAsia"/>
        </w:rPr>
        <w:t xml:space="preserve">ARR)：用于表征待评估策略相对固定步长策略减少的动作更新比例：</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numPr>
          <w:ilvl w:val="1"/>
          <w:numId w:val="1000"/>
        </w:numPr>
      </w:pPr>
      <w:r>
        <w:t xml:space="preserve">ARR </w:t>
      </w:r>
      <w:r>
        <w:rPr>
          <w:rFonts w:hint="eastAsia"/>
        </w:rPr>
        <w:t xml:space="preserve">值越大，表示动作更新压缩越充分，工程可解释性更直观。</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07"/>
        </w:numPr>
      </w:pPr>
      <w:r>
        <w:rPr>
          <w:rFonts w:hint="eastAsia"/>
        </w:rPr>
        <w:t xml:space="preserve">总奖励</w:t>
      </w:r>
      <w:r>
        <w:t xml:space="preserve"> (Cumulative Test Reward,</w:t>
      </w:r>
      <w:r>
        <w:t xml:space="preserve"> </w:t>
      </w:r>
      <m:oMath>
        <m:sSub>
          <m:e>
            <m:r>
              <m:t>R</m:t>
            </m:r>
          </m:e>
          <m:sub>
            <m:r>
              <m:rPr>
                <m:nor/>
                <m:sty m:val="p"/>
              </m:rPr>
              <m:t>test</m:t>
            </m:r>
          </m:sub>
        </m:sSub>
      </m:oMath>
      <w:r>
        <w:rPr>
          <w:rFonts w:hint="eastAsia"/>
        </w:rPr>
        <w:t xml:space="preserve">)：</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该指标用于衡量测试周期内策略的总体控制收益。</w:t>
      </w:r>
    </w:p>
    <w:p>
      <w:pPr>
        <w:numPr>
          <w:ilvl w:val="1"/>
          <w:numId w:val="1007"/>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pStyle w:val="FirstParagraph"/>
      </w:pPr>
      <w:r>
        <w:rPr>
          <w:rFonts w:hint="eastAsia"/>
        </w:rPr>
        <w:t xml:space="preserve">评价指标体系与优化方向见附录表</w:t>
      </w:r>
      <w:r>
        <w:t xml:space="preserve"> A。</w:t>
      </w:r>
    </w:p>
    <w:p>
      <w:pPr>
        <w:pStyle w:val="BodyText"/>
      </w:pPr>
      <w:r>
        <w:rPr>
          <w:rFonts w:hint="eastAsia"/>
        </w:rPr>
        <w:t xml:space="preserve">（3）基线策略训练稳定性与模型选择</w:t>
      </w:r>
    </w:p>
    <w:p>
      <w:pPr>
        <w:pStyle w:val="BodyText"/>
      </w:pPr>
      <w:r>
        <w:rPr>
          <w:rFonts w:hint="eastAsia"/>
        </w:rPr>
        <w:t xml:space="preserve">为保证后续多策略测试对比的可解释性，本文对时间触发强化学习基线（Time-Triggered</w:t>
      </w:r>
      <w:r>
        <w:t xml:space="preserve"> Reinforcement Learning Baseline, </w:t>
      </w:r>
      <w:r>
        <w:rPr>
          <w:rFonts w:hint="eastAsia"/>
        </w:rPr>
        <w:t xml:space="preserve">TTC-RL）的训练稳定性进行独立验证。训练阶段采用固定步长</w:t>
      </w:r>
      <w:r>
        <w:t xml:space="preserve"> </w:t>
      </w:r>
      <w:r>
        <w:rPr>
          <w:rFonts w:hint="eastAsia"/>
        </w:rPr>
        <w:t xml:space="preserve">1（即</w:t>
      </w:r>
      <w:r>
        <w:t xml:space="preserve"> </w:t>
      </w:r>
      <w:r>
        <w:rPr>
          <w:rFonts w:hint="eastAsia"/>
        </w:rPr>
        <w:t xml:space="preserve">TTC-RL-1）进行</w:t>
      </w:r>
      <w:r>
        <w:t xml:space="preserve"> 80 </w:t>
      </w:r>
      <w:r>
        <w:rPr>
          <w:rFonts w:hint="eastAsia"/>
        </w:rPr>
        <w:t xml:space="preserve">个回合（Episode）交互，并在每个回合结束后于验证集执行贪婪评估。模型选择遵循验证集累计奖励最大准则。结果显示，验证集奖励在训练前期快速上升后进入平台区，并于</w:t>
      </w:r>
      <w:r>
        <w:t xml:space="preserve"> Episode 71 </w:t>
      </w:r>
      <w:r>
        <w:rPr>
          <w:rFonts w:hint="eastAsia"/>
        </w:rPr>
        <w:t xml:space="preserve">达到峰值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；后续回合虽存在小幅波动，但未出现持续下降趋势。基于该验证结果，本文选取</w:t>
      </w:r>
      <w:r>
        <w:t xml:space="preserve"> Episode 71 </w:t>
      </w:r>
      <w:r>
        <w:rPr>
          <w:rFonts w:hint="eastAsia"/>
        </w:rPr>
        <w:t xml:space="preserve">对应参数作为测试阶段的统一训练参照。需要说明的是，除</w:t>
      </w:r>
      <w:r>
        <w:t xml:space="preserve"> RBC、PID </w:t>
      </w:r>
      <w:r>
        <w:rPr>
          <w:rFonts w:hint="eastAsia"/>
        </w:rPr>
        <w:t xml:space="preserve">外，其余方法均基于该</w:t>
      </w:r>
      <w:r>
        <w:t xml:space="preserve"> TTC-RL </w:t>
      </w:r>
      <w:r>
        <w:rPr>
          <w:rFonts w:hint="eastAsia"/>
        </w:rPr>
        <w:t xml:space="preserve">训练模型，仅在动作更新时间调度与触发机制上存在差异。</w:t>
      </w:r>
    </w:p>
    <w:p>
      <w:pPr>
        <w:pStyle w:val="CaptionedFigure"/>
      </w:pPr>
      <w:r>
        <w:drawing>
          <wp:inline>
            <wp:extent cx="2695575" cy="1971675"/>
            <wp:effectExtent b="0" l="0" r="0" t="0"/>
            <wp:docPr descr="图5 TTC-RL 基线训练奖励曲线" title="" id="29" name="Picture"/>
            <a:graphic>
              <a:graphicData uri="http://schemas.openxmlformats.org/drawingml/2006/picture">
                <pic:pic>
                  <pic:nvPicPr>
                    <pic:cNvPr descr="../pics/fig6_ttc_rl_training_curve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2695575" cy="1971675"/>
                    </a:xfrm>
                    <a:prstGeom prst="rect">
                      <a:avLst/>
                    </a:prstGeom>
                    <a:noFill/>
                    <a:ln w="9525">
                      <a:noFill/>
                      <a:headEnd/>
                      <a:tailEnd/>
                    </a:ln>
                  </pic:spPr>
                </pic:pic>
              </a:graphicData>
            </a:graphic>
          </wp:inline>
        </w:drawing>
      </w:r>
    </w:p>
    <w:p>
      <w:pPr>
        <w:pStyle w:val="ImageCaption"/>
      </w:pPr>
      <w:r>
        <w:rPr>
          <w:rFonts w:hint="eastAsia"/>
        </w:rPr>
        <w:t xml:space="preserve">图5</w:t>
      </w:r>
      <w:r>
        <w:t xml:space="preserve"> TTC-RL </w:t>
      </w:r>
      <w:r>
        <w:rPr>
          <w:rFonts w:hint="eastAsia"/>
        </w:rPr>
        <w:t xml:space="preserve">基线训练奖励曲线</w:t>
      </w:r>
    </w:p>
    <w:p>
      <w:pPr>
        <w:pStyle w:val="BodyText"/>
      </w:pPr>
      <w:r>
        <w:rPr>
          <w:rFonts w:hint="eastAsia"/>
        </w:rPr>
        <w:t xml:space="preserve">图5</w:t>
      </w:r>
      <w:r>
        <w:t xml:space="preserve"> TTC-RL </w:t>
      </w:r>
      <w:r>
        <w:rPr>
          <w:rFonts w:hint="eastAsia"/>
        </w:rPr>
        <w:t xml:space="preserve">基线训练奖励曲线</w:t>
      </w:r>
    </w:p>
    <w:bookmarkEnd w:id="31"/>
    <w:bookmarkStart w:id="50" w:name="实验结果分析"/>
    <w:p>
      <w:pPr>
        <w:pStyle w:val="Heading2"/>
      </w:pPr>
      <w:r>
        <w:t xml:space="preserve">5.2 </w:t>
      </w:r>
      <w:r>
        <w:rPr>
          <w:rFonts w:hint="eastAsia"/>
        </w:rPr>
        <w:t xml:space="preserve">实验结果分析</w:t>
      </w:r>
    </w:p>
    <w:p>
      <w:pPr>
        <w:pStyle w:val="FirstParagraph"/>
      </w:pPr>
      <w:r>
        <w:rPr>
          <w:rFonts w:hint="eastAsia"/>
        </w:rPr>
        <w:t xml:space="preserve">（1）整体性能分析</w:t>
      </w:r>
    </w:p>
    <w:p>
      <w:pPr>
        <w:pStyle w:val="BodyText"/>
      </w:pPr>
      <w:r>
        <w:rPr>
          <w:rFonts w:hint="eastAsia"/>
        </w:rPr>
        <w:t xml:space="preserve">本文在统一测试集与评估协议下比较六类策略，以分析控制稀疏性与能效之间的关系。各策略设置如下：PID</w:t>
      </w:r>
      <w:r>
        <w:t xml:space="preserve"> </w:t>
      </w:r>
      <w:r>
        <w:rPr>
          <w:rFonts w:hint="eastAsia"/>
        </w:rPr>
        <w:t xml:space="preserve">为基于供水温度误差闭环的离散控制，RBC</w:t>
      </w:r>
      <w:r>
        <w:t xml:space="preserve"> </w:t>
      </w:r>
      <w:r>
        <w:rPr>
          <w:rFonts w:hint="eastAsia"/>
        </w:rPr>
        <w:t xml:space="preserve">为固定供水设定值规则控制，TTC-RL-1</w:t>
      </w:r>
      <w:r>
        <w:t xml:space="preserve"> </w:t>
      </w:r>
      <w:r>
        <w:rPr>
          <w:rFonts w:hint="eastAsia"/>
        </w:rPr>
        <w:t xml:space="preserve">为每步更新，TTC-RL-2</w:t>
      </w:r>
      <w:r>
        <w:t xml:space="preserve"> </w:t>
      </w:r>
      <w:r>
        <w:rPr>
          <w:rFonts w:hint="eastAsia"/>
        </w:rPr>
        <w:t xml:space="preserve">为隔步更新，ST-ETC</w:t>
      </w:r>
      <w:r>
        <w:t xml:space="preserve"> </w:t>
      </w:r>
      <w:r>
        <w:rPr>
          <w:rFonts w:hint="eastAsia"/>
        </w:rPr>
        <w:t xml:space="preserve">为静态阈值事件触发更新，ET-PRL</w:t>
      </w:r>
      <w:r>
        <w:t xml:space="preserve"> </w:t>
      </w:r>
      <w:r>
        <w:rPr>
          <w:rFonts w:hint="eastAsia"/>
        </w:rPr>
        <w:t xml:space="preserve">为动态事件触发更新。综合对比结果见表</w:t>
      </w:r>
      <w:r>
        <w:t xml:space="preserve"> 5-3。</w:t>
      </w:r>
    </w:p>
    <w:p>
      <w:pPr>
        <w:pStyle w:val="BodyText"/>
      </w:pPr>
      <w:r>
        <w:rPr>
          <w:rFonts w:hint="eastAsia"/>
        </w:rPr>
        <w:t xml:space="preserve">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ARR。考虑表格信息密度，表</w:t>
      </w:r>
      <w:r>
        <w:t xml:space="preserve"> 5-3 </w:t>
      </w:r>
      <w:r>
        <w:rPr>
          <w:rFonts w:hint="eastAsia"/>
        </w:rPr>
        <w:t xml:space="preserve">在控制稀疏性维度仅保留动作更新总次数</w:t>
      </w:r>
      <w:r>
        <w:t xml:space="preserve"> </w:t>
      </w:r>
      <m:oMath>
        <m:sSub>
          <m:e>
            <m:r>
              <m:t>N</m:t>
            </m:r>
          </m:e>
          <m:sub>
            <m:r>
              <m:rPr>
                <m:nor/>
                <m:sty m:val="p"/>
              </m:rPr>
              <m:t>update</m:t>
            </m:r>
          </m:sub>
        </m:sSub>
      </m:oMath>
      <w:r>
        <w:t xml:space="preserve"> </w:t>
      </w:r>
      <w:r>
        <w:rPr>
          <w:rFonts w:hint="eastAsia"/>
        </w:rPr>
        <w:t xml:space="preserve">与动作减少率</w:t>
      </w:r>
      <w:r>
        <w:t xml:space="preserve"> </w:t>
      </w:r>
      <w:r>
        <w:rPr>
          <w:rFonts w:hint="eastAsia"/>
        </w:rPr>
        <w:t xml:space="preserve">ARR，</w:t>
      </w:r>
      <m:oMath>
        <m:sSub>
          <m:e>
            <m:r>
              <m:t>N</m:t>
            </m:r>
          </m:e>
          <m:sub>
            <m:r>
              <m:rPr>
                <m:nor/>
                <m:sty m:val="p"/>
              </m:rPr>
              <m:t>daily</m:t>
            </m:r>
          </m:sub>
        </m:sSub>
      </m:oMath>
      <w:r>
        <w:t xml:space="preserve"> </w:t>
      </w:r>
      <w:r>
        <w:rPr>
          <w:rFonts w:hint="eastAsia"/>
        </w:rPr>
        <w:t xml:space="preserve">与</w:t>
      </w:r>
      <w:r>
        <w:t xml:space="preserve"> ACR </w:t>
      </w:r>
      <w:r>
        <w:rPr>
          <w:rFonts w:hint="eastAsia"/>
        </w:rPr>
        <w:t xml:space="preserve">在正文中补充说明。由于</w:t>
      </w:r>
      <w:r>
        <w:t xml:space="preserve"> PID </w:t>
      </w:r>
      <w:r>
        <w:rPr>
          <w:rFonts w:hint="eastAsia"/>
        </w:rPr>
        <w:t xml:space="preserve">的优化目标为设定值跟踪而非最大化强化学习复合奖励，且其奖励定义与强化学习策略不一致，因此仅报告能耗、功率、动作频次与平滑度等可比指标。</w:t>
      </w:r>
    </w:p>
    <w:p>
      <w:pPr>
        <w:pStyle w:val="BodyText"/>
      </w:pPr>
      <w:r>
        <w:rPr>
          <w:rFonts w:hint="eastAsia"/>
        </w:rPr>
        <w:t xml:space="preserve">表</w:t>
      </w:r>
      <w:r>
        <w:t xml:space="preserve"> 5-3 </w:t>
      </w:r>
      <w:r>
        <w:rPr>
          <w:rFonts w:hint="eastAsia"/>
        </w:rPr>
        <w:t xml:space="preserve">多控制策略综合对比结果</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b/>
                <w:bCs/>
              </w:rPr>
              <w:t xml:space="preserve">策略</w:t>
            </w:r>
          </w:p>
        </w:tc>
        <w:tc>
          <w:tcPr/>
          <w:p>
            <w:pPr>
              <w:pStyle w:val="Compact"/>
            </w:pPr>
            <w:r>
              <w:rPr>
                <w:rFonts w:hint="eastAsia"/>
                <w:b/>
                <w:bCs/>
              </w:rPr>
              <w:t xml:space="preserve">日均能耗</w:t>
            </w:r>
            <w:r>
              <w:rPr>
                <w:b/>
                <w:bCs/>
              </w:rPr>
              <w:t xml:space="preserve"> </w:t>
            </w:r>
            <m:oMath>
              <m:sSub>
                <m:e>
                  <m:r>
                    <m:t>E</m:t>
                  </m:r>
                </m:e>
                <m:sub>
                  <m:r>
                    <m:t>d</m:t>
                  </m:r>
                  <m:r>
                    <m:t>a</m:t>
                  </m:r>
                  <m:r>
                    <m:t>i</m:t>
                  </m:r>
                  <m:r>
                    <m:t>l</m:t>
                  </m:r>
                  <m:r>
                    <m:t>y</m:t>
                  </m:r>
                </m:sub>
              </m:sSub>
            </m:oMath>
            <w:r>
              <w:rPr>
                <w:b/>
                <w:bCs/>
              </w:rPr>
              <w:t xml:space="preserve"> </w:t>
            </w:r>
            <w:r>
              <w:rPr>
                <w:b/>
                <w:bCs/>
              </w:rPr>
              <w:t xml:space="preserve">(kWh/day)</w:t>
            </w:r>
          </w:p>
        </w:tc>
        <w:tc>
          <w:tcPr/>
          <w:p>
            <w:pPr>
              <w:pStyle w:val="Compact"/>
            </w:pPr>
            <w:r>
              <w:rPr>
                <w:rFonts w:hint="eastAsia"/>
                <w:b/>
                <w:bCs/>
              </w:rPr>
              <w:t xml:space="preserve">相对节能率</w:t>
            </w:r>
            <w:r>
              <w:rPr>
                <w:b/>
                <w:bCs/>
              </w:rPr>
              <w:t xml:space="preserve"> </w:t>
            </w:r>
            <m:oMath>
              <m:sSub>
                <m:e>
                  <m:r>
                    <m:t>η</m:t>
                  </m:r>
                </m:e>
                <m:sub>
                  <m:r>
                    <m:t>s</m:t>
                  </m:r>
                  <m:r>
                    <m:t>a</m:t>
                  </m:r>
                  <m:r>
                    <m:t>v</m:t>
                  </m:r>
                  <m:r>
                    <m:t>i</m:t>
                  </m:r>
                  <m:r>
                    <m:t>n</m:t>
                  </m:r>
                  <m:r>
                    <m:t>g</m:t>
                  </m:r>
                </m:sub>
              </m:sSub>
            </m:oMath>
            <w:r>
              <w:rPr>
                <w:b/>
                <w:bCs/>
              </w:rPr>
              <w:t xml:space="preserve"> </w:t>
            </w:r>
            <w:r>
              <w:rPr>
                <w:b/>
                <w:bCs/>
              </w:rPr>
              <w:t xml:space="preserve">(%)</w:t>
            </w:r>
          </w:p>
        </w:tc>
        <w:tc>
          <w:tcPr/>
          <w:p>
            <w:pPr>
              <w:pStyle w:val="Compact"/>
            </w:pPr>
            <w:r>
              <w:rPr>
                <w:rFonts w:hint="eastAsia"/>
                <w:b/>
                <w:bCs/>
              </w:rPr>
              <w:t xml:space="preserve">平均功率</w:t>
            </w:r>
            <w:r>
              <w:rPr>
                <w:b/>
                <w:bCs/>
              </w:rPr>
              <w:t xml:space="preserve"> </w:t>
            </w:r>
            <m:oMath>
              <m:sSub>
                <m:e>
                  <m:acc>
                    <m:accPr>
                      <m:chr m:val="‾"/>
                    </m:accPr>
                    <m:e>
                      <m:r>
                        <m:t>P</m:t>
                      </m:r>
                    </m:e>
                  </m:acc>
                </m:e>
                <m:sub>
                  <m:r>
                    <m:t>c</m:t>
                  </m:r>
                  <m:r>
                    <m:t>h</m:t>
                  </m:r>
                  <m:r>
                    <m:t>i</m:t>
                  </m:r>
                  <m:r>
                    <m:t>l</m:t>
                  </m:r>
                  <m:r>
                    <m:t>l</m:t>
                  </m:r>
                  <m:r>
                    <m:t>e</m:t>
                  </m:r>
                  <m:r>
                    <m:t>r</m:t>
                  </m:r>
                </m:sub>
              </m:sSub>
            </m:oMath>
            <w:r>
              <w:rPr>
                <w:b/>
                <w:bCs/>
              </w:rPr>
              <w:t xml:space="preserve"> </w:t>
            </w:r>
            <w:r>
              <w:rPr>
                <w:b/>
                <w:bCs/>
              </w:rPr>
              <w:t xml:space="preserve">(kW)</w:t>
            </w:r>
          </w:p>
        </w:tc>
        <w:tc>
          <w:tcPr/>
          <w:p>
            <w:pPr>
              <w:pStyle w:val="Compact"/>
            </w:pPr>
            <w:r>
              <w:rPr>
                <w:rFonts w:hint="eastAsia"/>
                <w:b/>
                <w:bCs/>
              </w:rPr>
              <w:t xml:space="preserve">动作更新总次数</w:t>
            </w:r>
            <w:r>
              <w:rPr>
                <w:b/>
                <w:bCs/>
              </w:rPr>
              <w:t xml:space="preserve"> </w:t>
            </w:r>
            <m:oMath>
              <m:sSub>
                <m:e>
                  <m:r>
                    <m:t>N</m:t>
                  </m:r>
                </m:e>
                <m:sub>
                  <m:r>
                    <m:t>u</m:t>
                  </m:r>
                  <m:r>
                    <m:t>p</m:t>
                  </m:r>
                  <m:r>
                    <m:t>d</m:t>
                  </m:r>
                  <m:r>
                    <m:t>a</m:t>
                  </m:r>
                  <m:r>
                    <m:t>t</m:t>
                  </m:r>
                  <m:r>
                    <m:t>e</m:t>
                  </m:r>
                </m:sub>
              </m:sSub>
            </m:oMath>
          </w:p>
        </w:tc>
        <w:tc>
          <w:tcPr/>
          <w:p>
            <w:pPr>
              <w:pStyle w:val="Compact"/>
            </w:pPr>
            <w:r>
              <w:rPr>
                <w:rFonts w:hint="eastAsia"/>
                <w:b/>
                <w:bCs/>
              </w:rPr>
              <w:t xml:space="preserve">动作减少率</w:t>
            </w:r>
            <w:r>
              <w:rPr>
                <w:b/>
                <w:bCs/>
              </w:rPr>
              <w:t xml:space="preserve"> ARR (%)</w:t>
            </w:r>
          </w:p>
        </w:tc>
        <w:tc>
          <w:tcPr/>
          <w:p>
            <w:pPr>
              <w:pStyle w:val="Compact"/>
            </w:pPr>
            <w:r>
              <w:rPr>
                <w:rFonts w:hint="eastAsia"/>
                <w:b/>
                <w:bCs/>
              </w:rPr>
              <w:t xml:space="preserve">动作平滑度</w:t>
            </w:r>
            <w:r>
              <w:rPr>
                <w:b/>
                <w:bCs/>
              </w:rPr>
              <w:t xml:space="preserve"> </w:t>
            </w:r>
            <m:oMath>
              <m:sSub>
                <m:e>
                  <m:r>
                    <m:t>σ</m:t>
                  </m:r>
                </m:e>
                <m:sub>
                  <m:r>
                    <m:rPr>
                      <m:sty m:val="p"/>
                    </m:rPr>
                    <m:t>Δ</m:t>
                  </m:r>
                  <m:r>
                    <m:t>a</m:t>
                  </m:r>
                </m:sub>
              </m:sSub>
            </m:oMath>
          </w:p>
        </w:tc>
        <w:tc>
          <w:tcPr/>
          <w:p>
            <w:pPr>
              <w:pStyle w:val="Compact"/>
            </w:pPr>
            <w:r>
              <w:rPr>
                <w:rFonts w:hint="eastAsia"/>
                <w:b/>
                <w:bCs/>
              </w:rPr>
              <w:t xml:space="preserve">总奖励</w:t>
            </w:r>
            <w:r>
              <w:rPr>
                <w:b/>
                <w:bCs/>
              </w:rPr>
              <w:t xml:space="preserve"> </w:t>
            </w:r>
            <m:oMath>
              <m:sSub>
                <m:e>
                  <m:r>
                    <m:t>R</m:t>
                  </m:r>
                </m:e>
                <m:sub>
                  <m:r>
                    <m:t>t</m:t>
                  </m:r>
                  <m:r>
                    <m:t>e</m:t>
                  </m:r>
                  <m:r>
                    <m:t>s</m:t>
                  </m:r>
                  <m:r>
                    <m:t>t</m:t>
                  </m:r>
                </m:sub>
              </m:sSub>
            </m:oMath>
          </w:p>
        </w:tc>
        <w:tc>
          <w:tcPr/>
          <w:p>
            <w:pPr>
              <w:pStyle w:val="Compact"/>
            </w:pPr>
            <w:r>
              <w:rPr>
                <w:rFonts w:hint="eastAsia"/>
                <w:b/>
                <w:bCs/>
              </w:rPr>
              <w:t xml:space="preserve">平均步奖励</w:t>
            </w:r>
            <w:r>
              <w:rPr>
                <w:b/>
                <w:bCs/>
              </w:rPr>
              <w:t xml:space="preserve"> </w:t>
            </w:r>
            <m:oMath>
              <m:sSub>
                <m:e>
                  <m:acc>
                    <m:accPr>
                      <m:chr m:val="‾"/>
                    </m:accPr>
                    <m:e>
                      <m:r>
                        <m:t>R</m:t>
                      </m:r>
                    </m:e>
                  </m:acc>
                </m:e>
                <m:sub>
                  <m:r>
                    <m:t>s</m:t>
                  </m:r>
                  <m:r>
                    <m:t>t</m:t>
                  </m:r>
                  <m:r>
                    <m:t>e</m:t>
                  </m:r>
                  <m:r>
                    <m:t>p</m:t>
                  </m:r>
                </m:sub>
              </m:sSub>
            </m:oMath>
          </w:p>
        </w:tc>
        <w:tc>
          <w:tcPr/>
          <w:p>
            <w:pPr>
              <w:pStyle w:val="Compact"/>
            </w:pPr>
            <w:r>
              <w:rPr>
                <w:b/>
                <w:bCs/>
              </w:rPr>
              <w:t xml:space="preserve">PPR (%)</w:t>
            </w:r>
          </w:p>
        </w:tc>
      </w:tr>
      <w:tr>
        <w:tc>
          <w:tcPr/>
          <w:p>
            <w:pPr>
              <w:pStyle w:val="Compact"/>
            </w:pPr>
            <w:r>
              <w:t xml:space="preserve">PID</w:t>
            </w:r>
          </w:p>
        </w:tc>
        <w:tc>
          <w:tcPr/>
          <w:p>
            <w:pPr>
              <w:pStyle w:val="Compact"/>
            </w:pPr>
            <w:r>
              <w:t xml:space="preserve">8486.90</w:t>
            </w:r>
          </w:p>
        </w:tc>
        <w:tc>
          <w:tcPr/>
          <w:p>
            <w:pPr>
              <w:pStyle w:val="Compact"/>
            </w:pPr>
            <w:r>
              <w:t xml:space="preserve">-13.29</w:t>
            </w:r>
          </w:p>
        </w:tc>
        <w:tc>
          <w:tcPr/>
          <w:p>
            <w:pPr>
              <w:pStyle w:val="Compact"/>
            </w:pPr>
            <w:r>
              <w:t xml:space="preserve">353.62</w:t>
            </w:r>
          </w:p>
        </w:tc>
        <w:tc>
          <w:tcPr/>
          <w:p>
            <w:pPr>
              <w:pStyle w:val="Compact"/>
            </w:pPr>
            <w:r>
              <w:t xml:space="preserve">-</w:t>
            </w:r>
          </w:p>
        </w:tc>
        <w:tc>
          <w:tcPr/>
          <w:p>
            <w:pPr>
              <w:pStyle w:val="Compact"/>
            </w:pPr>
            <w:r>
              <w:t xml:space="preserve">-</w:t>
            </w:r>
          </w:p>
        </w:tc>
        <w:tc>
          <w:tcPr/>
          <w:p>
            <w:pPr>
              <w:pStyle w:val="Compact"/>
            </w:pPr>
            <w:r>
              <w:t xml:space="preserve">0.1669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RBC</w:t>
            </w:r>
          </w:p>
        </w:tc>
        <w:tc>
          <w:tcPr/>
          <w:p>
            <w:pPr>
              <w:pStyle w:val="Compact"/>
            </w:pPr>
            <w:r>
              <w:t xml:space="preserve">8548.72</w:t>
            </w:r>
          </w:p>
        </w:tc>
        <w:tc>
          <w:tcPr/>
          <w:p>
            <w:pPr>
              <w:pStyle w:val="Compact"/>
            </w:pPr>
            <w:r>
              <w:t xml:space="preserve">-14.12</w:t>
            </w:r>
          </w:p>
        </w:tc>
        <w:tc>
          <w:tcPr/>
          <w:p>
            <w:pPr>
              <w:pStyle w:val="Compact"/>
            </w:pPr>
            <w:r>
              <w:t xml:space="preserve">356.20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TTC-RL-1</w:t>
            </w:r>
          </w:p>
        </w:tc>
        <w:tc>
          <w:tcPr/>
          <w:p>
            <w:pPr>
              <w:pStyle w:val="Compact"/>
            </w:pPr>
            <w:r>
              <w:t xml:space="preserve">7491.14</w:t>
            </w:r>
          </w:p>
        </w:tc>
        <w:tc>
          <w:tcPr/>
          <w:p>
            <w:pPr>
              <w:pStyle w:val="Compact"/>
            </w:pPr>
            <w:r>
              <w:t xml:space="preserve">-</w:t>
            </w:r>
          </w:p>
        </w:tc>
        <w:tc>
          <w:tcPr/>
          <w:p>
            <w:pPr>
              <w:pStyle w:val="Compact"/>
            </w:pPr>
            <w:r>
              <w:t xml:space="preserve">312.13</w:t>
            </w:r>
          </w:p>
        </w:tc>
        <w:tc>
          <w:tcPr/>
          <w:p>
            <w:pPr>
              <w:pStyle w:val="Compact"/>
            </w:pPr>
            <w:r>
              <w:t xml:space="preserve">4404</w:t>
            </w:r>
          </w:p>
        </w:tc>
        <w:tc>
          <w:tcPr/>
          <w:p>
            <w:pPr>
              <w:pStyle w:val="Compact"/>
            </w:pPr>
            <w:r>
              <w:t xml:space="preserve">-</w:t>
            </w:r>
          </w:p>
        </w:tc>
        <w:tc>
          <w:tcPr/>
          <w:p>
            <w:pPr>
              <w:pStyle w:val="Compact"/>
            </w:pPr>
            <w:r>
              <w:t xml:space="preserve">0.8101</w:t>
            </w:r>
          </w:p>
        </w:tc>
        <w:tc>
          <w:tcPr/>
          <w:p>
            <w:pPr>
              <w:pStyle w:val="Compact"/>
            </w:pPr>
            <w:r>
              <w:t xml:space="preserve">2054.63</w:t>
            </w:r>
          </w:p>
        </w:tc>
        <w:tc>
          <w:tcPr/>
          <w:p>
            <w:pPr>
              <w:pStyle w:val="Compact"/>
            </w:pPr>
            <w:r>
              <w:t xml:space="preserve">0.4665</w:t>
            </w:r>
          </w:p>
        </w:tc>
        <w:tc>
          <w:tcPr/>
          <w:p>
            <w:pPr>
              <w:pStyle w:val="Compact"/>
            </w:pPr>
            <w:r>
              <w:t xml:space="preserve">-</w:t>
            </w:r>
          </w:p>
        </w:tc>
      </w:tr>
      <w:tr>
        <w:tc>
          <w:tcPr/>
          <w:p>
            <w:pPr>
              <w:pStyle w:val="Compact"/>
            </w:pPr>
            <w:r>
              <w:t xml:space="preserve">TTC-RL-2</w:t>
            </w:r>
          </w:p>
        </w:tc>
        <w:tc>
          <w:tcPr/>
          <w:p>
            <w:pPr>
              <w:pStyle w:val="Compact"/>
            </w:pPr>
            <w:r>
              <w:t xml:space="preserve">7489.98</w:t>
            </w:r>
          </w:p>
        </w:tc>
        <w:tc>
          <w:tcPr/>
          <w:p>
            <w:pPr>
              <w:pStyle w:val="Compact"/>
            </w:pPr>
            <w:r>
              <w:t xml:space="preserve">0.02</w:t>
            </w:r>
          </w:p>
        </w:tc>
        <w:tc>
          <w:tcPr/>
          <w:p>
            <w:pPr>
              <w:pStyle w:val="Compact"/>
            </w:pPr>
            <w:r>
              <w:t xml:space="preserve">312.08</w:t>
            </w:r>
          </w:p>
        </w:tc>
        <w:tc>
          <w:tcPr/>
          <w:p>
            <w:pPr>
              <w:pStyle w:val="Compact"/>
            </w:pPr>
            <w:r>
              <w:t xml:space="preserve">2202</w:t>
            </w:r>
          </w:p>
        </w:tc>
        <w:tc>
          <w:tcPr/>
          <w:p>
            <w:pPr>
              <w:pStyle w:val="Compact"/>
            </w:pPr>
            <w:r>
              <w:t xml:space="preserve">50.00</w:t>
            </w:r>
          </w:p>
        </w:tc>
        <w:tc>
          <w:tcPr/>
          <w:p>
            <w:pPr>
              <w:pStyle w:val="Compact"/>
            </w:pPr>
            <w:r>
              <w:t xml:space="preserve">0.5617</w:t>
            </w:r>
          </w:p>
        </w:tc>
        <w:tc>
          <w:tcPr/>
          <w:p>
            <w:pPr>
              <w:pStyle w:val="Compact"/>
            </w:pPr>
            <w:r>
              <w:t xml:space="preserve">2022.76</w:t>
            </w:r>
          </w:p>
        </w:tc>
        <w:tc>
          <w:tcPr/>
          <w:p>
            <w:pPr>
              <w:pStyle w:val="Compact"/>
            </w:pPr>
            <w:r>
              <w:t xml:space="preserve">0.9186</w:t>
            </w:r>
          </w:p>
        </w:tc>
        <w:tc>
          <w:tcPr/>
          <w:p>
            <w:pPr>
              <w:pStyle w:val="Compact"/>
            </w:pPr>
            <w:r>
              <w:t xml:space="preserve">98.45</w:t>
            </w:r>
          </w:p>
        </w:tc>
      </w:tr>
      <w:tr>
        <w:tc>
          <w:tcPr/>
          <w:p>
            <w:pPr>
              <w:pStyle w:val="Compact"/>
            </w:pPr>
            <w:r>
              <w:t xml:space="preserve">ST-ETC</w:t>
            </w:r>
          </w:p>
        </w:tc>
        <w:tc>
          <w:tcPr/>
          <w:p>
            <w:pPr>
              <w:pStyle w:val="Compact"/>
            </w:pPr>
            <w:r>
              <w:t xml:space="preserve">7485.44</w:t>
            </w:r>
          </w:p>
        </w:tc>
        <w:tc>
          <w:tcPr/>
          <w:p>
            <w:pPr>
              <w:pStyle w:val="Compact"/>
            </w:pPr>
            <w:r>
              <w:t xml:space="preserve">0.08</w:t>
            </w:r>
          </w:p>
        </w:tc>
        <w:tc>
          <w:tcPr/>
          <w:p>
            <w:pPr>
              <w:pStyle w:val="Compact"/>
            </w:pPr>
            <w:r>
              <w:t xml:space="preserve">311.89</w:t>
            </w:r>
          </w:p>
        </w:tc>
        <w:tc>
          <w:tcPr/>
          <w:p>
            <w:pPr>
              <w:pStyle w:val="Compact"/>
            </w:pPr>
            <w:r>
              <w:t xml:space="preserve">3525</w:t>
            </w:r>
          </w:p>
        </w:tc>
        <w:tc>
          <w:tcPr/>
          <w:p>
            <w:pPr>
              <w:pStyle w:val="Compact"/>
            </w:pPr>
            <w:r>
              <w:t xml:space="preserve">19.96</w:t>
            </w:r>
          </w:p>
        </w:tc>
        <w:tc>
          <w:tcPr/>
          <w:p>
            <w:pPr>
              <w:pStyle w:val="Compact"/>
            </w:pPr>
            <w:r>
              <w:t xml:space="preserve">0.7711</w:t>
            </w:r>
          </w:p>
        </w:tc>
        <w:tc>
          <w:tcPr/>
          <w:p>
            <w:pPr>
              <w:pStyle w:val="Compact"/>
            </w:pPr>
            <w:r>
              <w:t xml:space="preserve">2052.42</w:t>
            </w:r>
          </w:p>
        </w:tc>
        <w:tc>
          <w:tcPr/>
          <w:p>
            <w:pPr>
              <w:pStyle w:val="Compact"/>
            </w:pPr>
            <w:r>
              <w:t xml:space="preserve">0.5822</w:t>
            </w:r>
          </w:p>
        </w:tc>
        <w:tc>
          <w:tcPr/>
          <w:p>
            <w:pPr>
              <w:pStyle w:val="Compact"/>
            </w:pPr>
            <w:r>
              <w:t xml:space="preserve">99.89</w:t>
            </w:r>
          </w:p>
        </w:tc>
      </w:tr>
      <w:tr>
        <w:tc>
          <w:tcPr/>
          <w:p>
            <w:pPr>
              <w:pStyle w:val="Compact"/>
            </w:pPr>
            <w:r>
              <w:t xml:space="preserve">ET-PRL</w:t>
            </w:r>
          </w:p>
        </w:tc>
        <w:tc>
          <w:tcPr/>
          <w:p>
            <w:pPr>
              <w:pStyle w:val="Compact"/>
            </w:pPr>
            <w:r>
              <w:t xml:space="preserve">7331.85</w:t>
            </w:r>
          </w:p>
        </w:tc>
        <w:tc>
          <w:tcPr/>
          <w:p>
            <w:pPr>
              <w:pStyle w:val="Compact"/>
            </w:pPr>
            <w:r>
              <w:t xml:space="preserve">2.13</w:t>
            </w:r>
          </w:p>
        </w:tc>
        <w:tc>
          <w:tcPr/>
          <w:p>
            <w:pPr>
              <w:pStyle w:val="Compact"/>
            </w:pPr>
            <w:r>
              <w:t xml:space="preserve">305.49</w:t>
            </w:r>
          </w:p>
        </w:tc>
        <w:tc>
          <w:tcPr/>
          <w:p>
            <w:pPr>
              <w:pStyle w:val="Compact"/>
            </w:pPr>
            <w:r>
              <w:t xml:space="preserve">2046</w:t>
            </w:r>
          </w:p>
        </w:tc>
        <w:tc>
          <w:tcPr/>
          <w:p>
            <w:pPr>
              <w:pStyle w:val="Compact"/>
            </w:pPr>
            <w:r>
              <w:t xml:space="preserve">53.54</w:t>
            </w:r>
          </w:p>
        </w:tc>
        <w:tc>
          <w:tcPr/>
          <w:p>
            <w:pPr>
              <w:pStyle w:val="Compact"/>
            </w:pPr>
            <w:r>
              <w:t xml:space="preserve">0.6014</w:t>
            </w:r>
          </w:p>
        </w:tc>
        <w:tc>
          <w:tcPr/>
          <w:p>
            <w:pPr>
              <w:pStyle w:val="Compact"/>
            </w:pPr>
            <w:r>
              <w:t xml:space="preserve">1939.74</w:t>
            </w:r>
          </w:p>
        </w:tc>
        <w:tc>
          <w:tcPr/>
          <w:p>
            <w:pPr>
              <w:pStyle w:val="Compact"/>
            </w:pPr>
            <w:r>
              <w:t xml:space="preserve">0.9481</w:t>
            </w:r>
          </w:p>
        </w:tc>
        <w:tc>
          <w:tcPr/>
          <w:p>
            <w:pPr>
              <w:pStyle w:val="Compact"/>
            </w:pPr>
            <w:r>
              <w:t xml:space="preserve">94.41</w:t>
            </w:r>
          </w:p>
        </w:tc>
      </w:tr>
    </w:tbl>
    <w:p>
      <w:pPr>
        <w:pStyle w:val="BodyText"/>
      </w:pPr>
      <w:r>
        <w:rPr>
          <w:rFonts w:hint="eastAsia"/>
        </w:rPr>
        <w:t xml:space="preserve">由表</w:t>
      </w:r>
      <w:r>
        <w:t xml:space="preserve"> 5-3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w:t>
      </w:r>
      <w:r>
        <w:rPr>
          <w:rFonts w:hint="eastAsia"/>
        </w:rPr>
        <w:t xml:space="preserve">2046（ARR=53.54%）的同时，相对节能率提升至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2.1525。该结果说明，性能改善并非仅由降频幅度决定，而与触发时机和高价值决策状态的匹配程度密切相关。</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kWh/day，均高于强化学习策略组（7331.85</w:t>
      </w:r>
      <w:r>
        <w:t xml:space="preserve">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w:t>
      </w:r>
      <w:r>
        <w:rPr>
          <w:rFonts w:hint="eastAsia"/>
        </w:rPr>
        <w:t xml:space="preserve">PID（353.62</w:t>
      </w:r>
      <w:r>
        <w:t xml:space="preserve"> </w:t>
      </w:r>
      <w:r>
        <w:rPr>
          <w:rFonts w:hint="eastAsia"/>
        </w:rPr>
        <w:t xml:space="preserve">kW）与</w:t>
      </w:r>
      <w:r>
        <w:t xml:space="preserve"> </w:t>
      </w:r>
      <w:r>
        <w:rPr>
          <w:rFonts w:hint="eastAsia"/>
        </w:rPr>
        <w:t xml:space="preserve">RBC（356.20</w:t>
      </w:r>
      <w:r>
        <w:t xml:space="preserve"> </w:t>
      </w:r>
      <w:r>
        <w:rPr>
          <w:rFonts w:hint="eastAsia"/>
        </w:rPr>
        <w:t xml:space="preserve">kW），表明其在本测试集上表现出一致的能效优势。</w:t>
      </w:r>
    </w:p>
    <w:p>
      <w:pPr>
        <w:pStyle w:val="BodyText"/>
      </w:pPr>
      <w:r>
        <w:rPr>
          <w:rFonts w:hint="eastAsia"/>
        </w:rPr>
        <w:t xml:space="preserve">在执行品质方面，ET-PRL</w:t>
      </w:r>
      <w:r>
        <w:t xml:space="preserve"> </w:t>
      </w:r>
      <w:r>
        <w:rPr>
          <w:rFonts w:hint="eastAsia"/>
        </w:rPr>
        <w:t xml:space="preserve">的动作平滑度</w:t>
      </w:r>
      <w:r>
        <w:t xml:space="preserve"> </w:t>
      </w:r>
      <m:oMath>
        <m:sSub>
          <m:e>
            <m:r>
              <m:t>σ</m:t>
            </m:r>
          </m:e>
          <m:sub>
            <m:r>
              <m:rPr>
                <m:sty m:val="p"/>
              </m:rPr>
              <m:t>Δ</m:t>
            </m:r>
            <m:r>
              <m:t>a</m:t>
            </m:r>
          </m:sub>
        </m:sSub>
        <m:r>
          <m:rPr>
            <m:sty m:val="p"/>
          </m:rPr>
          <m:t>=</m:t>
        </m:r>
        <m:r>
          <m:t>0.6014</m:t>
        </m:r>
      </m:oMath>
      <w:r>
        <w:rPr>
          <w:rFonts w:hint="eastAsia"/>
        </w:rPr>
        <w:t xml:space="preserve">，较</w:t>
      </w:r>
      <w:r>
        <w:t xml:space="preserve"> </w:t>
      </w:r>
      <w:r>
        <w:rPr>
          <w:rFonts w:hint="eastAsia"/>
        </w:rPr>
        <w:t xml:space="preserve">TTC-RL-1（0.8101）下降</w:t>
      </w:r>
      <w:r>
        <w:t xml:space="preserve"> </w:t>
      </w:r>
      <w:r>
        <w:rPr>
          <w:rFonts w:hint="eastAsia"/>
        </w:rPr>
        <w:t xml:space="preserve">25.76%，较</w:t>
      </w:r>
      <w:r>
        <w:t xml:space="preserve"> </w:t>
      </w:r>
      <w:r>
        <w:rPr>
          <w:rFonts w:hint="eastAsia"/>
        </w:rPr>
        <w:t xml:space="preserve">ST-ETC（0.7711）下降</w:t>
      </w:r>
      <w:r>
        <w:t xml:space="preserve"> </w:t>
      </w:r>
      <w:r>
        <w:rPr>
          <w:rFonts w:hint="eastAsia"/>
        </w:rPr>
        <w:t xml:space="preserve">22.01%，说明其在抑制高频抖动、降低执行器频繁调节方面具有优势。该值略高于</w:t>
      </w:r>
      <w:r>
        <w:t xml:space="preserve"> </w:t>
      </w:r>
      <w:r>
        <w:rPr>
          <w:rFonts w:hint="eastAsia"/>
        </w:rPr>
        <w:t xml:space="preserve">TTC-RL-2（0.5617），反映</w:t>
      </w:r>
      <w:r>
        <w:t xml:space="preserve"> ET-PRL </w:t>
      </w:r>
      <w:r>
        <w:rPr>
          <w:rFonts w:hint="eastAsia"/>
        </w:rPr>
        <w:t xml:space="preserve">在保持必要动作调整与抑制无效更新之间实现了相对平衡的折中。</w:t>
      </w:r>
    </w:p>
    <w:p>
      <w:pPr>
        <w:pStyle w:val="BodyText"/>
      </w:pPr>
      <w:r>
        <w:rPr>
          <w:rFonts w:hint="eastAsia"/>
        </w:rPr>
        <w:t xml:space="preserve">在奖励指标方面，应区分累计收益与单位更新收益两类口径。ET-PRL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94.41%；但其平均步奖励</w:t>
      </w:r>
      <w:r>
        <w:t xml:space="preserve"> </w:t>
      </w:r>
      <m:oMath>
        <m:sSub>
          <m:e>
            <m:acc>
              <m:accPr>
                <m:chr m:val="‾"/>
              </m:accPr>
              <m:e>
                <m:r>
                  <m:t>R</m:t>
                </m:r>
              </m:e>
            </m:acc>
          </m:e>
          <m:sub>
            <m:r>
              <m:rPr>
                <m:nor/>
                <m:sty m:val="p"/>
              </m:rPr>
              <m:t>step</m:t>
            </m:r>
          </m:sub>
        </m:sSub>
      </m:oMath>
      <w:r>
        <w:t xml:space="preserve"> </w:t>
      </w:r>
      <w:r>
        <w:rPr>
          <w:rFonts w:hint="eastAsia"/>
        </w:rPr>
        <w:t xml:space="preserve">为</w:t>
      </w:r>
      <w:r>
        <w:t xml:space="preserve"> </w:t>
      </w:r>
      <w:r>
        <w:rPr>
          <w:rFonts w:hint="eastAsia"/>
        </w:rPr>
        <w:t xml:space="preserve">0.9481，为强化学习策略中最高，较</w:t>
      </w:r>
      <w:r>
        <w:t xml:space="preserve"> </w:t>
      </w:r>
      <w:r>
        <w:rPr>
          <w:rFonts w:hint="eastAsia"/>
        </w:rPr>
        <w:t xml:space="preserve">TTC-RL-1（0.4665）提升约</w:t>
      </w:r>
      <w:r>
        <w:t xml:space="preserve"> </w:t>
      </w:r>
      <w:r>
        <w:rPr>
          <w:rFonts w:hint="eastAsia"/>
        </w:rPr>
        <w:t xml:space="preserve">103.24%，较</w:t>
      </w:r>
      <w:r>
        <w:t xml:space="preserve"> </w:t>
      </w:r>
      <w:r>
        <w:rPr>
          <w:rFonts w:hint="eastAsia"/>
        </w:rPr>
        <w:t xml:space="preserve">ST-ETC（0.5822）提升约</w:t>
      </w:r>
      <w:r>
        <w:t xml:space="preserve"> </w:t>
      </w:r>
      <w:r>
        <w:rPr>
          <w:rFonts w:hint="eastAsia"/>
        </w:rPr>
        <w:t xml:space="preserve">62.85%，也高于</w:t>
      </w:r>
      <w:r>
        <w:t xml:space="preserve"> </w:t>
      </w:r>
      <w:r>
        <w:rPr>
          <w:rFonts w:hint="eastAsia"/>
        </w:rPr>
        <w:t xml:space="preserve">TTC-RL-2（0.9186）。该结果表明，ET-PRL</w:t>
      </w:r>
      <w:r>
        <w:t xml:space="preserve"> </w:t>
      </w:r>
      <w:r>
        <w:rPr>
          <w:rFonts w:hint="eastAsia"/>
        </w:rPr>
        <w:t xml:space="preserve">将有限动作更新预算集中在更高价值的决策时刻，在仅损失部分累计收益的情况下显著提升了单位更新效率，这与事件驱动控制追求按需高效干预的设计目标一致。</w:t>
      </w:r>
    </w:p>
    <w:p>
      <w:pPr>
        <w:pStyle w:val="BodyText"/>
      </w:pPr>
      <w:r>
        <w:rPr>
          <w:rFonts w:hint="eastAsia"/>
        </w:rPr>
        <w:t xml:space="preserve">（2）冷冻水供水温度设定值策略行为分析</w:t>
      </w:r>
    </w:p>
    <w:p>
      <w:pPr>
        <w:pStyle w:val="BodyText"/>
      </w:pPr>
      <w:r>
        <w:rPr>
          <w:rFonts w:hint="eastAsia"/>
        </w:rPr>
        <w:t xml:space="preserve">在宏观分布层面，静态阈值策略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99.2%，说明其主要表现为更新频率稀疏化，而非价值函数驱动的策略重构。基于此，图6将</w:t>
      </w:r>
      <w:r>
        <w:t xml:space="preserve"> TTC-RL-1 </w:t>
      </w:r>
      <w:r>
        <w:rPr>
          <w:rFonts w:hint="eastAsia"/>
        </w:rPr>
        <w:t xml:space="preserve">与</w:t>
      </w:r>
      <w:r>
        <w:t xml:space="preserve"> ST-ETC </w:t>
      </w:r>
      <w:r>
        <w:rPr>
          <w:rFonts w:hint="eastAsia"/>
        </w:rPr>
        <w:t xml:space="preserve">的宏观分布合并展示，用于突出</w:t>
      </w:r>
      <w:r>
        <w:t xml:space="preserve"> ET-PRL </w:t>
      </w:r>
      <w:r>
        <w:rPr>
          <w:rFonts w:hint="eastAsia"/>
        </w:rPr>
        <w:t xml:space="preserve">在动作空间上的再分配特征。</w:t>
      </w:r>
    </w:p>
    <w:p>
      <w:pPr>
        <w:pStyle w:val="CaptionedFigure"/>
      </w:pPr>
      <w:r>
        <w:drawing>
          <wp:inline>
            <wp:extent cx="5334000" cy="2714831"/>
            <wp:effectExtent b="0" l="0" r="0" t="0"/>
            <wp:docPr descr="图6 ET-PRL、TTC-RL-1 与 ST-ETC 的 T_{\mathrm{chws}} 窗口分布对比（每个柱表示 10 小时窗口内动作比例）" title="" id="33" name="Picture"/>
            <a:graphic>
              <a:graphicData uri="http://schemas.openxmlformats.org/drawingml/2006/picture">
                <pic:pic>
                  <pic:nvPicPr>
                    <pic:cNvPr descr="../pics/fig7_t_chws_macro_distribution.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图6</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图6</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图6显示，在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在离散动作空间高温端（15°C）对应区间的动作占比显著提升。该行为与冷水机组变工况热力学特性一致：当建筑冷量需求较弱时，上调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预训练</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的静态阈值在跨时段分布漂移下更易出现边界失配，在非关键时刻产生误触发并缩短高效设定值的连续保持时长；ET-PRL</w:t>
      </w:r>
      <w:r>
        <w:t xml:space="preserve"> </w:t>
      </w:r>
      <w:r>
        <w:rPr>
          <w:rFonts w:hint="eastAsia"/>
        </w:rPr>
        <w:t xml:space="preserve">的流式双层动态阈值可在线校正触发边界，过滤高频噪声触发，为高设定温度动作提供更连续的执行窗口，从而实现更显著的动作空间再分配。</w:t>
      </w:r>
    </w:p>
    <w:p>
      <w:pPr>
        <w:pStyle w:val="CaptionedFigure"/>
      </w:pPr>
      <w:r>
        <w:drawing>
          <wp:inline>
            <wp:extent cx="5334000" cy="2026919"/>
            <wp:effectExtent b="0" l="0" r="0" t="0"/>
            <wp:docPr descr="图7 事件触发局部响应与全局差值频次统计：面板(a)为 65h-85h 窗口内冷负荷与绝对设定值轨迹，面板(b)为 ST-ETC 与 ET-PRL 相对 TTC-RL-1 的 \Delta T_{\mathrm{chws}} 对数频次分布" title="" id="36" name="Picture"/>
            <a:graphic>
              <a:graphicData uri="http://schemas.openxmlformats.org/drawingml/2006/picture">
                <pic:pic>
                  <pic:nvPicPr>
                    <pic:cNvPr descr="../pics/fig8_t_chws_delta_analysis.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图7</w:t>
      </w:r>
      <w:r>
        <w:t xml:space="preserve">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p>
    <w:p>
      <w:pPr>
        <w:pStyle w:val="BodyText"/>
      </w:pPr>
      <w:r>
        <w:rPr>
          <w:rFonts w:hint="eastAsia"/>
        </w:rPr>
        <w:t xml:space="preserve">图7</w:t>
      </w:r>
      <w:r>
        <w:t xml:space="preserve"> </w:t>
      </w:r>
      <w:r>
        <w:rPr>
          <w:rFonts w:hint="eastAsia"/>
        </w:rPr>
        <w:t xml:space="preserve">事件触发局部响应与全局差值频次统计</w:t>
      </w:r>
    </w:p>
    <w:p>
      <w:pPr>
        <w:pStyle w:val="BodyText"/>
      </w:pPr>
      <w:r>
        <w:rPr>
          <w:rFonts w:hint="eastAsia"/>
        </w:rPr>
        <w:t xml:space="preserve">在微观轨迹层面，图7(a)</w:t>
      </w:r>
      <w:r>
        <w:t xml:space="preserve">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则维持高频时间触发更新。结合同一预训练</w:t>
      </w:r>
      <w:r>
        <w:t xml:space="preserve"> Q </w:t>
      </w:r>
      <w:r>
        <w:rPr>
          <w:rFonts w:hint="eastAsia"/>
        </w:rPr>
        <w:t xml:space="preserve">网络这一前提可知，该差异并非源于策略网络能力差异，而是源于触发时机质量差异：ST-ETC</w:t>
      </w:r>
      <w:r>
        <w:t xml:space="preserve"> </w:t>
      </w:r>
      <w:r>
        <w:rPr>
          <w:rFonts w:hint="eastAsia"/>
        </w:rPr>
        <w:t xml:space="preserve">受静态边界约束，更易在边界附近误触发，导致控制序列被频繁打断并回退至与基线近似的保守输出；ET-PRL</w:t>
      </w:r>
      <w:r>
        <w:t xml:space="preserve"> </w:t>
      </w:r>
      <w:r>
        <w:rPr>
          <w:rFonts w:hint="eastAsia"/>
        </w:rPr>
        <w:t xml:space="preserve">通过双层动态阈值与最小触发间隔抑制噪声驱动更新，使预测型</w:t>
      </w:r>
      <w:r>
        <w:t xml:space="preserve"> Q </w:t>
      </w:r>
      <w:r>
        <w:rPr>
          <w:rFonts w:hint="eastAsia"/>
        </w:rPr>
        <w:t xml:space="preserve">网络能够在低负荷窗口稳定维持长周期高效设定。</w:t>
      </w:r>
    </w:p>
    <w:p>
      <w:pPr>
        <w:pStyle w:val="BodyText"/>
      </w:pPr>
      <w:r>
        <w:rPr>
          <w:rFonts w:hint="eastAsia"/>
        </w:rPr>
        <w:t xml:space="preserve">在全局差值统计层面，图7(b)</w:t>
      </w:r>
      <w:r>
        <w:t xml:space="preserve">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的动作输出仍高度黏附于基线策略，难以形成实质性的温度设定优化；ET-PRL</w:t>
      </w:r>
      <w:r>
        <w:t xml:space="preserve"> </w:t>
      </w:r>
      <w:r>
        <w:rPr>
          <w:rFonts w:hint="eastAsia"/>
        </w:rPr>
        <w:t xml:space="preserve">则在保持稀疏执行的同时实现了更充分的动作空间重构。</w:t>
      </w:r>
    </w:p>
    <w:p>
      <w:pPr>
        <w:pStyle w:val="BodyText"/>
      </w:pPr>
      <w:r>
        <w:rPr>
          <w:rFonts w:hint="eastAsia"/>
        </w:rPr>
        <w:t xml:space="preserve">（3）事件触发的控制稀疏性与时序动态分析</w:t>
      </w:r>
    </w:p>
    <w:p>
      <w:pPr>
        <w:pStyle w:val="BodyText"/>
      </w:pPr>
      <w:r>
        <w:rPr>
          <w:rFonts w:hint="eastAsia"/>
        </w:rPr>
        <w:t xml:space="preserve">为克服单一绝对数值评估的局限性并全面展现控制行为的时域演化过程，本节在统一标准下对</w:t>
      </w:r>
      <w:r>
        <w:t xml:space="preserve"> ET-PRL、ST-ETC </w:t>
      </w:r>
      <w:r>
        <w:rPr>
          <w:rFonts w:hint="eastAsia"/>
        </w:rPr>
        <w:t xml:space="preserve">与</w:t>
      </w:r>
      <w:r>
        <w:t xml:space="preserve"> TTC-RL-1 </w:t>
      </w:r>
      <w:r>
        <w:rPr>
          <w:rFonts w:hint="eastAsia"/>
        </w:rPr>
        <w:t xml:space="preserve">展开横向比较。为准确描述系统时序动态行为，首先明确两个关键指标：触发间隔（Trigger</w:t>
      </w:r>
      <w:r>
        <w:t xml:space="preserve"> </w:t>
      </w:r>
      <w:r>
        <w:rPr>
          <w:rFonts w:hint="eastAsia"/>
        </w:rPr>
        <w:t xml:space="preserve">Interval）定义为相邻两次事件触发机制被激活，即事件触发指示器</w:t>
      </w:r>
      <w:r>
        <w:t xml:space="preserve"> </w:t>
      </w:r>
      <m:oMath>
        <m:sSub>
          <m:e>
            <m:r>
              <m:t>I</m:t>
            </m:r>
          </m:e>
          <m:sub>
            <m:r>
              <m:rPr>
                <m:nor/>
                <m:sty m:val="p"/>
              </m:rPr>
              <m:t>trigger</m:t>
            </m:r>
          </m:sub>
        </m:sSub>
        <m:r>
          <m:rPr>
            <m:sty m:val="p"/>
          </m:rPr>
          <m:t>=</m:t>
        </m:r>
        <m:r>
          <m:t>1</m:t>
        </m:r>
      </m:oMath>
      <w:r>
        <w:t xml:space="preserve"> </w:t>
      </w:r>
      <w:r>
        <w:rPr>
          <w:rFonts w:hint="eastAsia"/>
        </w:rPr>
        <w:t xml:space="preserve">之间的时间步长；动作保持长度（Hold</w:t>
      </w:r>
      <w:r>
        <w:t xml:space="preserve"> </w:t>
      </w:r>
      <w:r>
        <w:rPr>
          <w:rFonts w:hint="eastAsia"/>
        </w:rPr>
        <w:t xml:space="preserve">Length）定义为控制设定值</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连续维持在同一水平的时间步长。</w:t>
      </w:r>
    </w:p>
    <w:p>
      <w:pPr>
        <w:pStyle w:val="BodyText"/>
      </w:pPr>
      <w:r>
        <w:rPr>
          <w:rFonts w:hint="eastAsia"/>
        </w:rPr>
        <w:t xml:space="preserve">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pPr>
        <w:pStyle w:val="BodyText"/>
      </w:pPr>
      <w:r>
        <w:rPr>
          <w:rFonts w:hint="eastAsia"/>
        </w:rPr>
        <w:t xml:space="preserve">基于上述定义统计可得，ET-PRL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步。上述结果表明，动态阈值门控机制在抑制控制系统冗余更新方面具备更优的持续静息能力。</w:t>
      </w:r>
    </w:p>
    <w:p>
      <w:pPr>
        <w:pStyle w:val="CaptionedFigure"/>
      </w:pPr>
      <w:r>
        <w:drawing>
          <wp:inline>
            <wp:extent cx="5334000" cy="3579627"/>
            <wp:effectExtent b="0" l="0" r="0" t="0"/>
            <wp:docPr descr="图8 不同控制策略下动作更新间隔分布（主图为离散类别分箱占比，插图为长尾区间放大）" title="" id="39" name="Picture"/>
            <a:graphic>
              <a:graphicData uri="http://schemas.openxmlformats.org/drawingml/2006/picture">
                <pic:pic>
                  <pic:nvPicPr>
                    <pic:cNvPr descr="../pics/fig9_action_update_interval_distribution.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不同控制策略下动作更新间隔分布（主图为离散类别分箱占比，插图为长尾区间放大）</w:t>
      </w:r>
    </w:p>
    <w:p>
      <w:pPr>
        <w:pStyle w:val="BodyText"/>
      </w:pPr>
      <w:r>
        <w:rPr>
          <w:rFonts w:hint="eastAsia"/>
        </w:rPr>
        <w:t xml:space="preserve">图8</w:t>
      </w:r>
      <w:r>
        <w:t xml:space="preserve"> </w:t>
      </w:r>
      <w:r>
        <w:rPr>
          <w:rFonts w:hint="eastAsia"/>
        </w:rPr>
        <w:t xml:space="preserve">不同控制策略下动作更新间隔分布。主图展示了时间触发基线（TTC-RL-1）、静态事件触发控制（ST-ETC）以及本文提出的动态事件触发框架（ET-PRL）在各离散类别区间中的更新间隔占比。插图给出了间隔</w:t>
      </w:r>
      <w:r>
        <w:t xml:space="preserve"> </w:t>
      </w:r>
      <m:oMath>
        <m:r>
          <m:rPr>
            <m:sty m:val="p"/>
          </m:rPr>
          <m:t>≥</m:t>
        </m:r>
        <m:r>
          <m:t>4</m:t>
        </m:r>
      </m:oMath>
      <w:r>
        <w:t xml:space="preserve"> </w:t>
      </w:r>
      <w:r>
        <w:rPr>
          <w:rFonts w:hint="eastAsia"/>
        </w:rPr>
        <w:t xml:space="preserve">步的长尾分布放大视图。值得注意的是，ET-PRL</w:t>
      </w:r>
      <w:r>
        <w:t xml:space="preserve"> </w:t>
      </w:r>
      <w:r>
        <w:rPr>
          <w:rFonts w:hint="eastAsia"/>
        </w:rPr>
        <w:t xml:space="preserve">表现出显著长尾特征，在低扰动时段最大触发间隔达到</w:t>
      </w:r>
      <w:r>
        <w:t xml:space="preserve"> 74 </w:t>
      </w:r>
      <w:r>
        <w:rPr>
          <w:rFonts w:hint="eastAsia"/>
        </w:rPr>
        <w:t xml:space="preserve">步。相比之下，TTC-RL-1</w:t>
      </w:r>
      <w:r>
        <w:t xml:space="preserve"> </w:t>
      </w:r>
      <w:r>
        <w:rPr>
          <w:rFonts w:hint="eastAsia"/>
        </w:rPr>
        <w:t xml:space="preserve">严格按每步更新（因此在尾部分箱中不出现），ST-ETC</w:t>
      </w:r>
      <w:r>
        <w:t xml:space="preserve"> </w:t>
      </w:r>
      <w:r>
        <w:rPr>
          <w:rFonts w:hint="eastAsia"/>
        </w:rPr>
        <w:t xml:space="preserve">的动作主要集中于短间隔区间，进一步凸显了所提动态门控机制在执行稀疏性方面的优势。</w:t>
      </w:r>
    </w:p>
    <w:p>
      <w:pPr>
        <w:pStyle w:val="BodyText"/>
      </w:pPr>
      <w:r>
        <w:rPr>
          <w:rFonts w:hint="eastAsia"/>
        </w:rPr>
        <w:t xml:space="preserve">如图8所示，ET-PRL</w:t>
      </w:r>
      <w:r>
        <w:t xml:space="preserve"> </w:t>
      </w:r>
      <w:r>
        <w:rPr>
          <w:rFonts w:hint="eastAsia"/>
        </w:rPr>
        <w:t xml:space="preserve">的触发间隔分布呈现短间隔高频与长间隔长尾并存的结构特征，最大触发间隔达到</w:t>
      </w:r>
      <w:r>
        <w:t xml:space="preserve"> 74 </w:t>
      </w:r>
      <w:r>
        <w:rPr>
          <w:rFonts w:hint="eastAsia"/>
        </w:rPr>
        <w:t xml:space="preserve">步。若以动作保持长度作为系统底层执行机构静息状态的衡量标准，其最大值可达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 xml:space="preserve">的样本落入冷负荷变化量绝对值的极高变化区域，即变化量大于整体样本的第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；且该时间段内热舒适度评价指标（Thermal</w:t>
      </w:r>
      <w:r>
        <w:t xml:space="preserve"> Comfort Score,</w:t>
      </w:r>
      <w:r>
        <w:t xml:space="preserve"> </w:t>
      </w:r>
      <m:oMath>
        <m:sSub>
          <m:e>
            <m:r>
              <m:t>S</m:t>
            </m:r>
          </m:e>
          <m:sub>
            <m:r>
              <m:rPr>
                <m:nor/>
                <m:sty m:val="p"/>
              </m:rPr>
              <m:t>comfort</m:t>
            </m:r>
          </m:sub>
        </m:sSub>
      </m:oMath>
      <w:r>
        <w:rPr>
          <w:rFonts w:hint="eastAsia"/>
        </w:rPr>
        <w:t xml:space="preserve">）的</w:t>
      </w:r>
      <w:r>
        <w:t xml:space="preserve"> 10 </w:t>
      </w:r>
      <w:r>
        <w:rPr>
          <w:rFonts w:hint="eastAsia"/>
        </w:rPr>
        <w:t xml:space="preserve">分位数仍维持在</w:t>
      </w:r>
      <w:r>
        <w:t xml:space="preserve"> </w:t>
      </w:r>
      <w:r>
        <w:rPr>
          <w:rFonts w:hint="eastAsia"/>
        </w:rPr>
        <w:t xml:space="preserve">0.215，系统未出现热舒适度失稳塌陷。追溯系统运行日志可知，该最长保持段横跨测试集第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pPr>
        <w:pStyle w:val="BodyText"/>
      </w:pPr>
      <w:r>
        <w:rPr>
          <w:rFonts w:hint="eastAsia"/>
        </w:rPr>
        <w:t xml:space="preserve">为揭示系统负荷动态变化与触发动作之间的时序映射关系，图9</w:t>
      </w:r>
      <w:r>
        <w:t xml:space="preserve"> </w:t>
      </w:r>
      <w:r>
        <w:rPr>
          <w:rFonts w:hint="eastAsia"/>
        </w:rPr>
        <w:t xml:space="preserve">进一步展示了典型单日工况（第</w:t>
      </w:r>
      <w:r>
        <w:t xml:space="preserve"> 5 </w:t>
      </w:r>
      <w:r>
        <w:rPr>
          <w:rFonts w:hint="eastAsia"/>
        </w:rPr>
        <w:t xml:space="preserve">天）下的时序对齐结果。</w:t>
      </w:r>
    </w:p>
    <w:p>
      <w:pPr>
        <w:pStyle w:val="CaptionedFigure"/>
      </w:pPr>
      <w:r>
        <w:drawing>
          <wp:inline>
            <wp:extent cx="5334000" cy="3230339"/>
            <wp:effectExtent b="0" l="0" r="0" t="0"/>
            <wp:docPr descr="图9 典型日负荷变化与触发时刻对齐关系（第5天，5 min采样）：面板(a)为冷负荷曲线，面板(b)为 ET-PRL、ST-ETC 与 TTC-RL-1 触发脉冲栅格，跨面板阴影带表示典型高负荷变化时段" title="" id="42" name="Picture"/>
            <a:graphic>
              <a:graphicData uri="http://schemas.openxmlformats.org/drawingml/2006/picture">
                <pic:pic>
                  <pic:nvPicPr>
                    <pic:cNvPr descr="../pics/fig10_trigger_load_alignment.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p>
    <w:p>
      <w:pPr>
        <w:pStyle w:val="BodyText"/>
      </w:pPr>
      <w:r>
        <w:rPr>
          <w:rFonts w:hint="eastAsia"/>
        </w:rPr>
        <w:t xml:space="preserve">图9</w:t>
      </w:r>
      <w:r>
        <w:t xml:space="preserve"> </w:t>
      </w:r>
      <w:r>
        <w:rPr>
          <w:rFonts w:hint="eastAsia"/>
        </w:rPr>
        <w:t xml:space="preserve">典型日负荷变化与触发时刻对齐关系（第5天，5</w:t>
      </w:r>
      <w:r>
        <w:t xml:space="preserve"> </w:t>
      </w:r>
      <w:r>
        <w:rPr>
          <w:rFonts w:hint="eastAsia"/>
        </w:rPr>
        <w:t xml:space="preserve">min采样）</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呈现全时段无差别触发。</w:t>
      </w:r>
    </w:p>
    <w:p>
      <w:pPr>
        <w:pStyle w:val="BodyText"/>
      </w:pPr>
      <w:r>
        <w:rPr>
          <w:rFonts w:hint="eastAsia"/>
        </w:rPr>
        <w:t xml:space="preserve">在全测试集评估尺度上，将冷负荷变化量绝对值大于系统整体第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的区间定义为低变化区，即热平衡基载段。统计表明，ET-PRL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的高低变化区触发率比值依然稳定在</w:t>
      </w:r>
      <w:r>
        <w:t xml:space="preserve"> 1.91 </w:t>
      </w:r>
      <w:r>
        <w:rPr>
          <w:rFonts w:hint="eastAsia"/>
        </w:rPr>
        <w:t xml:space="preserve">与</w:t>
      </w:r>
      <w:r>
        <w:t xml:space="preserve"> 2.02。</w:t>
      </w:r>
    </w:p>
    <w:p>
      <w:pPr>
        <w:pStyle w:val="BodyText"/>
      </w:pPr>
      <w:r>
        <w:rPr>
          <w:rFonts w:hint="eastAsia"/>
        </w:rPr>
        <w:t xml:space="preserve">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展现出的长时保持特性，为机组提供了更宽裕的连续稳态运行时间窗口。该工作模式能够规避由工况高频切换导致的额外能耗损失，实现设备损耗抑制与运行能效提升的协同优化。</w:t>
      </w:r>
    </w:p>
    <w:p>
      <w:pPr>
        <w:pStyle w:val="BodyText"/>
      </w:pPr>
      <w:r>
        <w:rPr>
          <w:rFonts w:hint="eastAsia"/>
        </w:rPr>
        <w:t xml:space="preserve">综上所述，所提</w:t>
      </w:r>
      <w:r>
        <w:t xml:space="preserve"> ET-PRL </w:t>
      </w:r>
      <w:r>
        <w:rPr>
          <w:rFonts w:hint="eastAsia"/>
        </w:rPr>
        <w:t xml:space="preserve">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pPr>
        <w:pStyle w:val="BodyText"/>
      </w:pPr>
      <w:r>
        <w:rPr>
          <w:rFonts w:hint="eastAsia"/>
        </w:rPr>
        <w:t xml:space="preserve">（4）消融实验分析</w:t>
      </w:r>
    </w:p>
    <w:p>
      <w:pPr>
        <w:pStyle w:val="BodyText"/>
      </w:pPr>
      <w:r>
        <w:rPr>
          <w:rFonts w:hint="eastAsia"/>
        </w:rPr>
        <w:t xml:space="preserve">为验证所提框架各组成模块的实际贡献，本节采用控制变量法开展消融实验。除特别说明外，各组实验保持一致的训练配置、测试数据集与评价协议。消融组共</w:t>
      </w:r>
      <w:r>
        <w:t xml:space="preserve"> 6 </w:t>
      </w:r>
      <w:r>
        <w:rPr>
          <w:rFonts w:hint="eastAsia"/>
        </w:rPr>
        <w:t xml:space="preserve">种策略，用于分别考察双阈值退化、单尺度退化及完整模型在统一比较基线下的表现。表</w:t>
      </w:r>
      <w:r>
        <w:t xml:space="preserve"> 5-4 </w:t>
      </w:r>
      <w:r>
        <w:rPr>
          <w:rFonts w:hint="eastAsia"/>
        </w:rPr>
        <w:t xml:space="preserve">汇总了不同策略在测试集上的结果。相关指标的计算基线均为固定步长策略</w:t>
      </w:r>
      <w:r>
        <w:t xml:space="preserve"> TTC-RL-1。</w:t>
      </w:r>
    </w:p>
    <w:p>
      <w:pPr>
        <w:pStyle w:val="BodyText"/>
      </w:pPr>
      <w:r>
        <w:rPr>
          <w:rFonts w:hint="eastAsia"/>
        </w:rPr>
        <w:t xml:space="preserve">表</w:t>
      </w:r>
      <w:r>
        <w:t xml:space="preserve"> 5-4 </w:t>
      </w:r>
      <w:r>
        <w:rPr>
          <w:rFonts w:hint="eastAsia"/>
        </w:rPr>
        <w:t xml:space="preserve">关键模块消融实验结果</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update</m:t>
                  </m:r>
                </m:sub>
              </m:sSub>
            </m:oMath>
          </w:p>
        </w:tc>
        <w:tc>
          <w:tcPr/>
          <w:p>
            <w:pPr>
              <w:pStyle w:val="Compact"/>
            </w:pPr>
            <m:oMath>
              <m:sSub>
                <m:e>
                  <m:r>
                    <m:t>N</m:t>
                  </m:r>
                </m:e>
                <m:sub>
                  <m:r>
                    <m:rPr>
                      <m:nor/>
                      <m:sty m:val="p"/>
                    </m:rPr>
                    <m:t>daily</m:t>
                  </m:r>
                </m:sub>
              </m:sSub>
            </m:oMath>
          </w:p>
        </w:tc>
        <w:tc>
          <w:tcPr/>
          <w:p>
            <w:pPr>
              <w:pStyle w:val="Compact"/>
            </w:pPr>
            <m:oMath>
              <m:sSub>
                <m:e>
                  <m:r>
                    <m:t>E</m:t>
                  </m:r>
                </m:e>
                <m:sub>
                  <m:r>
                    <m:rPr>
                      <m:nor/>
                      <m:sty m:val="p"/>
                    </m:rPr>
                    <m:t>daily</m:t>
                  </m:r>
                </m:sub>
              </m:sSub>
            </m:oMath>
            <w:r>
              <w:t xml:space="preserve"> </w:t>
            </w:r>
            <w:r>
              <w:t xml:space="preserve">(kWh/day)</w:t>
            </w:r>
          </w:p>
        </w:tc>
        <w:tc>
          <w:tcPr/>
          <w:p>
            <w:pPr>
              <w:pStyle w:val="Compact"/>
            </w:pPr>
            <w:r>
              <w:t xml:space="preserve">ACR</w:t>
            </w:r>
          </w:p>
        </w:tc>
        <w:tc>
          <w:tcPr/>
          <w:p>
            <w:pPr>
              <w:pStyle w:val="Compact"/>
            </w:pPr>
            <w:r>
              <w:t xml:space="preserve">PPR</w:t>
            </w:r>
          </w:p>
        </w:tc>
      </w:tr>
      <w:tr>
        <w:tc>
          <w:tcPr/>
          <w:p>
            <w:pPr>
              <w:pStyle w:val="Compact"/>
            </w:pPr>
            <w:r>
              <w:t xml:space="preserve">TTC-RL-1 (Reference)</w:t>
            </w:r>
          </w:p>
        </w:tc>
        <w:tc>
          <w:tcPr/>
          <w:p>
            <w:pPr>
              <w:pStyle w:val="Compact"/>
            </w:pPr>
            <w:r>
              <w:t xml:space="preserve">2054.63</w:t>
            </w:r>
          </w:p>
        </w:tc>
        <w:tc>
          <w:tcPr/>
          <w:p>
            <w:pPr>
              <w:pStyle w:val="Compact"/>
            </w:pPr>
            <w:r>
              <w:t xml:space="preserve">4404</w:t>
            </w:r>
          </w:p>
        </w:tc>
        <w:tc>
          <w:tcPr/>
          <w:p>
            <w:pPr>
              <w:pStyle w:val="Compact"/>
            </w:pPr>
            <w:r>
              <w:t xml:space="preserve">288.00</w:t>
            </w:r>
          </w:p>
        </w:tc>
        <w:tc>
          <w:tcPr/>
          <w:p>
            <w:pPr>
              <w:pStyle w:val="Compact"/>
            </w:pPr>
            <w:r>
              <w:t xml:space="preserve">7491.14</w:t>
            </w:r>
          </w:p>
        </w:tc>
        <w:tc>
          <w:tcPr/>
          <w:p>
            <w:pPr>
              <w:pStyle w:val="Compact"/>
            </w:pPr>
            <w:r>
              <w:t xml:space="preserve">1.0000</w:t>
            </w:r>
          </w:p>
        </w:tc>
        <w:tc>
          <w:tcPr/>
          <w:p>
            <w:pPr>
              <w:pStyle w:val="Compact"/>
            </w:pPr>
            <w:r>
              <w:t xml:space="preserve">100.00%</w:t>
            </w:r>
          </w:p>
        </w:tc>
      </w:tr>
      <w:tr>
        <w:tc>
          <w:tcPr/>
          <w:p>
            <w:pPr>
              <w:pStyle w:val="Compact"/>
            </w:pPr>
            <w:r>
              <w:t xml:space="preserve">Local Threshold Only</w:t>
            </w:r>
          </w:p>
        </w:tc>
        <w:tc>
          <w:tcPr/>
          <w:p>
            <w:pPr>
              <w:pStyle w:val="Compact"/>
            </w:pPr>
            <w:r>
              <w:t xml:space="preserve">1958.05</w:t>
            </w:r>
          </w:p>
        </w:tc>
        <w:tc>
          <w:tcPr/>
          <w:p>
            <w:pPr>
              <w:pStyle w:val="Compact"/>
            </w:pPr>
            <w:r>
              <w:t xml:space="preserve">2257</w:t>
            </w:r>
          </w:p>
        </w:tc>
        <w:tc>
          <w:tcPr/>
          <w:p>
            <w:pPr>
              <w:pStyle w:val="Compact"/>
            </w:pPr>
            <w:r>
              <w:t xml:space="preserve">147.60</w:t>
            </w:r>
          </w:p>
        </w:tc>
        <w:tc>
          <w:tcPr/>
          <w:p>
            <w:pPr>
              <w:pStyle w:val="Compact"/>
            </w:pPr>
            <w:r>
              <w:t xml:space="preserve">7367.57</w:t>
            </w:r>
          </w:p>
        </w:tc>
        <w:tc>
          <w:tcPr/>
          <w:p>
            <w:pPr>
              <w:pStyle w:val="Compact"/>
            </w:pPr>
            <w:r>
              <w:t xml:space="preserve">1.9513</w:t>
            </w:r>
          </w:p>
        </w:tc>
        <w:tc>
          <w:tcPr/>
          <w:p>
            <w:pPr>
              <w:pStyle w:val="Compact"/>
            </w:pPr>
            <w:r>
              <w:t xml:space="preserve">95.30%</w:t>
            </w:r>
          </w:p>
        </w:tc>
      </w:tr>
      <w:tr>
        <w:tc>
          <w:tcPr/>
          <w:p>
            <w:pPr>
              <w:pStyle w:val="Compact"/>
            </w:pPr>
            <w:r>
              <w:t xml:space="preserve">Global Threshold Only</w:t>
            </w:r>
          </w:p>
        </w:tc>
        <w:tc>
          <w:tcPr/>
          <w:p>
            <w:pPr>
              <w:pStyle w:val="Compact"/>
            </w:pPr>
            <w:r>
              <w:t xml:space="preserve">1977.54</w:t>
            </w:r>
          </w:p>
        </w:tc>
        <w:tc>
          <w:tcPr/>
          <w:p>
            <w:pPr>
              <w:pStyle w:val="Compact"/>
            </w:pPr>
            <w:r>
              <w:t xml:space="preserve">2251</w:t>
            </w:r>
          </w:p>
        </w:tc>
        <w:tc>
          <w:tcPr/>
          <w:p>
            <w:pPr>
              <w:pStyle w:val="Compact"/>
            </w:pPr>
            <w:r>
              <w:t xml:space="preserve">147.20</w:t>
            </w:r>
          </w:p>
        </w:tc>
        <w:tc>
          <w:tcPr/>
          <w:p>
            <w:pPr>
              <w:pStyle w:val="Compact"/>
            </w:pPr>
            <w:r>
              <w:t xml:space="preserve">7409.42</w:t>
            </w:r>
          </w:p>
        </w:tc>
        <w:tc>
          <w:tcPr/>
          <w:p>
            <w:pPr>
              <w:pStyle w:val="Compact"/>
            </w:pPr>
            <w:r>
              <w:t xml:space="preserve">1.9565</w:t>
            </w:r>
          </w:p>
        </w:tc>
        <w:tc>
          <w:tcPr/>
          <w:p>
            <w:pPr>
              <w:pStyle w:val="Compact"/>
            </w:pPr>
            <w:r>
              <w:t xml:space="preserve">96.25%</w:t>
            </w:r>
          </w:p>
        </w:tc>
      </w:tr>
      <w:tr>
        <w:tc>
          <w:tcPr/>
          <w:p>
            <w:pPr>
              <w:pStyle w:val="Compact"/>
            </w:pPr>
            <w:r>
              <w:t xml:space="preserve">Short-scale Only</w:t>
            </w:r>
          </w:p>
        </w:tc>
        <w:tc>
          <w:tcPr/>
          <w:p>
            <w:pPr>
              <w:pStyle w:val="Compact"/>
            </w:pPr>
            <w:r>
              <w:t xml:space="preserve">1951.74</w:t>
            </w:r>
          </w:p>
        </w:tc>
        <w:tc>
          <w:tcPr/>
          <w:p>
            <w:pPr>
              <w:pStyle w:val="Compact"/>
            </w:pPr>
            <w:r>
              <w:t xml:space="preserve">2122</w:t>
            </w:r>
          </w:p>
        </w:tc>
        <w:tc>
          <w:tcPr/>
          <w:p>
            <w:pPr>
              <w:pStyle w:val="Compact"/>
            </w:pPr>
            <w:r>
              <w:t xml:space="preserve">138.77</w:t>
            </w:r>
          </w:p>
        </w:tc>
        <w:tc>
          <w:tcPr/>
          <w:p>
            <w:pPr>
              <w:pStyle w:val="Compact"/>
            </w:pPr>
            <w:r>
              <w:t xml:space="preserve">7407.03</w:t>
            </w:r>
          </w:p>
        </w:tc>
        <w:tc>
          <w:tcPr/>
          <w:p>
            <w:pPr>
              <w:pStyle w:val="Compact"/>
            </w:pPr>
            <w:r>
              <w:t xml:space="preserve">2.0754</w:t>
            </w:r>
          </w:p>
        </w:tc>
        <w:tc>
          <w:tcPr/>
          <w:p>
            <w:pPr>
              <w:pStyle w:val="Compact"/>
            </w:pPr>
            <w:r>
              <w:t xml:space="preserve">94.99%</w:t>
            </w:r>
          </w:p>
        </w:tc>
      </w:tr>
      <w:tr>
        <w:tc>
          <w:tcPr/>
          <w:p>
            <w:pPr>
              <w:pStyle w:val="Compact"/>
            </w:pPr>
            <w:r>
              <w:t xml:space="preserve">Medium-scale Only</w:t>
            </w:r>
          </w:p>
        </w:tc>
        <w:tc>
          <w:tcPr/>
          <w:p>
            <w:pPr>
              <w:pStyle w:val="Compact"/>
            </w:pPr>
            <w:r>
              <w:t xml:space="preserve">2041.96</w:t>
            </w:r>
          </w:p>
        </w:tc>
        <w:tc>
          <w:tcPr/>
          <w:p>
            <w:pPr>
              <w:pStyle w:val="Compact"/>
            </w:pPr>
            <w:r>
              <w:t xml:space="preserve">3891</w:t>
            </w:r>
          </w:p>
        </w:tc>
        <w:tc>
          <w:tcPr/>
          <w:p>
            <w:pPr>
              <w:pStyle w:val="Compact"/>
            </w:pPr>
            <w:r>
              <w:t xml:space="preserve">254.45</w:t>
            </w:r>
          </w:p>
        </w:tc>
        <w:tc>
          <w:tcPr/>
          <w:p>
            <w:pPr>
              <w:pStyle w:val="Compact"/>
            </w:pPr>
            <w:r>
              <w:t xml:space="preserve">7484.70</w:t>
            </w:r>
          </w:p>
        </w:tc>
        <w:tc>
          <w:tcPr/>
          <w:p>
            <w:pPr>
              <w:pStyle w:val="Compact"/>
            </w:pPr>
            <w:r>
              <w:t xml:space="preserve">1.1318</w:t>
            </w:r>
          </w:p>
        </w:tc>
        <w:tc>
          <w:tcPr/>
          <w:p>
            <w:pPr>
              <w:pStyle w:val="Compact"/>
            </w:pPr>
            <w:r>
              <w:t xml:space="preserve">99.38%</w:t>
            </w:r>
          </w:p>
        </w:tc>
      </w:tr>
      <w:tr>
        <w:tc>
          <w:tcPr/>
          <w:p>
            <w:pPr>
              <w:pStyle w:val="Compact"/>
            </w:pPr>
            <w:r>
              <w:t xml:space="preserve">Long-scale Only</w:t>
            </w:r>
          </w:p>
        </w:tc>
        <w:tc>
          <w:tcPr/>
          <w:p>
            <w:pPr>
              <w:pStyle w:val="Compact"/>
            </w:pPr>
            <w:r>
              <w:t xml:space="preserve">2032.01</w:t>
            </w:r>
          </w:p>
        </w:tc>
        <w:tc>
          <w:tcPr/>
          <w:p>
            <w:pPr>
              <w:pStyle w:val="Compact"/>
            </w:pPr>
            <w:r>
              <w:t xml:space="preserve">4334</w:t>
            </w:r>
          </w:p>
        </w:tc>
        <w:tc>
          <w:tcPr/>
          <w:p>
            <w:pPr>
              <w:pStyle w:val="Compact"/>
            </w:pPr>
            <w:r>
              <w:t xml:space="preserve">283.42</w:t>
            </w:r>
          </w:p>
        </w:tc>
        <w:tc>
          <w:tcPr/>
          <w:p>
            <w:pPr>
              <w:pStyle w:val="Compact"/>
            </w:pPr>
            <w:r>
              <w:t xml:space="preserve">7431.26</w:t>
            </w:r>
          </w:p>
        </w:tc>
        <w:tc>
          <w:tcPr/>
          <w:p>
            <w:pPr>
              <w:pStyle w:val="Compact"/>
            </w:pPr>
            <w:r>
              <w:t xml:space="preserve">1.0162</w:t>
            </w:r>
          </w:p>
        </w:tc>
        <w:tc>
          <w:tcPr/>
          <w:p>
            <w:pPr>
              <w:pStyle w:val="Compact"/>
            </w:pPr>
            <w:r>
              <w:t xml:space="preserve">98.90%</w:t>
            </w:r>
          </w:p>
        </w:tc>
      </w:tr>
      <w:tr>
        <w:tc>
          <w:tcPr/>
          <w:p>
            <w:pPr>
              <w:pStyle w:val="Compact"/>
            </w:pPr>
            <w:r>
              <w:rPr>
                <w:b/>
                <w:bCs/>
              </w:rPr>
              <w:t xml:space="preserve">Full ET-PRL (Ours)</w:t>
            </w:r>
          </w:p>
        </w:tc>
        <w:tc>
          <w:tcPr/>
          <w:p>
            <w:pPr>
              <w:pStyle w:val="Compact"/>
            </w:pPr>
            <w:r>
              <w:rPr>
                <w:b/>
                <w:bCs/>
              </w:rPr>
              <w:t xml:space="preserve">1939.74</w:t>
            </w:r>
          </w:p>
        </w:tc>
        <w:tc>
          <w:tcPr/>
          <w:p>
            <w:pPr>
              <w:pStyle w:val="Compact"/>
            </w:pPr>
            <w:r>
              <w:rPr>
                <w:b/>
                <w:bCs/>
              </w:rPr>
              <w:t xml:space="preserve">2046</w:t>
            </w:r>
          </w:p>
        </w:tc>
        <w:tc>
          <w:tcPr/>
          <w:p>
            <w:pPr>
              <w:pStyle w:val="Compact"/>
            </w:pPr>
            <w:r>
              <w:rPr>
                <w:b/>
                <w:bCs/>
              </w:rPr>
              <w:t xml:space="preserve">133.80</w:t>
            </w:r>
          </w:p>
        </w:tc>
        <w:tc>
          <w:tcPr/>
          <w:p>
            <w:pPr>
              <w:pStyle w:val="Compact"/>
            </w:pPr>
            <w:r>
              <w:rPr>
                <w:b/>
                <w:bCs/>
              </w:rPr>
              <w:t xml:space="preserve">7331.85</w:t>
            </w:r>
          </w:p>
        </w:tc>
        <w:tc>
          <w:tcPr/>
          <w:p>
            <w:pPr>
              <w:pStyle w:val="Compact"/>
            </w:pPr>
            <w:r>
              <w:rPr>
                <w:b/>
                <w:bCs/>
              </w:rPr>
              <w:t xml:space="preserve">2.1525</w:t>
            </w:r>
          </w:p>
        </w:tc>
        <w:tc>
          <w:tcPr/>
          <w:p>
            <w:pPr>
              <w:pStyle w:val="Compact"/>
            </w:pPr>
            <w:r>
              <w:rPr>
                <w:b/>
                <w:bCs/>
              </w:rPr>
              <w:t xml:space="preserve">94.41%</w:t>
            </w:r>
          </w:p>
        </w:tc>
      </w:tr>
    </w:tbl>
    <w:p>
      <w:pPr>
        <w:pStyle w:val="CaptionedFigure"/>
      </w:pPr>
      <w:r>
        <w:drawing>
          <wp:inline>
            <wp:extent cx="5334000" cy="3823771"/>
            <wp:effectExtent b="0" l="0" r="0" t="0"/>
            <wp:docPr descr="图10 消融策略多目标权衡散点图" title="" id="45" name="Picture"/>
            <a:graphic>
              <a:graphicData uri="http://schemas.openxmlformats.org/drawingml/2006/picture">
                <pic:pic>
                  <pic:nvPicPr>
                    <pic:cNvPr descr="../pics/fig11_ablation_pareto_scatter.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图10</w:t>
      </w:r>
      <w:r>
        <w:t xml:space="preserve"> </w:t>
      </w:r>
      <w:r>
        <w:rPr>
          <w:rFonts w:hint="eastAsia"/>
        </w:rPr>
        <w:t xml:space="preserve">消融策略多目标权衡散点图</w:t>
      </w:r>
    </w:p>
    <w:p>
      <w:pPr>
        <w:pStyle w:val="BodyText"/>
      </w:pPr>
      <w:r>
        <w:rPr>
          <w:rFonts w:hint="eastAsia"/>
        </w:rPr>
        <w:t xml:space="preserve">图10</w:t>
      </w:r>
      <w:r>
        <w:t xml:space="preserve"> </w:t>
      </w:r>
      <w:r>
        <w:rPr>
          <w:rFonts w:hint="eastAsia"/>
        </w:rPr>
        <w:t xml:space="preserve">消融策略能耗-性能-稀疏性三目标权衡散点图（横轴为日均能耗，纵轴为</w:t>
      </w:r>
      <w:r>
        <w:t xml:space="preserve"> </w:t>
      </w:r>
      <w:r>
        <w:rPr>
          <w:rFonts w:hint="eastAsia"/>
        </w:rPr>
        <w:t xml:space="preserve">PPR；颜色表示</w:t>
      </w:r>
      <w:r>
        <w:t xml:space="preserve"> </w:t>
      </w:r>
      <w:r>
        <w:rPr>
          <w:rFonts w:hint="eastAsia"/>
        </w:rPr>
        <w:t xml:space="preserve">ACR；文本标签标注各消融策略）</w:t>
      </w:r>
    </w:p>
    <w:p>
      <w:pPr>
        <w:pStyle w:val="BodyText"/>
      </w:pPr>
      <w:r>
        <w:rPr>
          <w:rFonts w:hint="eastAsia"/>
        </w:rPr>
        <w:t xml:space="preserve">由图10</w:t>
      </w:r>
      <w:r>
        <w:t xml:space="preserve">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与</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与最高</w:t>
      </w:r>
      <w:r>
        <w:t xml:space="preserve"> </w:t>
      </w:r>
      <w:r>
        <w:rPr>
          <w:rFonts w:hint="eastAsia"/>
        </w:rPr>
        <w:t xml:space="preserve">ACR，因此在当前样本集上表现为更接近理想综合折衷解的候选点。</w:t>
      </w:r>
    </w:p>
    <w:p>
      <w:pPr>
        <w:pStyle w:val="BodyText"/>
      </w:pPr>
      <w:r>
        <w:rPr>
          <w:rFonts w:hint="eastAsia"/>
        </w:rPr>
        <w:t xml:space="preserve">在时序尺度消融方面，Short-scale</w:t>
      </w:r>
      <w:r>
        <w:t xml:space="preserve"> Only </w:t>
      </w:r>
      <w:r>
        <w:rPr>
          <w:rFonts w:hint="eastAsia"/>
        </w:rPr>
        <w:t xml:space="preserve">相比</w:t>
      </w:r>
      <w:r>
        <w:t xml:space="preserve"> Full ET-PRL </w:t>
      </w:r>
      <w:r>
        <w:rPr>
          <w:rFonts w:hint="eastAsia"/>
        </w:rPr>
        <w:t xml:space="preserve">的</w:t>
      </w:r>
      <w:r>
        <w:t xml:space="preserve"> PPR </w:t>
      </w:r>
      <w:r>
        <w:rPr>
          <w:rFonts w:hint="eastAsia"/>
        </w:rPr>
        <w:t xml:space="preserve">略高（94.99%</w:t>
      </w:r>
      <w:r>
        <w:t xml:space="preserve"> vs </w:t>
      </w:r>
      <w:r>
        <w:rPr>
          <w:rFonts w:hint="eastAsia"/>
        </w:rPr>
        <w:t xml:space="preserve">94.41%），但其</w:t>
      </w:r>
      <w:r>
        <w:t xml:space="preserve"> ACR </w:t>
      </w:r>
      <w:r>
        <w:rPr>
          <w:rFonts w:hint="eastAsia"/>
        </w:rPr>
        <w:t xml:space="preserve">下降</w:t>
      </w:r>
      <w:r>
        <w:t xml:space="preserve"> </w:t>
      </w:r>
      <w:r>
        <w:rPr>
          <w:rFonts w:hint="eastAsia"/>
        </w:rPr>
        <w:t xml:space="preserve">3.58%（2.0754</w:t>
      </w:r>
      <w:r>
        <w:t xml:space="preserve"> vs </w:t>
      </w:r>
      <w:r>
        <w:rPr>
          <w:rFonts w:hint="eastAsia"/>
        </w:rPr>
        <w:t xml:space="preserve">2.1525），且日均能耗增加</w:t>
      </w:r>
      <w:r>
        <w:t xml:space="preserve"> 75.18 </w:t>
      </w:r>
      <w:r>
        <w:rPr>
          <w:rFonts w:hint="eastAsia"/>
        </w:rPr>
        <w:t xml:space="preserve">kWh/day（7407.03</w:t>
      </w:r>
      <w:r>
        <w:t xml:space="preserve"> vs </w:t>
      </w:r>
      <w:r>
        <w:rPr>
          <w:rFonts w:hint="eastAsia"/>
        </w:rPr>
        <w:t xml:space="preserve">7331.85）。在本研究设定的舒适约束下，两者</w:t>
      </w:r>
      <w:r>
        <w:t xml:space="preserve"> PPR </w:t>
      </w:r>
      <w:r>
        <w:rPr>
          <w:rFonts w:hint="eastAsia"/>
        </w:rPr>
        <w:t xml:space="preserve">均处于</w:t>
      </w:r>
      <w:r>
        <w:t xml:space="preserve"> 94% </w:t>
      </w:r>
      <w:r>
        <w:rPr>
          <w:rFonts w:hint="eastAsia"/>
        </w:rPr>
        <w:t xml:space="preserve">以上区间，0.58</w:t>
      </w:r>
      <w:r>
        <w:t xml:space="preserve"> </w:t>
      </w:r>
      <w:r>
        <w:rPr>
          <w:rFonts w:hint="eastAsia"/>
        </w:rPr>
        <w:t xml:space="preserve">个百分点的差异属于有限边际变化；与之对应，动作压缩能力下降与能耗增加会直接转化为执行层负担与运行成本上升。进一步地，Medium-scale</w:t>
      </w:r>
      <w:r>
        <w:t xml:space="preserve"> Only </w:t>
      </w:r>
      <w:r>
        <w:rPr>
          <w:rFonts w:hint="eastAsia"/>
        </w:rPr>
        <w:t xml:space="preserve">与</w:t>
      </w:r>
      <w:r>
        <w:t xml:space="preserve"> Long-scale Only </w:t>
      </w:r>
      <w:r>
        <w:rPr>
          <w:rFonts w:hint="eastAsia"/>
        </w:rPr>
        <w:t xml:space="preserve">虽保持较高</w:t>
      </w:r>
      <w:r>
        <w:t xml:space="preserve"> </w:t>
      </w:r>
      <w:r>
        <w:rPr>
          <w:rFonts w:hint="eastAsia"/>
        </w:rPr>
        <w:t xml:space="preserve">PPR（99.38%</w:t>
      </w:r>
      <w:r>
        <w:t xml:space="preserve"> </w:t>
      </w:r>
      <w:r>
        <w:rPr>
          <w:rFonts w:hint="eastAsia"/>
        </w:rPr>
        <w:t xml:space="preserve">和</w:t>
      </w:r>
      <w:r>
        <w:t xml:space="preserve"> </w:t>
      </w:r>
      <w:r>
        <w:rPr>
          <w:rFonts w:hint="eastAsia"/>
        </w:rPr>
        <w:t xml:space="preserve">98.90%），但触发稀疏性显著退化（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283.42），且能耗改善不明显（7484.70</w:t>
      </w:r>
      <w:r>
        <w:t xml:space="preserve"> </w:t>
      </w:r>
      <w:r>
        <w:rPr>
          <w:rFonts w:hint="eastAsia"/>
        </w:rPr>
        <w:t xml:space="preserve">和</w:t>
      </w:r>
      <w:r>
        <w:t xml:space="preserve"> 7431.26 </w:t>
      </w:r>
      <w:r>
        <w:rPr>
          <w:rFonts w:hint="eastAsia"/>
        </w:rPr>
        <w:t xml:space="preserve">kWh/day）。该组结果表明，单一尺度统计难以同时兼顾短时扰动响应与长期漂移纠偏。</w:t>
      </w:r>
    </w:p>
    <w:p>
      <w:pPr>
        <w:pStyle w:val="BodyText"/>
      </w:pPr>
      <w:r>
        <w:rPr>
          <w:rFonts w:hint="eastAsia"/>
        </w:rPr>
        <w:t xml:space="preserve">本研究采用紧凑的</w:t>
      </w:r>
      <w:r>
        <w:t xml:space="preserve"> 3 </w:t>
      </w:r>
      <w:r>
        <w:rPr>
          <w:rFonts w:hint="eastAsia"/>
        </w:rPr>
        <w:t xml:space="preserve">维状态空间</w:t>
      </w:r>
      <w:r>
        <w:t xml:space="preserve"> </w:t>
      </w:r>
      <m:oMath>
        <m:d>
          <m:dPr>
            <m:begChr m:val="("/>
            <m:sepChr m:val=""/>
            <m:endChr m:val=")"/>
            <m:grow/>
          </m:dPr>
          <m:e>
            <m:sSubSup>
              <m:e>
                <m:r>
                  <m:t>Q</m:t>
                </m:r>
              </m:e>
              <m:sub>
                <m:r>
                  <m:rPr>
                    <m:sty m:val="p"/>
                  </m:rPr>
                  <m:t>l</m:t>
                </m:r>
                <m:r>
                  <m:rPr>
                    <m:sty m:val="p"/>
                  </m:rPr>
                  <m:t>o</m:t>
                </m:r>
                <m:r>
                  <m:rPr>
                    <m:sty m:val="p"/>
                  </m:rPr>
                  <m:t>a</m:t>
                </m:r>
                <m:r>
                  <m:rPr>
                    <m:sty m:val="p"/>
                  </m:rP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e>
        </m:d>
      </m:oMath>
      <w:r>
        <w:rPr>
          <w:rFonts w:hint="eastAsia"/>
        </w:rPr>
        <w:t xml:space="preserve">，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通过引入中长尺度分数，为紧凑状态智能体提供隐式历史信息补偿，能够将慢性设备衰退与季节漂移重新识别为需干预事件，从而在季节尺度上维持全局能效下界。</w:t>
      </w:r>
    </w:p>
    <w:p>
      <w:pPr>
        <w:pStyle w:val="BodyText"/>
      </w:pPr>
      <w:r>
        <w:rPr>
          <w:rFonts w:hint="eastAsia"/>
        </w:rPr>
        <w:t xml:space="preserve">在双阈值机制消融方面，Local</w:t>
      </w:r>
      <w:r>
        <w:t xml:space="preserve"> Threshold Only </w:t>
      </w:r>
      <w:r>
        <w:rPr>
          <w:rFonts w:hint="eastAsia"/>
        </w:rPr>
        <w:t xml:space="preserve">与</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易出现短视跟随，即对短时扰动过敏而缺乏慢变量基线约束；Global</w:t>
      </w:r>
      <w:r>
        <w:t xml:space="preserve"> Threshold Only </w:t>
      </w:r>
      <w:r>
        <w:rPr>
          <w:rFonts w:hint="eastAsia"/>
        </w:rPr>
        <w:t xml:space="preserve">易出现响应滞后，即对分钟级外扰吸收不足并在后续需要更大幅度补偿控制。两类退化分别对应快速响应能力与长期稳态约束的单侧缺失。两者协同后，ET-PRL</w:t>
      </w:r>
      <w:r>
        <w:t xml:space="preserve"> </w:t>
      </w:r>
      <w:r>
        <w:rPr>
          <w:rFonts w:hint="eastAsia"/>
        </w:rPr>
        <w:t xml:space="preserve">才能在能耗、性能保持率与动作稀疏性之间实现稳定且可复现的综合优势。</w:t>
      </w:r>
    </w:p>
    <w:p>
      <w:pPr>
        <w:pStyle w:val="BodyText"/>
      </w:pPr>
      <w:r>
        <w:rPr>
          <w:rFonts w:hint="eastAsia"/>
        </w:rPr>
        <w:t xml:space="preserve">（5）参数敏感性分析</w:t>
      </w:r>
    </w:p>
    <w:p>
      <w:pPr>
        <w:pStyle w:val="BodyText"/>
      </w:pPr>
      <w:r>
        <w:rPr>
          <w:rFonts w:hint="eastAsia"/>
        </w:rPr>
        <w:t xml:space="preserve">为评估</w:t>
      </w:r>
      <w:r>
        <w:t xml:space="preserve"> ET-PRL </w:t>
      </w:r>
      <w:r>
        <w:rPr>
          <w:rFonts w:hint="eastAsia"/>
        </w:rPr>
        <w:t xml:space="preserve">门控机制对超参数扰动的稳健性，本文对在线异常门控关键参数开展敏感性分析。结合第</w:t>
      </w:r>
      <w:r>
        <w:t xml:space="preserve"> 3.1 </w:t>
      </w:r>
      <w:r>
        <w:rPr>
          <w:rFonts w:hint="eastAsia"/>
        </w:rPr>
        <w:t xml:space="preserve">节与第</w:t>
      </w:r>
      <w:r>
        <w:t xml:space="preserve"> 3.2 </w:t>
      </w:r>
      <w:r>
        <w:rPr>
          <w:rFonts w:hint="eastAsia"/>
        </w:rPr>
        <w:t xml:space="preserve">节的机制定义，相关参数可归纳为两类。其一为阈值判定参数，包括阈值偏置项、分位数阈值、MAD（Median</w:t>
      </w:r>
      <w:r>
        <w:t xml:space="preserve"> Absolute </w:t>
      </w:r>
      <w:r>
        <w:rPr>
          <w:rFonts w:hint="eastAsia"/>
        </w:rPr>
        <w:t xml:space="preserve">Deviation）尺度系数、阈值局部更新率与触发滞回边际，主要影响触发边界的位置与判定严格程度。其二为统计结构参数，包括局部窗口长度、全局指数滑动平均衰减率（EMA</w:t>
      </w:r>
      <w:r>
        <w:t xml:space="preserve"> </w:t>
      </w:r>
      <w:r>
        <w:rPr>
          <w:rFonts w:hint="eastAsia"/>
        </w:rPr>
        <w:t xml:space="preserve">decay）、参考样本规模与阈值优化最小样本数，主要影响门控对分布漂移的响应尺度与更新稳定性。</w:t>
      </w:r>
    </w:p>
    <w:p>
      <w:pPr>
        <w:pStyle w:val="BodyText"/>
      </w:pPr>
      <w:r>
        <w:rPr>
          <w:rFonts w:hint="eastAsia"/>
        </w:rPr>
        <w:t xml:space="preserve">优化结果显示，阈值判定参数对触发稀疏性与性能保持能力具有显著影响。较优参数组合对应阈值偏置项</w:t>
      </w:r>
      <w:r>
        <w:t xml:space="preserve"> </w:t>
      </w:r>
      <w:r>
        <w:rPr>
          <w:rFonts w:hint="eastAsia"/>
        </w:rPr>
        <w:t xml:space="preserve">-0.0431、分位数阈值</w:t>
      </w:r>
      <w:r>
        <w:t xml:space="preserve"> 0.6675、MAD </w:t>
      </w:r>
      <w:r>
        <w:rPr>
          <w:rFonts w:hint="eastAsia"/>
        </w:rPr>
        <w:t xml:space="preserve">尺度系数</w:t>
      </w:r>
      <w:r>
        <w:t xml:space="preserve"> </w:t>
      </w:r>
      <w:r>
        <w:rPr>
          <w:rFonts w:hint="eastAsia"/>
        </w:rPr>
        <w:t xml:space="preserve">1.1353、阈值局部更新率</w:t>
      </w:r>
      <w:r>
        <w:t xml:space="preserve"> </w:t>
      </w:r>
      <w:r>
        <w:rPr>
          <w:rFonts w:hint="eastAsia"/>
        </w:rPr>
        <w:t xml:space="preserve">0.5957、触发滞回边际</w:t>
      </w:r>
      <w:r>
        <w:t xml:space="preserve"> </w:t>
      </w:r>
      <w:r>
        <w:rPr>
          <w:rFonts w:hint="eastAsia"/>
        </w:rPr>
        <w:t xml:space="preserve">0.0218。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pPr>
        <w:pStyle w:val="BodyText"/>
      </w:pPr>
      <w:r>
        <w:rPr>
          <w:rFonts w:hint="eastAsia"/>
        </w:rPr>
        <w:t xml:space="preserve">从近最优解分布看，在目标函数值较最优值放宽</w:t>
      </w:r>
      <w:r>
        <w:t xml:space="preserve"> 10% </w:t>
      </w:r>
      <w:r>
        <w:rPr>
          <w:rFonts w:hint="eastAsia"/>
        </w:rPr>
        <w:t xml:space="preserve">的可行区域内，阈值偏置项稳定落在</w:t>
      </w:r>
      <w:r>
        <w:t xml:space="preserve"> -0.0431 </w:t>
      </w:r>
      <w:r>
        <w:rPr>
          <w:rFonts w:hint="eastAsia"/>
        </w:rPr>
        <w:t xml:space="preserve">至</w:t>
      </w:r>
      <w:r>
        <w:t xml:space="preserve"> </w:t>
      </w:r>
      <w:r>
        <w:rPr>
          <w:rFonts w:hint="eastAsia"/>
        </w:rPr>
        <w:t xml:space="preserve">-0.0329，分位数阈值稳定落在</w:t>
      </w:r>
      <w:r>
        <w:t xml:space="preserve"> 0.6338 </w:t>
      </w:r>
      <w:r>
        <w:rPr>
          <w:rFonts w:hint="eastAsia"/>
        </w:rPr>
        <w:t xml:space="preserve">至</w:t>
      </w:r>
      <w:r>
        <w:t xml:space="preserve"> </w:t>
      </w:r>
      <w:r>
        <w:rPr>
          <w:rFonts w:hint="eastAsia"/>
        </w:rPr>
        <w:t xml:space="preserve">0.6675，污染率参数稳定落在</w:t>
      </w:r>
      <w:r>
        <w:t xml:space="preserve"> 0.2571 </w:t>
      </w:r>
      <w:r>
        <w:rPr>
          <w:rFonts w:hint="eastAsia"/>
        </w:rPr>
        <w:t xml:space="preserve">至</w:t>
      </w:r>
      <w:r>
        <w:t xml:space="preserve"> </w:t>
      </w:r>
      <w:r>
        <w:rPr>
          <w:rFonts w:hint="eastAsia"/>
        </w:rPr>
        <w:t xml:space="preserve">0.3104。该结果进一步说明，阈值判定参数并非单点可行，而是在有限区间内存在可复现的稳定解域。</w:t>
      </w:r>
    </w:p>
    <w:p>
      <w:pPr>
        <w:pStyle w:val="BodyText"/>
      </w:pPr>
      <w:r>
        <w:rPr>
          <w:rFonts w:hint="eastAsia"/>
        </w:rPr>
        <w:t xml:space="preserve">优化结果同时表明，统计结构参数主要决定门控对短期扰动与长期漂移的折衷方式。较优参数组合为局部权重</w:t>
      </w:r>
      <w:r>
        <w:t xml:space="preserve"> </w:t>
      </w:r>
      <w:r>
        <w:rPr>
          <w:rFonts w:hint="eastAsia"/>
        </w:rPr>
        <w:t xml:space="preserve">0.9486、全局</w:t>
      </w:r>
      <w:r>
        <w:t xml:space="preserve"> EMA </w:t>
      </w:r>
      <w:r>
        <w:rPr>
          <w:rFonts w:hint="eastAsia"/>
        </w:rPr>
        <w:t xml:space="preserve">衰减率</w:t>
      </w:r>
      <w:r>
        <w:t xml:space="preserve"> </w:t>
      </w:r>
      <w:r>
        <w:rPr>
          <w:rFonts w:hint="eastAsia"/>
        </w:rPr>
        <w:t xml:space="preserve">0.0819、局部窗口长度</w:t>
      </w:r>
      <w:r>
        <w:t xml:space="preserve"> </w:t>
      </w:r>
      <w:r>
        <w:rPr>
          <w:rFonts w:hint="eastAsia"/>
        </w:rPr>
        <w:t xml:space="preserve">227、参考样本规模</w:t>
      </w:r>
      <w:r>
        <w:t xml:space="preserve"> </w:t>
      </w:r>
      <w:r>
        <w:rPr>
          <w:rFonts w:hint="eastAsia"/>
        </w:rPr>
        <w:t xml:space="preserve">910、阈值优化最小样本数</w:t>
      </w:r>
      <w:r>
        <w:t xml:space="preserve"> </w:t>
      </w:r>
      <w:r>
        <w:rPr>
          <w:rFonts w:hint="eastAsia"/>
        </w:rPr>
        <w:t xml:space="preserve">104。相较默认配置，局部窗口长度由</w:t>
      </w:r>
      <w:r>
        <w:t xml:space="preserve"> 135 </w:t>
      </w:r>
      <w:r>
        <w:rPr>
          <w:rFonts w:hint="eastAsia"/>
        </w:rPr>
        <w:t xml:space="preserve">增加至</w:t>
      </w:r>
      <w:r>
        <w:t xml:space="preserve"> </w:t>
      </w:r>
      <w:r>
        <w:rPr>
          <w:rFonts w:hint="eastAsia"/>
        </w:rPr>
        <w:t xml:space="preserve">227，参考样本规模由</w:t>
      </w:r>
      <w:r>
        <w:t xml:space="preserve"> 700 </w:t>
      </w:r>
      <w:r>
        <w:rPr>
          <w:rFonts w:hint="eastAsia"/>
        </w:rPr>
        <w:t xml:space="preserve">增加至</w:t>
      </w:r>
      <w:r>
        <w:t xml:space="preserve"> </w:t>
      </w:r>
      <w:r>
        <w:rPr>
          <w:rFonts w:hint="eastAsia"/>
        </w:rPr>
        <w:t xml:space="preserve">910，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pPr>
        <w:pStyle w:val="BodyText"/>
      </w:pPr>
      <w:r>
        <w:rPr>
          <w:rFonts w:hint="eastAsia"/>
        </w:rPr>
        <w:t xml:space="preserve">进一步地，在目标函数值放宽</w:t>
      </w:r>
      <w:r>
        <w:t xml:space="preserve"> 10% </w:t>
      </w:r>
      <w:r>
        <w:rPr>
          <w:rFonts w:hint="eastAsia"/>
        </w:rPr>
        <w:t xml:space="preserve">的近最优区域中，局部权重集中于</w:t>
      </w:r>
      <w:r>
        <w:t xml:space="preserve"> 0.8965 </w:t>
      </w:r>
      <w:r>
        <w:rPr>
          <w:rFonts w:hint="eastAsia"/>
        </w:rPr>
        <w:t xml:space="preserve">至</w:t>
      </w:r>
      <w:r>
        <w:t xml:space="preserve"> </w:t>
      </w:r>
      <w:r>
        <w:rPr>
          <w:rFonts w:hint="eastAsia"/>
        </w:rPr>
        <w:t xml:space="preserve">0.9486，全局</w:t>
      </w:r>
      <w:r>
        <w:t xml:space="preserve"> EMA </w:t>
      </w:r>
      <w:r>
        <w:rPr>
          <w:rFonts w:hint="eastAsia"/>
        </w:rPr>
        <w:t xml:space="preserve">衰减率集中于</w:t>
      </w:r>
      <w:r>
        <w:t xml:space="preserve"> 0.0745 </w:t>
      </w:r>
      <w:r>
        <w:rPr>
          <w:rFonts w:hint="eastAsia"/>
        </w:rPr>
        <w:t xml:space="preserve">至</w:t>
      </w:r>
      <w:r>
        <w:t xml:space="preserve"> </w:t>
      </w:r>
      <w:r>
        <w:rPr>
          <w:rFonts w:hint="eastAsia"/>
        </w:rPr>
        <w:t xml:space="preserve">0.0819，局部窗口长度集中于</w:t>
      </w:r>
      <w:r>
        <w:t xml:space="preserve"> 225 </w:t>
      </w:r>
      <w:r>
        <w:rPr>
          <w:rFonts w:hint="eastAsia"/>
        </w:rPr>
        <w:t xml:space="preserve">至</w:t>
      </w:r>
      <w:r>
        <w:t xml:space="preserve"> </w:t>
      </w:r>
      <w:r>
        <w:rPr>
          <w:rFonts w:hint="eastAsia"/>
        </w:rPr>
        <w:t xml:space="preserve">227。该分布表明，统计结构参数的有效区间相对收敛，门控机制在该区间内表现出较好的配置稳定性。</w:t>
      </w:r>
    </w:p>
    <w:p>
      <w:pPr>
        <w:pStyle w:val="BodyText"/>
      </w:pPr>
      <w:r>
        <w:rPr>
          <w:rFonts w:hint="eastAsia"/>
        </w:rPr>
        <w:t xml:space="preserve">如图11</w:t>
      </w:r>
      <w:r>
        <w:t xml:space="preserve"> </w:t>
      </w:r>
      <w:r>
        <w:rPr>
          <w:rFonts w:hint="eastAsia"/>
        </w:rPr>
        <w:t xml:space="preserve">所示，各关键参数在近最优目标值邻域内均呈现出稳定区间，表明</w:t>
      </w:r>
      <w:r>
        <w:t xml:space="preserve"> ET-PRL </w:t>
      </w:r>
      <w:r>
        <w:rPr>
          <w:rFonts w:hint="eastAsia"/>
        </w:rPr>
        <w:t xml:space="preserve">门控参数并非单点可行，而是存在可复现的有效解域。</w:t>
      </w:r>
    </w:p>
    <w:p>
      <w:pPr>
        <w:pStyle w:val="CaptionedFigure"/>
      </w:pPr>
      <w:r>
        <w:drawing>
          <wp:inline>
            <wp:extent cx="5334000" cy="2771472"/>
            <wp:effectExtent b="0" l="0" r="0" t="0"/>
            <wp:docPr descr="图11 门控关键参数敏感性与近最优解域" title="" id="48" name="Picture"/>
            <a:graphic>
              <a:graphicData uri="http://schemas.openxmlformats.org/drawingml/2006/picture">
                <pic:pic>
                  <pic:nvPicPr>
                    <pic:cNvPr descr="../pics/fig12_gate_key_parameter_sensitivity.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334000" cy="2771472"/>
                    </a:xfrm>
                    <a:prstGeom prst="rect">
                      <a:avLst/>
                    </a:prstGeom>
                    <a:noFill/>
                    <a:ln w="9525">
                      <a:noFill/>
                      <a:headEnd/>
                      <a:tailEnd/>
                    </a:ln>
                  </pic:spPr>
                </pic:pic>
              </a:graphicData>
            </a:graphic>
          </wp:inline>
        </w:drawing>
      </w:r>
    </w:p>
    <w:p>
      <w:pPr>
        <w:pStyle w:val="ImageCaption"/>
      </w:pPr>
      <w:r>
        <w:rPr>
          <w:rFonts w:hint="eastAsia"/>
        </w:rPr>
        <w:t xml:space="preserve">图11</w:t>
      </w:r>
      <w:r>
        <w:t xml:space="preserve"> </w:t>
      </w:r>
      <w:r>
        <w:rPr>
          <w:rFonts w:hint="eastAsia"/>
        </w:rPr>
        <w:t xml:space="preserve">门控关键参数敏感性与近最优解域</w:t>
      </w:r>
    </w:p>
    <w:p>
      <w:pPr>
        <w:pStyle w:val="BodyText"/>
      </w:pPr>
      <w:r>
        <w:rPr>
          <w:rFonts w:hint="eastAsia"/>
        </w:rPr>
        <w:t xml:space="preserve">图11</w:t>
      </w:r>
      <w:r>
        <w:t xml:space="preserve"> </w:t>
      </w:r>
      <w:r>
        <w:rPr>
          <w:rFonts w:hint="eastAsia"/>
        </w:rPr>
        <w:t xml:space="preserve">门控关键参数敏感性与近最优解域</w:t>
      </w:r>
    </w:p>
    <w:p>
      <w:pPr>
        <w:pStyle w:val="BodyText"/>
      </w:pPr>
      <w:r>
        <w:rPr>
          <w:rFonts w:hint="eastAsia"/>
        </w:rPr>
        <w:t xml:space="preserve">综上，ET-PRL</w:t>
      </w:r>
      <w:r>
        <w:t xml:space="preserve"> </w:t>
      </w:r>
      <w:r>
        <w:rPr>
          <w:rFonts w:hint="eastAsia"/>
        </w:rPr>
        <w:t xml:space="preserve">的参数敏感性本质上体现为触发稀疏性与控制保持能力之间的结构化权衡。过低阈值会导致更新过密，过高阈值会削弱对负荷变化的及时响应；局部窗口长度、参考样本规模与局部-全局融合权重共同决定该权衡在跨工况条件下的稳定性。由此可见，本框架的性能改进并非来源于单一参数取值，而是由阈值判定、统计平滑与多尺度分数融合的协同机制共同实现。</w:t>
      </w:r>
    </w:p>
    <w:bookmarkEnd w:id="50"/>
    <w:bookmarkEnd w:id="51"/>
    <w:bookmarkStart w:id="52" w:name="总结"/>
    <w:p>
      <w:pPr>
        <w:pStyle w:val="Heading1"/>
      </w:pPr>
      <w:r>
        <w:t xml:space="preserve">6. </w:t>
      </w:r>
      <w:r>
        <w:rPr>
          <w:rFonts w:hint="eastAsia"/>
        </w:rPr>
        <w:t xml:space="preserve">总结</w:t>
      </w:r>
    </w:p>
    <w:bookmarkEnd w:id="52"/>
    <w:bookmarkStart w:id="53" w:name="附录-a-评价指标体系与优化方向"/>
    <w:p>
      <w:pPr>
        <w:pStyle w:val="Heading1"/>
      </w:pPr>
      <w:r>
        <w:rPr>
          <w:rFonts w:hint="eastAsia"/>
        </w:rPr>
        <w:t xml:space="preserve">附录</w:t>
      </w:r>
      <w:r>
        <w:t xml:space="preserve"> A </w:t>
      </w:r>
      <w:r>
        <w:rPr>
          <w:rFonts w:hint="eastAsia"/>
        </w:rPr>
        <w:t xml:space="preserve">评价指标体系与优化方向</w:t>
      </w:r>
    </w:p>
    <w:p>
      <w:pPr>
        <w:pStyle w:val="FirstParagraph"/>
      </w:pPr>
      <w:r>
        <w:rPr>
          <w:rFonts w:hint="eastAsia"/>
        </w:rPr>
        <w:t xml:space="preserve">表</w:t>
      </w:r>
      <w:r>
        <w:t xml:space="preserve"> A </w:t>
      </w:r>
      <w:r>
        <w:rPr>
          <w:rFonts w:hint="eastAsia"/>
        </w:rPr>
        <w:t xml:space="preserve">评价指标体系与优化方向</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kW</w:t>
            </w:r>
          </w:p>
        </w:tc>
        <w:tc>
          <w:tcPr/>
          <w:p>
            <w:pPr>
              <w:pStyle w:val="Compact"/>
            </w:pPr>
            <w:r>
              <w:t xml:space="preserve">Minimize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动作更新总次数</w:t>
            </w:r>
          </w:p>
        </w:tc>
        <w:tc>
          <w:tcPr/>
          <w:p>
            <w:pPr>
              <w:pStyle w:val="Compact"/>
            </w:pPr>
            <m:oMath>
              <m:sSub>
                <m:e>
                  <m:r>
                    <m:t>N</m:t>
                  </m:r>
                </m:e>
                <m:sub>
                  <m:r>
                    <m:rPr>
                      <m:nor/>
                      <m:sty m:val="p"/>
                    </m:rPr>
                    <m:t>update</m:t>
                  </m:r>
                </m:sub>
              </m:sSub>
            </m:oMath>
          </w:p>
        </w:tc>
        <w:tc>
          <w:tcPr/>
          <w:p>
            <w:pPr>
              <w:pStyle w:val="Compact"/>
            </w:pPr>
            <w:r>
              <w:t xml:space="preserve">count</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动作减少率</w:t>
            </w:r>
          </w:p>
        </w:tc>
        <w:tc>
          <w:tcPr/>
          <w:p>
            <w:pPr>
              <w:pStyle w:val="Compact"/>
            </w:pPr>
            <w:r>
              <w:t xml:space="preserve">ARR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总奖励</w:t>
            </w:r>
          </w:p>
        </w:tc>
        <w:tc>
          <w:tcPr/>
          <w:p>
            <w:pPr>
              <w:pStyle w:val="Compact"/>
            </w:pPr>
            <m:oMath>
              <m:sSub>
                <m:e>
                  <m:r>
                    <m:t>R</m:t>
                  </m:r>
                </m:e>
                <m:sub>
                  <m:r>
                    <m:rPr>
                      <m:nor/>
                      <m:sty m:val="p"/>
                    </m:rPr>
                    <m:t>test</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bl>
    <w:bookmarkEnd w:id="53"/>
    <w:bookmarkStart w:id="54"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svg"/><Relationship Id="rId44" Type="http://schemas.openxmlformats.org/officeDocument/2006/relationships/image" Target="media/rId44.svg"/><Relationship Id="rId47" Type="http://schemas.openxmlformats.org/officeDocument/2006/relationships/image" Target="media/rId47.svg"/><Relationship Id="rId10" Type="http://schemas.openxmlformats.org/officeDocument/2006/relationships/image" Target="media/rId10.svg"/><Relationship Id="rId20" Type="http://schemas.openxmlformats.org/officeDocument/2006/relationships/image" Target="media/rId20.svg"/><Relationship Id="rId23" Type="http://schemas.openxmlformats.org/officeDocument/2006/relationships/image" Target="media/rId23.svg"/><Relationship Id="rId28" Type="http://schemas.openxmlformats.org/officeDocument/2006/relationships/image" Target="media/rId28.svg"/><Relationship Id="rId32" Type="http://schemas.openxmlformats.org/officeDocument/2006/relationships/image" Target="media/rId32.svg"/><Relationship Id="rId35" Type="http://schemas.openxmlformats.org/officeDocument/2006/relationships/image" Target="media/rId35.svg"/><Relationship Id="rId38" Type="http://schemas.openxmlformats.org/officeDocument/2006/relationships/image" Target="media/rId3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2026-05-24T06:31:29Z</dcterms:created>
  <dcterms:modified xsi:type="dcterms:W3CDTF">2026-05-24T06:31:29Z</dcterms:modified>
</cp:coreProperties>
</file>

<file path=docProps/custom.xml><?xml version="1.0" encoding="utf-8"?>
<Properties xmlns="http://schemas.openxmlformats.org/officeDocument/2006/custom-properties" xmlns:vt="http://schemas.openxmlformats.org/officeDocument/2006/docPropsVTypes"/>
</file>