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— Service Agreement Draft</w:t>
      </w:r>
    </w:p>
    <w:p>
      <w:r>
        <w:t>This Agreement is entered into between ACME S.r.l. (the "Client") and Vendor X S.p.A. (the "Provider") for the delivery of Project Alpha consulting services in Q3 2026, with effect from 5 July 2026.</w:t>
      </w:r>
    </w:p>
    <w:p>
      <w:r>
        <w:t>Total contract value: EUR 41,500 (forty-one thousand five hundred euro), exclusive of VAT. Payment in three milestones: 30% on signature (M1), 40% at midterm review (M2), 30% on delivery (M3). The figures and milestone dates align with the alpha-budget-Q3 sheet approved on 2026-04-22.</w:t>
      </w:r>
    </w:p>
    <w:p>
      <w:r>
        <w:t>Confidentiality: standard mutual NDA terms apply. The Provider shall not subcontract any portion of the engagement without prior written consent from the Client.</w:t>
      </w:r>
    </w:p>
    <w:p>
      <w:r>
        <w:t>Data protection: the parties acknowledge a Data Protection Impact Assessment (DPIA) is required prior to processing any personal data in scope of this Agreement; the DPIA is a hard precondition for the midterm payment (M2).</w:t>
      </w:r>
    </w:p>
    <w:p>
      <w:r>
        <w:t>Term: 6 months from execution. Either party may terminate for cause with 30 days written notice; for convenience with 60 days notice and pro-rata settlement of the milestone in flight.</w:t>
      </w:r>
    </w:p>
    <w:p>
      <w:r>
        <w:t>Signatories: Marco Bianchi (PM, ACME S.r.l.), Luisa Rossi (Finance Lead, ACME S.r.l.), Andrea Ferrara (Account Director, Vendor X S.p.A.).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