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ahoma" w:cs="Tahoma" w:eastAsia="Tahoma" w:hAnsi="Tahoma"/>
          <w:b w:val="0"/>
          <w:color w:val="002060"/>
          <w:sz w:val="40"/>
          <w:szCs w:val="4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color w:val="ff0000"/>
          <w:sz w:val="40"/>
          <w:szCs w:val="40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002060"/>
          <w:sz w:val="40"/>
          <w:szCs w:val="40"/>
          <w:vertAlign w:val="baseline"/>
          <w:rtl w:val="0"/>
        </w:rPr>
        <w:t xml:space="preserve">En la compra mínima de $1000, obtén dos pases a Hasbro city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59057</wp:posOffset>
            </wp:positionH>
            <wp:positionV relativeFrom="paragraph">
              <wp:posOffset>-129538</wp:posOffset>
            </wp:positionV>
            <wp:extent cx="5829300" cy="981075"/>
            <wp:effectExtent b="0" l="0" r="0" t="0"/>
            <wp:wrapSquare wrapText="bothSides" distB="0" distT="0" distL="114300" distR="114300"/>
            <wp:docPr id="10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8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pPr w:leftFromText="141" w:rightFromText="141" w:topFromText="0" w:bottomFromText="0" w:vertAnchor="text" w:horzAnchor="text" w:tblpX="0" w:tblpY="262"/>
        <w:tblW w:w="10507.0" w:type="dxa"/>
        <w:jc w:val="left"/>
        <w:tblInd w:w="-70.0" w:type="dxa"/>
        <w:tblLayout w:type="fixed"/>
        <w:tblLook w:val="0000"/>
      </w:tblPr>
      <w:tblGrid>
        <w:gridCol w:w="1701"/>
        <w:gridCol w:w="3030"/>
        <w:gridCol w:w="2916"/>
        <w:gridCol w:w="2860"/>
        <w:tblGridChange w:id="0">
          <w:tblGrid>
            <w:gridCol w:w="1701"/>
            <w:gridCol w:w="3030"/>
            <w:gridCol w:w="2916"/>
            <w:gridCol w:w="2860"/>
          </w:tblGrid>
        </w:tblGridChange>
      </w:tblGrid>
      <w:tr>
        <w:trPr>
          <w:cantSplit w:val="0"/>
          <w:trHeight w:val="1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18"/>
                <w:szCs w:val="18"/>
                <w:vertAlign w:val="baseline"/>
                <w:rtl w:val="0"/>
              </w:rPr>
              <w:t xml:space="preserve">Comprador: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ff"/>
                <w:sz w:val="18"/>
                <w:szCs w:val="18"/>
                <w:vertAlign w:val="baseline"/>
                <w:rtl w:val="0"/>
              </w:rPr>
              <w:t xml:space="preserve">VARIOS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18"/>
                <w:szCs w:val="18"/>
                <w:vertAlign w:val="baseline"/>
                <w:rtl w:val="0"/>
              </w:rPr>
              <w:t xml:space="preserve">Departamento: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ff"/>
                <w:sz w:val="18"/>
                <w:szCs w:val="18"/>
                <w:vertAlign w:val="baseline"/>
                <w:rtl w:val="0"/>
              </w:rPr>
              <w:t xml:space="preserve">VARIOS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18"/>
                <w:szCs w:val="18"/>
                <w:vertAlign w:val="baseline"/>
                <w:rtl w:val="0"/>
              </w:rPr>
              <w:t xml:space="preserve">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ff"/>
                <w:sz w:val="19"/>
                <w:szCs w:val="19"/>
                <w:highlight w:val="white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19"/>
                <w:szCs w:val="19"/>
                <w:highlight w:val="white"/>
                <w:u w:val="single"/>
                <w:vertAlign w:val="baseline"/>
                <w:rtl w:val="0"/>
              </w:rPr>
              <w:t xml:space="preserve">VARIOS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18"/>
                <w:szCs w:val="18"/>
                <w:vertAlign w:val="baseline"/>
                <w:rtl w:val="0"/>
              </w:rPr>
              <w:t xml:space="preserve">Mecánica: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color w:val="ff0000"/>
                <w:sz w:val="18"/>
                <w:szCs w:val="18"/>
                <w:u w:val="single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0000"/>
                <w:sz w:val="18"/>
                <w:szCs w:val="18"/>
                <w:u w:val="single"/>
                <w:vertAlign w:val="baseline"/>
                <w:rtl w:val="0"/>
              </w:rPr>
              <w:t xml:space="preserve">14156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Century Gothic" w:cs="Century Gothic" w:eastAsia="Century Gothic" w:hAnsi="Century Gothic"/>
          <w:b w:val="0"/>
          <w:i w:val="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1"/>
          <w:vertAlign w:val="baseline"/>
          <w:rtl w:val="0"/>
        </w:rPr>
        <w:t xml:space="preserve">Tiendas Participantes: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2388870</wp:posOffset>
            </wp:positionH>
            <wp:positionV relativeFrom="paragraph">
              <wp:posOffset>198120</wp:posOffset>
            </wp:positionV>
            <wp:extent cx="1386840" cy="2910205"/>
            <wp:effectExtent b="0" l="0" r="0" t="0"/>
            <wp:wrapNone/>
            <wp:docPr id="10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9102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partir del 9 de Agosto, en las tiendas participantes se contará con la siguiente promoción, para seguir impulsado la venta en la temporada más importante, la dinámica consta: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compra mínima de $1,000 en productos de papelería participantes, obtén un pase doble Hasbro City.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promoción </w:t>
      </w:r>
      <w:r w:rsidDel="00000000" w:rsidR="00000000" w:rsidRPr="00000000">
        <w:rPr>
          <w:b w:val="1"/>
          <w:rtl w:val="0"/>
        </w:rPr>
        <w:t xml:space="preserve">aplicará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los departamentos enlistados: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2"/>
        <w:gridCol w:w="760"/>
        <w:gridCol w:w="3031"/>
        <w:gridCol w:w="4001"/>
        <w:tblGridChange w:id="0">
          <w:tblGrid>
            <w:gridCol w:w="1992"/>
            <w:gridCol w:w="760"/>
            <w:gridCol w:w="3031"/>
            <w:gridCol w:w="4001"/>
          </w:tblGrid>
        </w:tblGridChange>
      </w:tblGrid>
      <w:tr>
        <w:trPr>
          <w:cantSplit w:val="0"/>
          <w:trHeight w:val="139" w:hRule="atLeast"/>
          <w:tblHeader w:val="0"/>
        </w:trPr>
        <w:tc>
          <w:tcPr>
            <w:shd w:fill="002060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entury Gothic" w:cs="Century Gothic" w:eastAsia="Century Gothic" w:hAnsi="Century Gothic"/>
                <w:b w:val="0"/>
                <w:color w:val="ffffff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ffff"/>
                <w:vertAlign w:val="baseline"/>
                <w:rtl w:val="0"/>
              </w:rPr>
              <w:t xml:space="preserve">COMPRADOR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060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entury Gothic" w:cs="Century Gothic" w:eastAsia="Century Gothic" w:hAnsi="Century Gothic"/>
                <w:b w:val="0"/>
                <w:color w:val="ffffff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ffff"/>
                <w:vertAlign w:val="baseline"/>
                <w:rtl w:val="0"/>
              </w:rPr>
              <w:t xml:space="preserve">DPTO.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060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entury Gothic" w:cs="Century Gothic" w:eastAsia="Century Gothic" w:hAnsi="Century Gothic"/>
                <w:b w:val="0"/>
                <w:color w:val="ffffff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ffff"/>
                <w:vertAlign w:val="baseline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060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entury Gothic" w:cs="Century Gothic" w:eastAsia="Century Gothic" w:hAnsi="Century Gothic"/>
                <w:b w:val="0"/>
                <w:color w:val="ffffff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ffff"/>
                <w:vertAlign w:val="baseline"/>
                <w:rtl w:val="0"/>
              </w:rPr>
              <w:t xml:space="preserve">ACUMULA EN EL MONTO PARA PROMOCION: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Tania Soto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SUMINISTROS DE OFICINA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PARTICIPA TODO EL DEPARTAMENTO</w:t>
            </w:r>
          </w:p>
        </w:tc>
      </w:tr>
      <w:tr>
        <w:trPr>
          <w:cantSplit w:val="0"/>
          <w:trHeight w:val="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Adhara Salgado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ESCRITURA Y ESCOLARES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PARTICIPA TODO EL DEPARTAMENTO</w:t>
            </w:r>
          </w:p>
        </w:tc>
      </w:tr>
      <w:tr>
        <w:trPr>
          <w:cantSplit w:val="0"/>
          <w:trHeight w:val="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Adhara Salgado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ARTE Y DISEÑO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PARTICIPA TODO EL DEPARTAMENTO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ahoma" w:cs="Tahoma" w:eastAsia="Tahoma" w:hAnsi="Tahoma"/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CUPÓN PARA SER VÁLIDO: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1962150</wp:posOffset>
            </wp:positionH>
            <wp:positionV relativeFrom="paragraph">
              <wp:posOffset>87630</wp:posOffset>
            </wp:positionV>
            <wp:extent cx="1912620" cy="1615440"/>
            <wp:effectExtent b="0" l="0" r="0" t="0"/>
            <wp:wrapNone/>
            <wp:docPr id="10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1615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ahoma" w:cs="Tahoma" w:eastAsia="Tahoma" w:hAnsi="Tahoma"/>
          <w:b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ahoma" w:cs="Tahoma" w:eastAsia="Tahoma" w:hAnsi="Tahoma"/>
          <w:b w:val="0"/>
          <w:sz w:val="16"/>
          <w:szCs w:val="16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sz w:val="16"/>
          <w:szCs w:val="16"/>
          <w:vertAlign w:val="baseline"/>
          <w:rtl w:val="0"/>
        </w:rPr>
        <w:t xml:space="preserve">Restricciones: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Tahoma" w:cs="Tahoma" w:eastAsia="Tahoma" w:hAnsi="Tahoma"/>
          <w:sz w:val="16"/>
          <w:szCs w:val="16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6"/>
          <w:szCs w:val="16"/>
          <w:vertAlign w:val="baseline"/>
          <w:rtl w:val="0"/>
        </w:rPr>
        <w:t xml:space="preserve">LA PROMOCIÓN SÓLO APLICA EN PRODUCTOS EN EXISTENCIA.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Tahoma" w:cs="Tahoma" w:eastAsia="Tahoma" w:hAnsi="Tahoma"/>
          <w:sz w:val="16"/>
          <w:szCs w:val="16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6"/>
          <w:szCs w:val="16"/>
          <w:vertAlign w:val="baseline"/>
          <w:rtl w:val="0"/>
        </w:rPr>
        <w:t xml:space="preserve">NO APLICA POLÍTICA DE GARANTIA DE PRECIOS BAJOS.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Tahoma" w:cs="Tahoma" w:eastAsia="Tahoma" w:hAnsi="Tahoma"/>
          <w:sz w:val="16"/>
          <w:szCs w:val="16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6"/>
          <w:szCs w:val="16"/>
          <w:vertAlign w:val="baseline"/>
          <w:rtl w:val="0"/>
        </w:rPr>
        <w:t xml:space="preserve">LA PROMOCIÓN SÓLO APLICA PARA PRODUCTOS PARTICIPANTES EN LAS FECHA ESTABLECIDAS.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Tahoma" w:cs="Tahoma" w:eastAsia="Tahoma" w:hAnsi="Tahoma"/>
          <w:sz w:val="16"/>
          <w:szCs w:val="16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6"/>
          <w:szCs w:val="16"/>
          <w:vertAlign w:val="baseline"/>
          <w:rtl w:val="0"/>
        </w:rPr>
        <w:t xml:space="preserve">APLICA AL PAGAR DIRECTAMENTE EN CAJA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Tahoma" w:cs="Tahoma" w:eastAsia="Tahoma" w:hAnsi="Tahoma"/>
          <w:sz w:val="16"/>
          <w:szCs w:val="16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6"/>
          <w:szCs w:val="16"/>
          <w:vertAlign w:val="baseline"/>
          <w:rtl w:val="0"/>
        </w:rPr>
        <w:t xml:space="preserve">NO HAY AJUSTES AL PRECIO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Tahoma" w:cs="Tahoma" w:eastAsia="Tahoma" w:hAnsi="Tahoma"/>
          <w:sz w:val="16"/>
          <w:szCs w:val="16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6"/>
          <w:szCs w:val="16"/>
          <w:vertAlign w:val="baseline"/>
          <w:rtl w:val="0"/>
        </w:rPr>
        <w:t xml:space="preserve">NO APLICA CON OTRAS PROMOCIONES.</w:t>
      </w:r>
    </w:p>
    <w:p w:rsidR="00000000" w:rsidDel="00000000" w:rsidP="00000000" w:rsidRDefault="00000000" w:rsidRPr="00000000" w14:paraId="00000047">
      <w:pPr>
        <w:ind w:left="360" w:firstLine="0"/>
        <w:jc w:val="both"/>
        <w:rPr>
          <w:rFonts w:ascii="Tahoma" w:cs="Tahoma" w:eastAsia="Tahoma" w:hAnsi="Tahoma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ahoma" w:cs="Tahoma" w:eastAsia="Tahoma" w:hAnsi="Tahoma"/>
          <w:b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vertAlign w:val="baseline"/>
          <w:rtl w:val="0"/>
        </w:rPr>
        <w:t xml:space="preserve">PROCEDIMIENTO DE VENTAS PARA TIENDAS.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ahoma" w:cs="Tahoma" w:eastAsia="Tahoma" w:hAnsi="Tahoma"/>
          <w:b w:val="0"/>
          <w:sz w:val="18"/>
          <w:szCs w:val="18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4"/>
          <w:szCs w:val="14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vertAlign w:val="baseline"/>
          <w:rtl w:val="0"/>
        </w:rPr>
        <w:t xml:space="preserve">DE FORMA AUTOMATICA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ahoma" w:cs="Tahoma" w:eastAsia="Tahoma" w:hAnsi="Tahoma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ahoma" w:cs="Tahoma" w:eastAsia="Tahoma" w:hAnsi="Tahoma"/>
          <w:sz w:val="16"/>
          <w:szCs w:val="16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6"/>
          <w:szCs w:val="16"/>
          <w:vertAlign w:val="baseline"/>
          <w:rtl w:val="0"/>
        </w:rPr>
        <w:t xml:space="preserve">LA GERENCIA DE TIENDA </w:t>
      </w:r>
      <w:r w:rsidDel="00000000" w:rsidR="00000000" w:rsidRPr="00000000">
        <w:rPr>
          <w:rFonts w:ascii="Tahoma" w:cs="Tahoma" w:eastAsia="Tahoma" w:hAnsi="Tahoma"/>
          <w:sz w:val="16"/>
          <w:szCs w:val="16"/>
          <w:rtl w:val="0"/>
        </w:rPr>
        <w:t xml:space="preserve">VALIDARÁ</w:t>
      </w:r>
      <w:r w:rsidDel="00000000" w:rsidR="00000000" w:rsidRPr="00000000">
        <w:rPr>
          <w:rFonts w:ascii="Tahoma" w:cs="Tahoma" w:eastAsia="Tahoma" w:hAnsi="Tahoma"/>
          <w:sz w:val="16"/>
          <w:szCs w:val="16"/>
          <w:vertAlign w:val="baseline"/>
          <w:rtl w:val="0"/>
        </w:rPr>
        <w:t xml:space="preserve"> QUE LOS ARTÍCULOS SUJETOS A ESTA PROMOCIÓN PASEN CORRECATAMENTE.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ahoma" w:cs="Tahoma" w:eastAsia="Tahoma" w:hAnsi="Tahoma"/>
          <w:sz w:val="16"/>
          <w:szCs w:val="16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6"/>
          <w:szCs w:val="16"/>
          <w:vertAlign w:val="baseline"/>
          <w:rtl w:val="0"/>
        </w:rPr>
        <w:t xml:space="preserve">SI LOS ARTÍCULOS DE LA PROMOCIÓN NO ESTAN INCLUIDOS, SE DEBERA NOTIFICAR AL COMPRADOR RESPONSABLE DE ESTA PROMOCIÓN.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ahoma" w:cs="Tahoma" w:eastAsia="Tahoma" w:hAnsi="Tahoma"/>
          <w:sz w:val="16"/>
          <w:szCs w:val="16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6"/>
          <w:szCs w:val="16"/>
          <w:vertAlign w:val="baseline"/>
          <w:rtl w:val="0"/>
        </w:rPr>
        <w:t xml:space="preserve">ESCANEAR EL CUPÓN ADJUNTO AL INICIAR LA TRASACCIÓN.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ahoma" w:cs="Tahoma" w:eastAsia="Tahoma" w:hAnsi="Tahoma"/>
          <w:sz w:val="16"/>
          <w:szCs w:val="16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6"/>
          <w:szCs w:val="16"/>
          <w:vertAlign w:val="baseline"/>
          <w:rtl w:val="0"/>
        </w:rPr>
        <w:t xml:space="preserve">AL PRESENTARSE EL CLIENTE EN LA LINEA DE CAJAS, SE DEBERA ESCANEAR O DIGITAR EL CODIGO O CODIGOS DE LOS ARTÍCULOS PARTICIAPANTES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ahoma" w:cs="Tahoma" w:eastAsia="Tahoma" w:hAnsi="Tahoma"/>
          <w:sz w:val="16"/>
          <w:szCs w:val="16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6"/>
          <w:szCs w:val="16"/>
          <w:vertAlign w:val="baseline"/>
          <w:rtl w:val="0"/>
        </w:rPr>
        <w:t xml:space="preserve">DIGITAR EL SKU </w:t>
      </w:r>
      <w:r w:rsidDel="00000000" w:rsidR="00000000" w:rsidRPr="00000000">
        <w:rPr>
          <w:rFonts w:ascii="Tahoma" w:cs="Tahoma" w:eastAsia="Tahoma" w:hAnsi="Tahoma"/>
          <w:b w:val="1"/>
          <w:i w:val="1"/>
          <w:color w:val="ff0000"/>
          <w:vertAlign w:val="baseline"/>
          <w:rtl w:val="0"/>
        </w:rPr>
        <w:t xml:space="preserve">501220071</w:t>
      </w:r>
      <w:r w:rsidDel="00000000" w:rsidR="00000000" w:rsidRPr="00000000">
        <w:rPr>
          <w:rFonts w:ascii="Tahoma" w:cs="Tahoma" w:eastAsia="Tahoma" w:hAnsi="Tahoma"/>
          <w:sz w:val="16"/>
          <w:szCs w:val="16"/>
          <w:vertAlign w:val="baseline"/>
          <w:rtl w:val="0"/>
        </w:rPr>
        <w:t xml:space="preserve"> AL FINALIZAR LA TRASACCIÓN.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ahoma" w:cs="Tahoma" w:eastAsia="Tahoma" w:hAnsi="Tahoma"/>
          <w:sz w:val="16"/>
          <w:szCs w:val="16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6"/>
          <w:szCs w:val="16"/>
          <w:vertAlign w:val="baseline"/>
          <w:rtl w:val="0"/>
        </w:rPr>
        <w:t xml:space="preserve">EL CAJERO IDENTIFICA QUE LOS PRODUCTOS PARTICIPEN EN LA PROMOCIÓN.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ahoma" w:cs="Tahoma" w:eastAsia="Tahoma" w:hAnsi="Tahoma"/>
          <w:b w:val="0"/>
          <w:i w:val="0"/>
          <w:sz w:val="16"/>
          <w:szCs w:val="16"/>
          <w:highlight w:val="yellow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highlight w:val="yellow"/>
          <w:vertAlign w:val="baseline"/>
          <w:rtl w:val="0"/>
        </w:rPr>
        <w:t xml:space="preserve">ENTREGA DOS BOLETOS SENCILLOS AL CLIENTE EQUIVALENTE A UN PASE DOBLE.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jc w:val="both"/>
        <w:rPr>
          <w:rFonts w:ascii="Tahoma" w:cs="Tahoma" w:eastAsia="Tahoma" w:hAnsi="Tahoma"/>
          <w:b w:val="0"/>
          <w:i w:val="0"/>
          <w:highlight w:val="yellow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445770</wp:posOffset>
            </wp:positionH>
            <wp:positionV relativeFrom="paragraph">
              <wp:posOffset>218440</wp:posOffset>
            </wp:positionV>
            <wp:extent cx="5090160" cy="2011680"/>
            <wp:effectExtent b="0" l="0" r="0" t="0"/>
            <wp:wrapTopAndBottom distB="0" distT="0"/>
            <wp:docPr id="102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2011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ind w:left="720" w:firstLine="0"/>
        <w:jc w:val="both"/>
        <w:rPr>
          <w:rFonts w:ascii="Tahoma" w:cs="Tahoma" w:eastAsia="Tahoma" w:hAnsi="Tahoma"/>
          <w:b w:val="1"/>
          <w:i w:val="1"/>
          <w:sz w:val="16"/>
          <w:szCs w:val="16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6"/>
          <w:szCs w:val="16"/>
          <w:vertAlign w:val="baseline"/>
        </w:rPr>
        <w:drawing>
          <wp:inline distB="0" distT="0" distL="114300" distR="114300">
            <wp:extent cx="5090795" cy="2012315"/>
            <wp:effectExtent b="0" l="0" r="0" t="0"/>
            <wp:docPr id="10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0795" cy="2012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jc w:val="both"/>
        <w:rPr>
          <w:rFonts w:ascii="Tahoma" w:cs="Tahoma" w:eastAsia="Tahoma" w:hAnsi="Tahoma"/>
          <w:b w:val="1"/>
          <w:i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both"/>
        <w:rPr>
          <w:rFonts w:ascii="Tahoma" w:cs="Tahoma" w:eastAsia="Tahoma" w:hAnsi="Tahoma"/>
          <w:b w:val="1"/>
          <w:i w:val="1"/>
          <w:color w:val="ff0000"/>
          <w:sz w:val="18"/>
          <w:szCs w:val="18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color w:val="ff0000"/>
          <w:sz w:val="18"/>
          <w:szCs w:val="18"/>
          <w:rtl w:val="0"/>
        </w:rPr>
        <w:t xml:space="preserve">Nota: Por tienda les llegarán 20 boletos equivalentes a 10 boletos dobles, en cuanto se terminen los boletos favor de retirar los poster.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i w:val="1"/>
          <w:vertAlign w:val="baseline"/>
        </w:rPr>
      </w:pPr>
      <w:r w:rsidDel="00000000" w:rsidR="00000000" w:rsidRPr="00000000">
        <w:rPr>
          <w:b w:val="1"/>
          <w:i w:val="1"/>
          <w:vertAlign w:val="baseline"/>
          <w:rtl w:val="0"/>
        </w:rPr>
        <w:t xml:space="preserve">Araceli Paulino de Pos le hará llegar un correo con instrucciones de la ejecución del cupón.</w:t>
      </w:r>
    </w:p>
    <w:p w:rsidR="00000000" w:rsidDel="00000000" w:rsidP="00000000" w:rsidRDefault="00000000" w:rsidRPr="00000000" w14:paraId="00000057">
      <w:pPr>
        <w:rPr>
          <w:rFonts w:ascii="Tahoma" w:cs="Tahoma" w:eastAsia="Tahoma" w:hAnsi="Tahoma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20"/>
          <w:szCs w:val="20"/>
          <w:vertAlign w:val="baseline"/>
          <w:rtl w:val="0"/>
        </w:rPr>
        <w:t xml:space="preserve">Liga para descargar los artes: https://drive.google.com/drive/folders/1gHbugEx0KU3ELq_7xMhnOKrcYetwflh5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6227"/>
        </w:tabs>
        <w:spacing w:after="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Cualquier duda favor de comunicarse al área de Compras o al chat de Promociones.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Papelería: 56 6221 5386</w:t>
      </w:r>
    </w:p>
    <w:sectPr>
      <w:headerReference r:id="rId11" w:type="default"/>
      <w:pgSz w:h="15840" w:w="12240" w:orient="portrait"/>
      <w:pgMar w:bottom="1417" w:top="1417" w:left="1134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NUMERO:      9520                                                                                FECHA: 8 de agosto de 2024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paragraph" w:styleId="Título2">
    <w:name w:val="Título 2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1"/>
    </w:pPr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s-MX"/>
    </w:rPr>
  </w:style>
  <w:style w:type="paragraph" w:styleId="Título5">
    <w:name w:val="Título 5"/>
    <w:basedOn w:val="Normal"/>
    <w:next w:val="Normal"/>
    <w:autoRedefine w:val="0"/>
    <w:hidden w:val="0"/>
    <w:qFormat w:val="1"/>
    <w:pPr>
      <w:keepNext w:val="1"/>
      <w:framePr w:anchorLock="0" w:lines="0" w:hSpace="141" w:wrap="around" w:hAnchor="margin" w:vAnchor="margin" w:y="12306" w:hRule="auto"/>
      <w:suppressAutoHyphens w:val="1"/>
      <w:spacing w:after="0" w:line="240" w:lineRule="auto"/>
      <w:ind w:leftChars="-1" w:rightChars="0" w:firstLineChars="-1"/>
      <w:jc w:val="both"/>
      <w:textDirection w:val="btLr"/>
      <w:textAlignment w:val="top"/>
      <w:outlineLvl w:val="4"/>
    </w:pPr>
    <w:rPr>
      <w:rFonts w:ascii="Cambria" w:cs="Calibri" w:eastAsia="Times New Roman" w:hAnsi="Cambria"/>
      <w:b w:val="1"/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es-MX" w:val="es-MX"/>
    </w:rPr>
  </w:style>
  <w:style w:type="paragraph" w:styleId="Título6">
    <w:name w:val="Título 6"/>
    <w:basedOn w:val="Normal"/>
    <w:next w:val="Normal"/>
    <w:autoRedefine w:val="0"/>
    <w:hidden w:val="0"/>
    <w:qFormat w:val="1"/>
    <w:pPr>
      <w:keepNext w:val="1"/>
      <w:framePr w:anchorLock="0" w:lines="0" w:hSpace="141" w:wrap="around" w:hAnchor="margin" w:vAnchor="margin" w:xAlign="center" w:y="12306" w:hRule="auto"/>
      <w:suppressAutoHyphens w:val="1"/>
      <w:spacing w:after="0" w:line="240" w:lineRule="auto"/>
      <w:ind w:leftChars="-1" w:rightChars="0" w:firstLineChars="-1"/>
      <w:textDirection w:val="btLr"/>
      <w:textAlignment w:val="top"/>
      <w:outlineLvl w:val="5"/>
    </w:pPr>
    <w:rPr>
      <w:rFonts w:ascii="Cambria" w:cs="Calibri" w:eastAsia="Times New Roman" w:hAnsi="Cambria"/>
      <w:b w:val="1"/>
      <w:bCs w:val="1"/>
      <w:w w:val="100"/>
      <w:position w:val="-1"/>
      <w:sz w:val="28"/>
      <w:szCs w:val="20"/>
      <w:effect w:val="none"/>
      <w:vertAlign w:val="baseline"/>
      <w:cs w:val="0"/>
      <w:em w:val="none"/>
      <w:lang w:bidi="ar-SA" w:eastAsia="es-MX" w:val="es-MX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character" w:styleId="Título5Car">
    <w:name w:val="Título 5 Car"/>
    <w:next w:val="Título5Car"/>
    <w:autoRedefine w:val="0"/>
    <w:hidden w:val="0"/>
    <w:qFormat w:val="0"/>
    <w:rPr>
      <w:rFonts w:ascii="Cambria" w:cs="Calibri" w:eastAsia="Times New Roman" w:hAnsi="Cambria"/>
      <w:b w:val="1"/>
      <w:bCs w:val="1"/>
      <w:w w:val="100"/>
      <w:position w:val="-1"/>
      <w:sz w:val="24"/>
      <w:szCs w:val="20"/>
      <w:effect w:val="none"/>
      <w:vertAlign w:val="baseline"/>
      <w:cs w:val="0"/>
      <w:em w:val="none"/>
      <w:lang w:eastAsia="es-MX"/>
    </w:rPr>
  </w:style>
  <w:style w:type="character" w:styleId="Título6Car">
    <w:name w:val="Título 6 Car"/>
    <w:next w:val="Título6Car"/>
    <w:autoRedefine w:val="0"/>
    <w:hidden w:val="0"/>
    <w:qFormat w:val="0"/>
    <w:rPr>
      <w:rFonts w:ascii="Cambria" w:cs="Calibri" w:eastAsia="Times New Roman" w:hAnsi="Cambria"/>
      <w:b w:val="1"/>
      <w:bCs w:val="1"/>
      <w:w w:val="100"/>
      <w:position w:val="-1"/>
      <w:sz w:val="28"/>
      <w:szCs w:val="20"/>
      <w:effect w:val="none"/>
      <w:vertAlign w:val="baseline"/>
      <w:cs w:val="0"/>
      <w:em w:val="none"/>
      <w:lang w:eastAsia="es-MX"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character" w:styleId="EncabezadoCar">
    <w:name w:val="Encabezado Car"/>
    <w:next w:val="EncabezadoCar"/>
    <w:autoRedefine w:val="0"/>
    <w:hidden w:val="0"/>
    <w:qFormat w:val="0"/>
    <w:rPr>
      <w:rFonts w:ascii="Calibri" w:cs="Times New Roman" w:eastAsia="Calibri" w:hAnsi="Calibri"/>
      <w:w w:val="100"/>
      <w:position w:val="-1"/>
      <w:effect w:val="none"/>
      <w:vertAlign w:val="baseline"/>
      <w:cs w:val="0"/>
      <w:em w:val="none"/>
      <w:lang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character" w:styleId="PiedepáginaCar">
    <w:name w:val="Pie de página Car"/>
    <w:basedOn w:val="Fuentedepárrafopredeter."/>
    <w:next w:val="Piedepágina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MX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table" w:styleId="Sombreadoclaro-Énfasis3">
    <w:name w:val="Sombreado claro - Énfasis 3"/>
    <w:basedOn w:val="Tablanormal"/>
    <w:next w:val="Sombreadoclaro-Énfasis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76923c"/>
      <w:w w:val="100"/>
      <w:position w:val="-1"/>
      <w:effect w:val="none"/>
      <w:vertAlign w:val="baseline"/>
      <w:cs w:val="0"/>
      <w:em w:val="none"/>
      <w:lang/>
    </w:rPr>
    <w:tblPr>
      <w:tblStyle w:val="Sombreadoclaro-Énfasis3"/>
      <w:tblStyleRowBandSize w:val="1"/>
      <w:tblStyleColBandSize w:val="1"/>
      <w:jc w:val="left"/>
      <w:tblBorders>
        <w:top w:color="9bbb59" w:space="0" w:sz="8" w:val="single"/>
        <w:left w:color="auto" w:space="0" w:sz="0" w:val="none"/>
        <w:bottom w:color="9bbb59" w:space="0" w:sz="8" w:val="single"/>
        <w:right w:color="auto" w:space="0" w:sz="0" w:val="none"/>
        <w:insideH w:color="auto" w:space="0" w:sz="0" w:val="none"/>
        <w:insideV w:color="auto" w:space="0" w:sz="0" w:val="none"/>
      </w:tblBorders>
    </w:tblPr>
  </w:style>
  <w:style w:type="table" w:styleId="Sombreadoclaro-Énfasis1">
    <w:name w:val="Sombreado claro - Énfasis 1"/>
    <w:basedOn w:val="Tablanormal"/>
    <w:next w:val="Sombreadoclaro-Énfasis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365f91"/>
      <w:w w:val="100"/>
      <w:position w:val="-1"/>
      <w:effect w:val="none"/>
      <w:vertAlign w:val="baseline"/>
      <w:cs w:val="0"/>
      <w:em w:val="none"/>
      <w:lang/>
    </w:rPr>
    <w:tblPr>
      <w:tblStyle w:val="Sombreadoclaro-Énfasis1"/>
      <w:tblStyleRowBandSize w:val="1"/>
      <w:tblStyleColBandSize w:val="1"/>
      <w:jc w:val="left"/>
      <w:tblBorders>
        <w:top w:color="4f81bd" w:space="0" w:sz="8" w:val="single"/>
        <w:left w:color="auto" w:space="0" w:sz="0" w:val="none"/>
        <w:bottom w:color="4f81bd" w:space="0" w:sz="8" w:val="single"/>
        <w:right w:color="auto" w:space="0" w:sz="0" w:val="none"/>
        <w:insideH w:color="auto" w:space="0" w:sz="0" w:val="none"/>
        <w:insideV w:color="auto" w:space="0" w:sz="0" w:val="none"/>
      </w:tblBorders>
    </w:tbl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TextoindependienteCar">
    <w:name w:val="Texto independiente Car"/>
    <w:next w:val="TextoindependienteCar"/>
    <w:autoRedefine w:val="0"/>
    <w:hidden w:val="0"/>
    <w:qFormat w:val="0"/>
    <w:rPr>
      <w:rFonts w:ascii="Arial" w:eastAsia="Times New Roman" w:hAnsi="Arial"/>
      <w:w w:val="100"/>
      <w:position w:val="-1"/>
      <w:sz w:val="22"/>
      <w:effect w:val="none"/>
      <w:vertAlign w:val="baseline"/>
      <w:cs w:val="0"/>
      <w:em w:val="none"/>
      <w:lang w:eastAsia="es-ES" w:val="es-ES"/>
    </w:rPr>
  </w:style>
  <w:style w:type="character" w:styleId="Título2Car">
    <w:name w:val="Título 2 Car"/>
    <w:next w:val="Título2Car"/>
    <w:autoRedefine w:val="0"/>
    <w:hidden w:val="0"/>
    <w:qFormat w:val="0"/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en-US"/>
    </w:rPr>
  </w:style>
  <w:style w:type="character" w:styleId="Hipervínculovisitado">
    <w:name w:val="Hipervínculo visitado"/>
    <w:next w:val="Hipervínculovisitado"/>
    <w:autoRedefine w:val="0"/>
    <w:hidden w:val="0"/>
    <w:qFormat w:val="1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Sombreadomedio1-Énfasis6">
    <w:name w:val="Sombreado medio 1 - Énfasis 6"/>
    <w:basedOn w:val="Tablanormal"/>
    <w:next w:val="Sombreadomedio1-Énfasis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Sombreadomedio1-Énfasis6"/>
      <w:tblStyleRowBandSize w:val="1"/>
      <w:tblStyleColBandSize w:val="1"/>
      <w:jc w:val="left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auto" w:space="0" w:sz="0" w:val="none"/>
      </w:tblBorders>
    </w:tblPr>
  </w:style>
  <w:style w:type="table" w:styleId="Sombreadomedio1-Énfasis1">
    <w:name w:val="Sombreado medio 1 - Énfasis 1"/>
    <w:basedOn w:val="Tablanormal"/>
    <w:next w:val="Sombreadomedio1-Énfasis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Sombreadomedio1-Énfasis1"/>
      <w:tblStyleRowBandSize w:val="1"/>
      <w:tblStyleColBandSize w:val="1"/>
      <w:jc w:val="left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auto" w:space="0" w:sz="0" w:val="none"/>
      </w:tblBorders>
    </w:tblPr>
  </w:style>
  <w:style w:type="table" w:styleId="Listaclara-Énfasis5">
    <w:name w:val="Lista clara - Énfasis 5"/>
    <w:basedOn w:val="Tablanormal"/>
    <w:next w:val="Listaclara-Énfasis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Listaclara-Énfasis5"/>
      <w:tblStyleRowBandSize w:val="1"/>
      <w:tblStyleColBandSize w:val="1"/>
      <w:jc w:val="left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auto" w:space="0" w:sz="0" w:val="none"/>
        <w:insideV w:color="auto" w:space="0" w:sz="0" w:val="non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5eiV5EjkV+WkZKw4ykjX0FO5Ng==">CgMxLjA4AHIhMUZRWVZwaFNQOUhXWXlZWF82N0x1b1Bwb2N6NUliM3ps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2024-08-08T16:49:00Z</dcterms:created>
  <dc:creator>Anel Peralta Garcia</dc:creator>
</cp:coreProperties>
</file>