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7DDC" w14:textId="77777777" w:rsidR="000B6171" w:rsidRDefault="000B6171" w:rsidP="000B6171">
      <w:pPr>
        <w:jc w:val="both"/>
        <w:rPr>
          <w:lang w:val="el-GR"/>
        </w:rPr>
      </w:pPr>
      <w:bookmarkStart w:id="0" w:name="_Hlk66023932"/>
      <w:bookmarkEnd w:id="0"/>
      <w:r>
        <w:rPr>
          <w:lang w:val="el-GR"/>
        </w:rPr>
        <w:t>Μέρος 1</w:t>
      </w:r>
    </w:p>
    <w:p w14:paraId="15B736B8" w14:textId="0CB3503B" w:rsidR="000B6171" w:rsidRDefault="000B6171" w:rsidP="000B6171">
      <w:pPr>
        <w:jc w:val="both"/>
        <w:rPr>
          <w:lang w:val="el-GR"/>
        </w:rPr>
      </w:pPr>
      <w:r w:rsidRPr="000B6171">
        <w:rPr>
          <w:lang w:val="el-GR"/>
        </w:rPr>
        <w:t>Το</w:t>
      </w:r>
      <w:r>
        <w:rPr>
          <w:lang w:val="el-GR"/>
        </w:rPr>
        <w:t xml:space="preserve"> </w:t>
      </w:r>
      <w:r>
        <w:rPr>
          <w:lang w:val="el-GR"/>
        </w:rPr>
        <w:t>επιλεγμένο</w:t>
      </w:r>
      <w:r w:rsidRPr="000B6171">
        <w:rPr>
          <w:lang w:val="el-GR"/>
        </w:rPr>
        <w:t xml:space="preserve"> σύνολο δεδομένων περιέχει περιπτώσεις από μια μελέτη που διεξήχθη μεταξύ 1958 και 1970 στο Νοσοκομείο </w:t>
      </w:r>
      <w:proofErr w:type="spellStart"/>
      <w:r w:rsidRPr="000B6171">
        <w:rPr>
          <w:lang w:val="el-GR"/>
        </w:rPr>
        <w:t>Billings</w:t>
      </w:r>
      <w:proofErr w:type="spellEnd"/>
      <w:r w:rsidRPr="000B6171">
        <w:rPr>
          <w:lang w:val="el-GR"/>
        </w:rPr>
        <w:t xml:space="preserve"> του Πανεπιστημίου του Σικάγο σχετικά με την επιβίωση των ασθενών που είχαν υποβληθεί σε χειρουργική επέμβαση για καρκίνο του μαστού.</w:t>
      </w:r>
      <w:r>
        <w:rPr>
          <w:lang w:val="el-GR"/>
        </w:rPr>
        <w:t xml:space="preserve"> </w:t>
      </w:r>
      <w:r>
        <w:rPr>
          <w:lang w:val="el-GR"/>
        </w:rPr>
        <w:t xml:space="preserve">Περιλαμβάνει </w:t>
      </w:r>
      <w:r>
        <w:rPr>
          <w:lang w:val="el-GR"/>
        </w:rPr>
        <w:t>306</w:t>
      </w:r>
      <w:r>
        <w:rPr>
          <w:lang w:val="el-GR"/>
        </w:rPr>
        <w:t xml:space="preserve"> δείγματα και</w:t>
      </w:r>
      <w:r>
        <w:rPr>
          <w:lang w:val="el-GR"/>
        </w:rPr>
        <w:t xml:space="preserve"> κάθε ένα από αυτά εμφανίζει</w:t>
      </w:r>
      <w:r>
        <w:rPr>
          <w:lang w:val="el-GR"/>
        </w:rPr>
        <w:t xml:space="preserve"> τα ακόλουθα </w:t>
      </w:r>
      <w:r>
        <w:rPr>
          <w:lang w:val="el-GR"/>
        </w:rPr>
        <w:t>3</w:t>
      </w:r>
      <w:r>
        <w:rPr>
          <w:lang w:val="el-GR"/>
        </w:rPr>
        <w:t xml:space="preserve"> χαρακτηριστικά: </w:t>
      </w:r>
    </w:p>
    <w:p w14:paraId="2EABDCEE" w14:textId="1247546E" w:rsidR="000B6171" w:rsidRPr="000B6171" w:rsidRDefault="000B6171" w:rsidP="000B617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0B6171">
        <w:rPr>
          <w:lang w:val="el-GR"/>
        </w:rPr>
        <w:t>Ηλικία του ασθενούς κατά τη διάρκεια της επέμβασης (αριθμητική)</w:t>
      </w:r>
    </w:p>
    <w:p w14:paraId="62A41B11" w14:textId="77777777" w:rsidR="000B6171" w:rsidRDefault="000B6171" w:rsidP="000B617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0B6171">
        <w:rPr>
          <w:lang w:val="el-GR"/>
        </w:rPr>
        <w:t>Έτος λειτουργίας του ασθενούς (έτος - 1900, αριθμητικό)</w:t>
      </w:r>
    </w:p>
    <w:p w14:paraId="65CDF508" w14:textId="43CC960A" w:rsidR="00336CA9" w:rsidRDefault="000B6171" w:rsidP="000B6171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0B6171">
        <w:rPr>
          <w:lang w:val="el-GR"/>
        </w:rPr>
        <w:t xml:space="preserve">Αριθμός ανιχνευμένων θετικών μασχαλιαίων </w:t>
      </w:r>
      <w:r>
        <w:rPr>
          <w:lang w:val="el-GR"/>
        </w:rPr>
        <w:t>αδένων</w:t>
      </w:r>
    </w:p>
    <w:p w14:paraId="1AA4D680" w14:textId="31CBD8D3" w:rsidR="000B6171" w:rsidRDefault="000B6171" w:rsidP="000B6171">
      <w:pPr>
        <w:jc w:val="both"/>
        <w:rPr>
          <w:lang w:val="el-GR"/>
        </w:rPr>
      </w:pPr>
      <w:r>
        <w:rPr>
          <w:lang w:val="el-GR"/>
        </w:rPr>
        <w:t>Μετά την αναδιάταξη του συνόλου δεδομένων με τυχαίο τρόπο και το διαμερισμό του σε μη επικαλυπτόμενα σύνολα εκπαίδευσης, επικύρωσης και ελέγχου</w:t>
      </w:r>
      <w:r w:rsidR="002D20FF">
        <w:rPr>
          <w:lang w:val="el-GR"/>
        </w:rPr>
        <w:t>, προχωράμε στη διαδικασία δημιουργίας των τεσσάρων μοντέλων, όπως αυτά ζητούνται από την εργασία.</w:t>
      </w:r>
    </w:p>
    <w:p w14:paraId="7449D3F1" w14:textId="7D850266" w:rsidR="002D20FF" w:rsidRPr="002D20FF" w:rsidRDefault="002D20FF" w:rsidP="000B6171">
      <w:pPr>
        <w:jc w:val="both"/>
        <w:rPr>
          <w:lang w:val="el-GR"/>
        </w:rPr>
      </w:pPr>
      <w:r>
        <w:rPr>
          <w:lang w:val="el-GR"/>
        </w:rPr>
        <w:t xml:space="preserve">Ζητείται να δημιουργηθούν δύο ζεύγη μοντέλων, όπου κάθε ζεύγος </w:t>
      </w:r>
      <w:proofErr w:type="spellStart"/>
      <w:r>
        <w:rPr>
          <w:lang w:val="el-GR"/>
        </w:rPr>
        <w:t>διέπεται</w:t>
      </w:r>
      <w:proofErr w:type="spellEnd"/>
      <w:r>
        <w:rPr>
          <w:lang w:val="el-GR"/>
        </w:rPr>
        <w:t xml:space="preserve"> από το ίδιο πλήθος κανόνων βάσης, αλλά από διαφορετική μέθοδο </w:t>
      </w:r>
      <w:proofErr w:type="spellStart"/>
      <w:r>
        <w:rPr>
          <w:lang w:val="el-GR"/>
        </w:rPr>
        <w:t>διαμέρισης</w:t>
      </w:r>
      <w:proofErr w:type="spellEnd"/>
      <w:r>
        <w:rPr>
          <w:lang w:val="el-GR"/>
        </w:rPr>
        <w:t xml:space="preserve"> του χώρου εισόδου. Έτσι, σε κάθε ζεύγος μοντέλων, στο ένα μοντέλο, ο χώρος εισόδου διαμερίζεται με τη μέθοδο του </w:t>
      </w:r>
      <w:r>
        <w:t>subtractive</w:t>
      </w:r>
      <w:r w:rsidRPr="002D20FF">
        <w:rPr>
          <w:lang w:val="el-GR"/>
        </w:rPr>
        <w:t xml:space="preserve"> </w:t>
      </w:r>
      <w:r>
        <w:t>clustering</w:t>
      </w:r>
      <w:r>
        <w:rPr>
          <w:lang w:val="el-GR"/>
        </w:rPr>
        <w:t xml:space="preserve"> σε όλα τα δεδομένα του συνόλου εκπαίδευσης (</w:t>
      </w:r>
      <w:r>
        <w:t>class</w:t>
      </w:r>
      <w:r w:rsidRPr="002D20FF">
        <w:rPr>
          <w:lang w:val="el-GR"/>
        </w:rPr>
        <w:t xml:space="preserve"> </w:t>
      </w:r>
      <w:r>
        <w:t>independent</w:t>
      </w:r>
      <w:r>
        <w:rPr>
          <w:lang w:val="el-GR"/>
        </w:rPr>
        <w:t>)</w:t>
      </w:r>
      <w:r w:rsidRPr="002D20FF">
        <w:rPr>
          <w:lang w:val="el-GR"/>
        </w:rPr>
        <w:t xml:space="preserve">, </w:t>
      </w:r>
      <w:r>
        <w:rPr>
          <w:lang w:val="el-GR"/>
        </w:rPr>
        <w:t xml:space="preserve">ενώ στο άλλο μοντέλο, ο χώρος εισόδου διαμερίζεται με τη μέθοδο του </w:t>
      </w:r>
      <w:r>
        <w:t>subtractive</w:t>
      </w:r>
      <w:r w:rsidRPr="002D20FF">
        <w:rPr>
          <w:lang w:val="el-GR"/>
        </w:rPr>
        <w:t xml:space="preserve"> </w:t>
      </w:r>
      <w:r>
        <w:t>clustering</w:t>
      </w:r>
      <w:r w:rsidRPr="002D20FF">
        <w:rPr>
          <w:lang w:val="el-GR"/>
        </w:rPr>
        <w:t>,</w:t>
      </w:r>
      <w:r>
        <w:rPr>
          <w:lang w:val="el-GR"/>
        </w:rPr>
        <w:t xml:space="preserve"> αλλά αυτή τη φορά το </w:t>
      </w:r>
      <w:r>
        <w:t>clustering</w:t>
      </w:r>
      <w:r w:rsidRPr="002D20FF">
        <w:rPr>
          <w:lang w:val="el-GR"/>
        </w:rPr>
        <w:t xml:space="preserve"> </w:t>
      </w:r>
      <w:r>
        <w:rPr>
          <w:lang w:val="el-GR"/>
        </w:rPr>
        <w:t xml:space="preserve">εφαρμόζεται στα δεδομένα του συνόλου εκπαίδευσης που ανήκουν στην κάθε κλάση ξεχωριστά </w:t>
      </w:r>
      <w:r w:rsidRPr="002D20FF">
        <w:rPr>
          <w:lang w:val="el-GR"/>
        </w:rPr>
        <w:t>(</w:t>
      </w:r>
      <w:r>
        <w:t>class</w:t>
      </w:r>
      <w:r w:rsidRPr="002D20FF">
        <w:rPr>
          <w:lang w:val="el-GR"/>
        </w:rPr>
        <w:t xml:space="preserve"> </w:t>
      </w:r>
      <w:r>
        <w:t>dependent</w:t>
      </w:r>
      <w:r w:rsidRPr="002D20FF">
        <w:rPr>
          <w:lang w:val="el-GR"/>
        </w:rPr>
        <w:t>).</w:t>
      </w:r>
    </w:p>
    <w:p w14:paraId="7068A294" w14:textId="795D6FC2" w:rsidR="00440586" w:rsidRDefault="002D20FF" w:rsidP="000B6171">
      <w:pPr>
        <w:jc w:val="both"/>
        <w:rPr>
          <w:lang w:val="el-GR"/>
        </w:rPr>
      </w:pPr>
      <w:r>
        <w:rPr>
          <w:lang w:val="el-GR"/>
        </w:rPr>
        <w:t>Για τα δύο ζεύγη μοντέλων, όσον αφορά το πλήθος των κανόνων, επιλέγονται οι τιμές 12 και 60</w:t>
      </w:r>
      <w:r w:rsidR="00440586" w:rsidRPr="00440586">
        <w:rPr>
          <w:lang w:val="el-GR"/>
        </w:rPr>
        <w:t xml:space="preserve"> </w:t>
      </w:r>
      <w:r w:rsidR="00440586">
        <w:rPr>
          <w:lang w:val="el-GR"/>
        </w:rPr>
        <w:t xml:space="preserve">και αντίστοιχα υπολογίζονται οι τιμές των ακτινών των </w:t>
      </w:r>
      <w:r w:rsidR="00440586">
        <w:t>clusters</w:t>
      </w:r>
      <w:r w:rsidR="00440586" w:rsidRPr="00440586">
        <w:rPr>
          <w:lang w:val="el-GR"/>
        </w:rPr>
        <w:t xml:space="preserve"> </w:t>
      </w:r>
      <w:r w:rsidR="00440586">
        <w:rPr>
          <w:lang w:val="el-GR"/>
        </w:rPr>
        <w:t>για κάθε μοντέλο. Τα αποτελέσματα της διαδικασίας αυτής παρουσιάζονται στον παρακάτω πίνακα.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2070"/>
        <w:gridCol w:w="1980"/>
        <w:gridCol w:w="2065"/>
      </w:tblGrid>
      <w:tr w:rsidR="00CF0A57" w:rsidRPr="00440586" w14:paraId="02567FDD" w14:textId="77777777" w:rsidTr="00CF0A57"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F43C1" w14:textId="77777777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C9C9C9" w:themeFill="accent3" w:themeFillTint="99"/>
            <w:vAlign w:val="center"/>
          </w:tcPr>
          <w:p w14:paraId="683D9FF5" w14:textId="365768AE" w:rsidR="00CF0A57" w:rsidRPr="00CF0A57" w:rsidRDefault="00CF0A57" w:rsidP="00CF0A57">
            <w:pPr>
              <w:jc w:val="center"/>
              <w:rPr>
                <w:b/>
                <w:bCs/>
              </w:rPr>
            </w:pPr>
            <w:r w:rsidRPr="00CF0A57">
              <w:rPr>
                <w:b/>
                <w:bCs/>
                <w:lang w:val="el-GR"/>
              </w:rPr>
              <w:t>Μοντέλα</w:t>
            </w:r>
            <w:r w:rsidRPr="00CF0A57">
              <w:rPr>
                <w:b/>
                <w:bCs/>
              </w:rPr>
              <w:t xml:space="preserve"> </w:t>
            </w:r>
            <w:r w:rsidRPr="00CF0A57">
              <w:rPr>
                <w:b/>
                <w:bCs/>
                <w:lang w:val="el-GR"/>
              </w:rPr>
              <w:t>με</w:t>
            </w:r>
            <w:r w:rsidRPr="00CF0A57">
              <w:rPr>
                <w:b/>
                <w:bCs/>
              </w:rPr>
              <w:t xml:space="preserve"> class independent clustering</w:t>
            </w:r>
          </w:p>
        </w:tc>
        <w:tc>
          <w:tcPr>
            <w:tcW w:w="4045" w:type="dxa"/>
            <w:gridSpan w:val="2"/>
            <w:shd w:val="clear" w:color="auto" w:fill="C9C9C9" w:themeFill="accent3" w:themeFillTint="99"/>
            <w:vAlign w:val="center"/>
          </w:tcPr>
          <w:p w14:paraId="4FB232DF" w14:textId="08DAF022" w:rsidR="00CF0A57" w:rsidRPr="00CF0A57" w:rsidRDefault="00CF0A57" w:rsidP="00CF0A57">
            <w:pPr>
              <w:jc w:val="center"/>
              <w:rPr>
                <w:b/>
                <w:bCs/>
              </w:rPr>
            </w:pPr>
            <w:r w:rsidRPr="00CF0A57">
              <w:rPr>
                <w:b/>
                <w:bCs/>
                <w:lang w:val="el-GR"/>
              </w:rPr>
              <w:t>Μοντέλα</w:t>
            </w:r>
            <w:r w:rsidRPr="00CF0A57">
              <w:rPr>
                <w:b/>
                <w:bCs/>
              </w:rPr>
              <w:t xml:space="preserve"> </w:t>
            </w:r>
            <w:r w:rsidRPr="00CF0A57">
              <w:rPr>
                <w:b/>
                <w:bCs/>
                <w:lang w:val="el-GR"/>
              </w:rPr>
              <w:t>με</w:t>
            </w:r>
            <w:r w:rsidRPr="00CF0A57">
              <w:rPr>
                <w:b/>
                <w:bCs/>
              </w:rPr>
              <w:t xml:space="preserve"> class dependent clustering</w:t>
            </w:r>
          </w:p>
        </w:tc>
      </w:tr>
      <w:tr w:rsidR="00CF0A57" w:rsidRPr="00440586" w14:paraId="1683D38B" w14:textId="77777777" w:rsidTr="00CF0A57">
        <w:tc>
          <w:tcPr>
            <w:tcW w:w="11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6C8018" w14:textId="77777777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shd w:val="clear" w:color="auto" w:fill="C9C9C9" w:themeFill="accent3" w:themeFillTint="99"/>
            <w:vAlign w:val="center"/>
          </w:tcPr>
          <w:p w14:paraId="77959620" w14:textId="5F5D439F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Μοντέλο 1</w:t>
            </w:r>
          </w:p>
        </w:tc>
        <w:tc>
          <w:tcPr>
            <w:tcW w:w="2070" w:type="dxa"/>
            <w:shd w:val="clear" w:color="auto" w:fill="C9C9C9" w:themeFill="accent3" w:themeFillTint="99"/>
            <w:vAlign w:val="center"/>
          </w:tcPr>
          <w:p w14:paraId="737ADBC7" w14:textId="530F7186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Μοντέλο 2</w:t>
            </w:r>
          </w:p>
        </w:tc>
        <w:tc>
          <w:tcPr>
            <w:tcW w:w="1980" w:type="dxa"/>
            <w:shd w:val="clear" w:color="auto" w:fill="C9C9C9" w:themeFill="accent3" w:themeFillTint="99"/>
            <w:vAlign w:val="center"/>
          </w:tcPr>
          <w:p w14:paraId="2D7B5212" w14:textId="7CDD2A20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Μοντέλο 3</w:t>
            </w:r>
          </w:p>
        </w:tc>
        <w:tc>
          <w:tcPr>
            <w:tcW w:w="2065" w:type="dxa"/>
            <w:shd w:val="clear" w:color="auto" w:fill="C9C9C9" w:themeFill="accent3" w:themeFillTint="99"/>
            <w:vAlign w:val="center"/>
          </w:tcPr>
          <w:p w14:paraId="4B4E50F0" w14:textId="5FB884F2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Μοντέλο 4</w:t>
            </w:r>
          </w:p>
        </w:tc>
      </w:tr>
      <w:tr w:rsidR="00440586" w:rsidRPr="00440586" w14:paraId="07846CCC" w14:textId="77777777" w:rsidTr="00CF0A57">
        <w:trPr>
          <w:trHeight w:val="422"/>
        </w:trPr>
        <w:tc>
          <w:tcPr>
            <w:tcW w:w="1165" w:type="dxa"/>
            <w:tcBorders>
              <w:top w:val="single" w:sz="4" w:space="0" w:color="auto"/>
            </w:tcBorders>
            <w:shd w:val="clear" w:color="auto" w:fill="C9C9C9" w:themeFill="accent3" w:themeFillTint="99"/>
            <w:vAlign w:val="center"/>
          </w:tcPr>
          <w:p w14:paraId="4B73F583" w14:textId="1F3E7301" w:rsidR="00CF0A57" w:rsidRPr="00CF0A57" w:rsidRDefault="00CF0A57" w:rsidP="00CF0A57">
            <w:pPr>
              <w:jc w:val="center"/>
              <w:rPr>
                <w:b/>
                <w:bCs/>
                <w:lang w:val="el-GR"/>
              </w:rPr>
            </w:pPr>
            <w:r w:rsidRPr="00CF0A57">
              <w:rPr>
                <w:b/>
                <w:bCs/>
                <w:lang w:val="el-GR"/>
              </w:rPr>
              <w:t>π</w:t>
            </w:r>
            <w:r w:rsidRPr="00CF0A57">
              <w:rPr>
                <w:b/>
                <w:bCs/>
                <w:lang w:val="el-GR"/>
              </w:rPr>
              <w:t>λήθος κανόνων</w:t>
            </w:r>
          </w:p>
        </w:tc>
        <w:tc>
          <w:tcPr>
            <w:tcW w:w="2070" w:type="dxa"/>
            <w:vAlign w:val="center"/>
          </w:tcPr>
          <w:p w14:paraId="3A9E6D39" w14:textId="4B4178A2" w:rsidR="00440586" w:rsidRPr="00CF0A57" w:rsidRDefault="00CF0A57" w:rsidP="00CF0A5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2070" w:type="dxa"/>
            <w:vAlign w:val="center"/>
          </w:tcPr>
          <w:p w14:paraId="6AD0EAE3" w14:textId="6F5A64D9" w:rsidR="00440586" w:rsidRPr="00CF0A57" w:rsidRDefault="00CF0A57" w:rsidP="00CF0A5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  <w:tc>
          <w:tcPr>
            <w:tcW w:w="1980" w:type="dxa"/>
            <w:vAlign w:val="center"/>
          </w:tcPr>
          <w:p w14:paraId="6BCFF5BB" w14:textId="00B21093" w:rsidR="00440586" w:rsidRPr="00CF0A57" w:rsidRDefault="00CF0A57" w:rsidP="00CF0A5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2065" w:type="dxa"/>
            <w:vAlign w:val="center"/>
          </w:tcPr>
          <w:p w14:paraId="2412FD19" w14:textId="0F93B096" w:rsidR="00440586" w:rsidRPr="00CF0A57" w:rsidRDefault="00CF0A57" w:rsidP="00CF0A5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</w:tr>
      <w:tr w:rsidR="00CF0A57" w:rsidRPr="00440586" w14:paraId="0F601CF1" w14:textId="77777777" w:rsidTr="00CF0A57">
        <w:tc>
          <w:tcPr>
            <w:tcW w:w="1165" w:type="dxa"/>
            <w:shd w:val="clear" w:color="auto" w:fill="C9C9C9" w:themeFill="accent3" w:themeFillTint="99"/>
            <w:vAlign w:val="center"/>
          </w:tcPr>
          <w:p w14:paraId="7E4E70DF" w14:textId="106FEB29" w:rsidR="00CF0A57" w:rsidRPr="00CF0A57" w:rsidRDefault="00CF0A57" w:rsidP="00CF0A57">
            <w:pPr>
              <w:jc w:val="center"/>
              <w:rPr>
                <w:b/>
                <w:bCs/>
              </w:rPr>
            </w:pPr>
            <w:r w:rsidRPr="00CF0A57">
              <w:rPr>
                <w:b/>
                <w:bCs/>
                <w:lang w:val="el-GR"/>
              </w:rPr>
              <w:t xml:space="preserve">ακτίνα </w:t>
            </w:r>
            <w:r w:rsidRPr="00CF0A57">
              <w:rPr>
                <w:b/>
                <w:bCs/>
              </w:rPr>
              <w:t>clusters</w:t>
            </w:r>
          </w:p>
        </w:tc>
        <w:tc>
          <w:tcPr>
            <w:tcW w:w="2070" w:type="dxa"/>
            <w:vAlign w:val="center"/>
          </w:tcPr>
          <w:p w14:paraId="224D2601" w14:textId="7D84F9B1" w:rsidR="00CF0A57" w:rsidRPr="00440586" w:rsidRDefault="00CF0A57" w:rsidP="00CF0A57">
            <w:pPr>
              <w:jc w:val="center"/>
            </w:pPr>
            <w:r>
              <w:t>0.255</w:t>
            </w:r>
          </w:p>
        </w:tc>
        <w:tc>
          <w:tcPr>
            <w:tcW w:w="2070" w:type="dxa"/>
            <w:vAlign w:val="center"/>
          </w:tcPr>
          <w:p w14:paraId="04B7CC1C" w14:textId="540DC1FD" w:rsidR="00CF0A57" w:rsidRPr="00440586" w:rsidRDefault="00CF0A57" w:rsidP="00CF0A57">
            <w:pPr>
              <w:jc w:val="center"/>
            </w:pPr>
            <w:r>
              <w:t>0.138</w:t>
            </w:r>
          </w:p>
        </w:tc>
        <w:tc>
          <w:tcPr>
            <w:tcW w:w="1980" w:type="dxa"/>
            <w:vAlign w:val="center"/>
          </w:tcPr>
          <w:p w14:paraId="1A1DF630" w14:textId="2400BAEE" w:rsidR="00CF0A57" w:rsidRPr="00440586" w:rsidRDefault="00CF0A57" w:rsidP="00CF0A57">
            <w:pPr>
              <w:jc w:val="center"/>
            </w:pPr>
            <w:r>
              <w:t>0.414</w:t>
            </w:r>
          </w:p>
        </w:tc>
        <w:tc>
          <w:tcPr>
            <w:tcW w:w="2065" w:type="dxa"/>
            <w:vAlign w:val="center"/>
          </w:tcPr>
          <w:p w14:paraId="0A7A42C4" w14:textId="37ACCEA2" w:rsidR="00CF0A57" w:rsidRPr="00440586" w:rsidRDefault="00CF0A57" w:rsidP="00CF0A57">
            <w:pPr>
              <w:jc w:val="center"/>
            </w:pPr>
            <w:r>
              <w:t>0.202</w:t>
            </w:r>
          </w:p>
        </w:tc>
      </w:tr>
    </w:tbl>
    <w:p w14:paraId="113D0EAD" w14:textId="77777777" w:rsidR="00CF0A57" w:rsidRDefault="00CF0A57" w:rsidP="000B6171">
      <w:pPr>
        <w:jc w:val="both"/>
        <w:rPr>
          <w:lang w:val="el-GR"/>
        </w:rPr>
      </w:pPr>
    </w:p>
    <w:p w14:paraId="78263123" w14:textId="53E5CE03" w:rsidR="00CF0A57" w:rsidRDefault="00CF0A57" w:rsidP="00CF0A57">
      <w:pPr>
        <w:jc w:val="both"/>
        <w:rPr>
          <w:lang w:val="el-GR"/>
        </w:rPr>
      </w:pPr>
      <w:r>
        <w:rPr>
          <w:lang w:val="el-GR"/>
        </w:rPr>
        <w:t xml:space="preserve">Μετά την εκπαίδευση των μοντέλων με τη χρήση μια υβριδικής μεθόδου, κατά την οποία οι παράμετροι των συναρτήσεων συμμετοχής και της πολυωνυμικής συνάρτησης βελτιστοποιούνται με τις μεθόδους του </w:t>
      </w:r>
      <w:r>
        <w:t>back</w:t>
      </w:r>
      <w:r w:rsidRPr="001E4CB4">
        <w:rPr>
          <w:lang w:val="el-GR"/>
        </w:rPr>
        <w:t xml:space="preserve"> </w:t>
      </w:r>
      <w:r>
        <w:t>propagation</w:t>
      </w:r>
      <w:r w:rsidRPr="001E4CB4">
        <w:rPr>
          <w:lang w:val="el-GR"/>
        </w:rPr>
        <w:t xml:space="preserve"> </w:t>
      </w:r>
      <w:r>
        <w:rPr>
          <w:lang w:val="el-GR"/>
        </w:rPr>
        <w:t>και των ελαχίστων τετραγώνων εξόδου αντίστοιχα, παρουσιάζονται οι συναρτήσεις συμμετοχής των εισόδων που προέκυψαν στα παρακάτω σχήματα</w:t>
      </w:r>
      <w:r w:rsidR="004837E4">
        <w:rPr>
          <w:lang w:val="el-GR"/>
        </w:rPr>
        <w:t>.</w:t>
      </w:r>
    </w:p>
    <w:p w14:paraId="1BC2F5F6" w14:textId="16812B17" w:rsidR="004837E4" w:rsidRDefault="004837E4" w:rsidP="00CF0A57">
      <w:pPr>
        <w:jc w:val="both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58240" behindDoc="0" locked="0" layoutInCell="1" allowOverlap="1" wp14:anchorId="2E77D9D1" wp14:editId="721C77C6">
            <wp:simplePos x="0" y="0"/>
            <wp:positionH relativeFrom="margin">
              <wp:posOffset>304800</wp:posOffset>
            </wp:positionH>
            <wp:positionV relativeFrom="margin">
              <wp:posOffset>2759710</wp:posOffset>
            </wp:positionV>
            <wp:extent cx="5332730" cy="279019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359AF9CB" wp14:editId="6DD8666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32730" cy="2904490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4A34D18F" wp14:editId="22F48D58">
            <wp:simplePos x="914400" y="6546850"/>
            <wp:positionH relativeFrom="margin">
              <wp:align>center</wp:align>
            </wp:positionH>
            <wp:positionV relativeFrom="margin">
              <wp:align>bottom</wp:align>
            </wp:positionV>
            <wp:extent cx="5332730" cy="2933065"/>
            <wp:effectExtent l="0" t="0" r="127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F30B4" w14:textId="77777777" w:rsidR="00C66675" w:rsidRDefault="00C66675" w:rsidP="00CF0A57">
      <w:pPr>
        <w:jc w:val="both"/>
        <w:rPr>
          <w:lang w:val="el-GR"/>
        </w:rPr>
      </w:pPr>
    </w:p>
    <w:p w14:paraId="53BC637E" w14:textId="378FEC76" w:rsidR="004837E4" w:rsidRDefault="00C66675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14A8BE81" wp14:editId="4AB63DBD">
            <wp:simplePos x="0" y="0"/>
            <wp:positionH relativeFrom="margin">
              <wp:posOffset>323850</wp:posOffset>
            </wp:positionH>
            <wp:positionV relativeFrom="margin">
              <wp:posOffset>-558800</wp:posOffset>
            </wp:positionV>
            <wp:extent cx="5333333" cy="2761905"/>
            <wp:effectExtent l="0" t="0" r="127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7E4">
        <w:rPr>
          <w:lang w:val="el-GR"/>
        </w:rPr>
        <w:t xml:space="preserve">Από τα διαγράμματα των συναρτήσεων συμμετοχής των μοντέλων φαίνεται πως για ίδιο αριθμό κανόνων, η </w:t>
      </w:r>
      <w:proofErr w:type="spellStart"/>
      <w:r w:rsidR="004837E4">
        <w:rPr>
          <w:lang w:val="el-GR"/>
        </w:rPr>
        <w:t>διαμέριση</w:t>
      </w:r>
      <w:proofErr w:type="spellEnd"/>
      <w:r w:rsidR="004837E4">
        <w:rPr>
          <w:lang w:val="el-GR"/>
        </w:rPr>
        <w:t xml:space="preserve"> του χώρου εισόδου με τη μέθοδο του </w:t>
      </w:r>
      <w:r w:rsidR="004837E4">
        <w:t>subtractive</w:t>
      </w:r>
      <w:r w:rsidR="004837E4" w:rsidRPr="004837E4">
        <w:rPr>
          <w:lang w:val="el-GR"/>
        </w:rPr>
        <w:t xml:space="preserve"> </w:t>
      </w:r>
      <w:r w:rsidR="004837E4">
        <w:t>clustering</w:t>
      </w:r>
      <w:r w:rsidR="004837E4" w:rsidRPr="004837E4">
        <w:rPr>
          <w:lang w:val="el-GR"/>
        </w:rPr>
        <w:t xml:space="preserve"> </w:t>
      </w:r>
      <w:r w:rsidR="004837E4">
        <w:rPr>
          <w:lang w:val="el-GR"/>
        </w:rPr>
        <w:t xml:space="preserve">στα δεδομένα του συνόλου εκπαίδευσης που ανήκουν στην κάθε κλάση ξεχωριστά </w:t>
      </w:r>
      <w:r w:rsidR="004837E4" w:rsidRPr="002D20FF">
        <w:rPr>
          <w:lang w:val="el-GR"/>
        </w:rPr>
        <w:t>(</w:t>
      </w:r>
      <w:r w:rsidR="004837E4">
        <w:t>class</w:t>
      </w:r>
      <w:r w:rsidR="004837E4" w:rsidRPr="002D20FF">
        <w:rPr>
          <w:lang w:val="el-GR"/>
        </w:rPr>
        <w:t xml:space="preserve"> </w:t>
      </w:r>
      <w:r w:rsidR="004837E4">
        <w:t>dependent</w:t>
      </w:r>
      <w:r w:rsidR="004837E4" w:rsidRPr="002D20FF">
        <w:rPr>
          <w:lang w:val="el-GR"/>
        </w:rPr>
        <w:t>)</w:t>
      </w:r>
      <w:r w:rsidR="004837E4">
        <w:rPr>
          <w:lang w:val="el-GR"/>
        </w:rPr>
        <w:t xml:space="preserve"> οδηγεί σε συναρτήσεις συμμετοχής που είναι αρκετά σαφέστερα ορισμένες </w:t>
      </w:r>
      <w:r>
        <w:rPr>
          <w:lang w:val="el-GR"/>
        </w:rPr>
        <w:t xml:space="preserve">και δεν έχουν τόσο μεγάλη επικάλυψη όσο το αντίστοιχο μοντέλο, όπου για τη </w:t>
      </w:r>
      <w:proofErr w:type="spellStart"/>
      <w:r>
        <w:rPr>
          <w:lang w:val="el-GR"/>
        </w:rPr>
        <w:t>διαμέριση</w:t>
      </w:r>
      <w:proofErr w:type="spellEnd"/>
      <w:r>
        <w:rPr>
          <w:lang w:val="el-GR"/>
        </w:rPr>
        <w:t xml:space="preserve"> του χώρου εισόδου εφαρμόζεται </w:t>
      </w:r>
      <w:r>
        <w:t>subtractive</w:t>
      </w:r>
      <w:r w:rsidRPr="00C66675">
        <w:rPr>
          <w:lang w:val="el-GR"/>
        </w:rPr>
        <w:t xml:space="preserve"> </w:t>
      </w:r>
      <w:r>
        <w:t>clustering</w:t>
      </w:r>
      <w:r w:rsidRPr="00C66675">
        <w:rPr>
          <w:lang w:val="el-GR"/>
        </w:rPr>
        <w:t xml:space="preserve"> </w:t>
      </w:r>
      <w:r>
        <w:rPr>
          <w:lang w:val="el-GR"/>
        </w:rPr>
        <w:t>στο σύνολο των δεδομένων του συνόλου εκπαίδευσης.</w:t>
      </w:r>
    </w:p>
    <w:p w14:paraId="12CFDC23" w14:textId="6E32A13C" w:rsidR="00C66675" w:rsidRDefault="00C66675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5408" behindDoc="1" locked="0" layoutInCell="1" allowOverlap="1" wp14:anchorId="7D102B89" wp14:editId="20A158F3">
            <wp:simplePos x="0" y="0"/>
            <wp:positionH relativeFrom="page">
              <wp:align>center</wp:align>
            </wp:positionH>
            <wp:positionV relativeFrom="paragraph">
              <wp:posOffset>641985</wp:posOffset>
            </wp:positionV>
            <wp:extent cx="5161915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>Παρακάτω παρουσιάζονται και οι καμπύλες εκμάθησης των τεσσάρων μοντέλων.</w:t>
      </w:r>
      <w:r w:rsidRPr="00C66675">
        <w:rPr>
          <w:noProof/>
          <w:lang w:val="el-GR"/>
        </w:rPr>
        <w:t xml:space="preserve"> </w:t>
      </w:r>
    </w:p>
    <w:p w14:paraId="5EC5776A" w14:textId="2DAF0BCE" w:rsidR="00C66675" w:rsidRPr="00C66675" w:rsidRDefault="00C66675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571A9BE5" wp14:editId="5CD7C823">
            <wp:simplePos x="0" y="0"/>
            <wp:positionH relativeFrom="page">
              <wp:align>center</wp:align>
            </wp:positionH>
            <wp:positionV relativeFrom="margin">
              <wp:posOffset>-203200</wp:posOffset>
            </wp:positionV>
            <wp:extent cx="5162113" cy="3657600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11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501AC" w14:textId="0F721BA6" w:rsidR="004837E4" w:rsidRDefault="004837E4" w:rsidP="00CF0A57">
      <w:pPr>
        <w:jc w:val="both"/>
        <w:rPr>
          <w:lang w:val="el-GR"/>
        </w:rPr>
      </w:pPr>
    </w:p>
    <w:p w14:paraId="321D3B82" w14:textId="5F1791FB" w:rsidR="004837E4" w:rsidRDefault="004837E4" w:rsidP="00CF0A57">
      <w:pPr>
        <w:jc w:val="both"/>
        <w:rPr>
          <w:lang w:val="el-GR"/>
        </w:rPr>
      </w:pPr>
    </w:p>
    <w:p w14:paraId="74F4B724" w14:textId="77777777" w:rsidR="00C66675" w:rsidRDefault="00C66675" w:rsidP="00CF0A57">
      <w:pPr>
        <w:jc w:val="both"/>
        <w:rPr>
          <w:lang w:val="el-GR"/>
        </w:rPr>
      </w:pPr>
    </w:p>
    <w:p w14:paraId="312E9C7F" w14:textId="77777777" w:rsidR="00C66675" w:rsidRDefault="00C66675" w:rsidP="00CF0A57">
      <w:pPr>
        <w:jc w:val="both"/>
        <w:rPr>
          <w:lang w:val="el-GR"/>
        </w:rPr>
      </w:pPr>
    </w:p>
    <w:p w14:paraId="179633AC" w14:textId="77777777" w:rsidR="00C66675" w:rsidRDefault="00C66675" w:rsidP="00CF0A57">
      <w:pPr>
        <w:jc w:val="both"/>
        <w:rPr>
          <w:lang w:val="el-GR"/>
        </w:rPr>
      </w:pPr>
    </w:p>
    <w:p w14:paraId="278DC2D0" w14:textId="77777777" w:rsidR="00C66675" w:rsidRDefault="00C66675" w:rsidP="00CF0A57">
      <w:pPr>
        <w:jc w:val="both"/>
        <w:rPr>
          <w:lang w:val="el-GR"/>
        </w:rPr>
      </w:pPr>
    </w:p>
    <w:p w14:paraId="730F95C0" w14:textId="77777777" w:rsidR="00C66675" w:rsidRDefault="00C66675" w:rsidP="00CF0A57">
      <w:pPr>
        <w:jc w:val="both"/>
        <w:rPr>
          <w:lang w:val="el-GR"/>
        </w:rPr>
      </w:pPr>
    </w:p>
    <w:p w14:paraId="2B77E2D3" w14:textId="77777777" w:rsidR="00C66675" w:rsidRDefault="00C66675" w:rsidP="00CF0A57">
      <w:pPr>
        <w:jc w:val="both"/>
        <w:rPr>
          <w:lang w:val="el-GR"/>
        </w:rPr>
      </w:pPr>
    </w:p>
    <w:p w14:paraId="5570992D" w14:textId="77777777" w:rsidR="00C66675" w:rsidRDefault="00C66675" w:rsidP="00CF0A57">
      <w:pPr>
        <w:jc w:val="both"/>
        <w:rPr>
          <w:lang w:val="el-GR"/>
        </w:rPr>
      </w:pPr>
    </w:p>
    <w:p w14:paraId="39ABDEC1" w14:textId="77777777" w:rsidR="00C66675" w:rsidRDefault="00C66675" w:rsidP="00CF0A57">
      <w:pPr>
        <w:jc w:val="both"/>
        <w:rPr>
          <w:lang w:val="el-GR"/>
        </w:rPr>
      </w:pPr>
    </w:p>
    <w:p w14:paraId="772BBB90" w14:textId="77777777" w:rsidR="00C66675" w:rsidRDefault="00C66675" w:rsidP="00CF0A57">
      <w:pPr>
        <w:jc w:val="both"/>
        <w:rPr>
          <w:lang w:val="el-GR"/>
        </w:rPr>
      </w:pPr>
    </w:p>
    <w:p w14:paraId="76DF5E5A" w14:textId="77777777" w:rsidR="00C66675" w:rsidRDefault="00C66675" w:rsidP="00CF0A57">
      <w:pPr>
        <w:jc w:val="both"/>
        <w:rPr>
          <w:lang w:val="el-GR"/>
        </w:rPr>
      </w:pPr>
    </w:p>
    <w:p w14:paraId="3FDDDBD2" w14:textId="4E1C4E3C" w:rsidR="00C66675" w:rsidRDefault="00C66675" w:rsidP="00CF0A57">
      <w:pPr>
        <w:jc w:val="both"/>
        <w:rPr>
          <w:lang w:val="el-GR"/>
        </w:rPr>
      </w:pPr>
    </w:p>
    <w:p w14:paraId="613D976B" w14:textId="2F6496A2" w:rsidR="00C66675" w:rsidRDefault="00C66675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51DE4C20" wp14:editId="40F3928D">
            <wp:simplePos x="0" y="0"/>
            <wp:positionH relativeFrom="page">
              <wp:align>center</wp:align>
            </wp:positionH>
            <wp:positionV relativeFrom="paragraph">
              <wp:posOffset>109855</wp:posOffset>
            </wp:positionV>
            <wp:extent cx="5161915" cy="3657600"/>
            <wp:effectExtent l="0" t="0" r="63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D458F" w14:textId="77777777" w:rsidR="00C66675" w:rsidRDefault="00C66675" w:rsidP="00CF0A57">
      <w:pPr>
        <w:jc w:val="both"/>
        <w:rPr>
          <w:lang w:val="el-GR"/>
        </w:rPr>
      </w:pPr>
    </w:p>
    <w:p w14:paraId="446E9D06" w14:textId="77777777" w:rsidR="00C66675" w:rsidRDefault="00C66675" w:rsidP="00CF0A57">
      <w:pPr>
        <w:jc w:val="both"/>
        <w:rPr>
          <w:lang w:val="el-GR"/>
        </w:rPr>
      </w:pPr>
    </w:p>
    <w:p w14:paraId="7EF2F1A5" w14:textId="77777777" w:rsidR="00C66675" w:rsidRDefault="00C66675" w:rsidP="00CF0A57">
      <w:pPr>
        <w:jc w:val="both"/>
        <w:rPr>
          <w:lang w:val="el-GR"/>
        </w:rPr>
      </w:pPr>
    </w:p>
    <w:p w14:paraId="66744631" w14:textId="77777777" w:rsidR="00C66675" w:rsidRDefault="00C66675" w:rsidP="00CF0A57">
      <w:pPr>
        <w:jc w:val="both"/>
        <w:rPr>
          <w:lang w:val="el-GR"/>
        </w:rPr>
      </w:pPr>
    </w:p>
    <w:p w14:paraId="7441422B" w14:textId="77777777" w:rsidR="00C66675" w:rsidRDefault="00C66675" w:rsidP="00CF0A57">
      <w:pPr>
        <w:jc w:val="both"/>
        <w:rPr>
          <w:lang w:val="el-GR"/>
        </w:rPr>
      </w:pPr>
    </w:p>
    <w:p w14:paraId="06A03356" w14:textId="77777777" w:rsidR="00C66675" w:rsidRDefault="00C66675" w:rsidP="00CF0A57">
      <w:pPr>
        <w:jc w:val="both"/>
        <w:rPr>
          <w:lang w:val="el-GR"/>
        </w:rPr>
      </w:pPr>
    </w:p>
    <w:p w14:paraId="47FB786F" w14:textId="77777777" w:rsidR="00C66675" w:rsidRDefault="00C66675" w:rsidP="00CF0A57">
      <w:pPr>
        <w:jc w:val="both"/>
        <w:rPr>
          <w:lang w:val="el-GR"/>
        </w:rPr>
      </w:pPr>
    </w:p>
    <w:p w14:paraId="0BFAA140" w14:textId="77777777" w:rsidR="00C66675" w:rsidRDefault="00C66675" w:rsidP="00CF0A57">
      <w:pPr>
        <w:jc w:val="both"/>
        <w:rPr>
          <w:lang w:val="el-GR"/>
        </w:rPr>
      </w:pPr>
    </w:p>
    <w:p w14:paraId="4EFD3219" w14:textId="77777777" w:rsidR="00C66675" w:rsidRDefault="00C66675" w:rsidP="00CF0A57">
      <w:pPr>
        <w:jc w:val="both"/>
        <w:rPr>
          <w:lang w:val="el-GR"/>
        </w:rPr>
      </w:pPr>
    </w:p>
    <w:p w14:paraId="284F7FF8" w14:textId="77777777" w:rsidR="00C66675" w:rsidRDefault="00C66675" w:rsidP="00CF0A57">
      <w:pPr>
        <w:jc w:val="both"/>
        <w:rPr>
          <w:lang w:val="el-GR"/>
        </w:rPr>
      </w:pPr>
    </w:p>
    <w:p w14:paraId="7C134902" w14:textId="77777777" w:rsidR="00C66675" w:rsidRDefault="00C66675" w:rsidP="00CF0A57">
      <w:pPr>
        <w:jc w:val="both"/>
        <w:rPr>
          <w:lang w:val="el-GR"/>
        </w:rPr>
      </w:pPr>
    </w:p>
    <w:p w14:paraId="06F1CDAA" w14:textId="77777777" w:rsidR="00C66675" w:rsidRDefault="00C66675" w:rsidP="00CF0A57">
      <w:pPr>
        <w:jc w:val="both"/>
        <w:rPr>
          <w:lang w:val="el-GR"/>
        </w:rPr>
      </w:pPr>
    </w:p>
    <w:p w14:paraId="0C624E28" w14:textId="77777777" w:rsidR="00C66675" w:rsidRDefault="00C66675" w:rsidP="00CF0A57">
      <w:pPr>
        <w:jc w:val="both"/>
        <w:rPr>
          <w:lang w:val="el-GR"/>
        </w:rPr>
      </w:pPr>
    </w:p>
    <w:p w14:paraId="3525F09E" w14:textId="77777777" w:rsidR="00C66675" w:rsidRDefault="00C66675" w:rsidP="00CF0A57">
      <w:pPr>
        <w:jc w:val="both"/>
        <w:rPr>
          <w:lang w:val="el-GR"/>
        </w:rPr>
      </w:pPr>
    </w:p>
    <w:p w14:paraId="2D59339F" w14:textId="4F0F09FF" w:rsidR="00C66675" w:rsidRDefault="00C66675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4384" behindDoc="0" locked="0" layoutInCell="1" allowOverlap="1" wp14:anchorId="6616B35F" wp14:editId="45FB4C58">
            <wp:simplePos x="0" y="0"/>
            <wp:positionH relativeFrom="page">
              <wp:align>center</wp:align>
            </wp:positionH>
            <wp:positionV relativeFrom="margin">
              <wp:posOffset>-457200</wp:posOffset>
            </wp:positionV>
            <wp:extent cx="5162113" cy="3657600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11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47A4C" w14:textId="68DE14A1" w:rsidR="004837E4" w:rsidRDefault="004837E4" w:rsidP="00CF0A57">
      <w:pPr>
        <w:jc w:val="both"/>
        <w:rPr>
          <w:lang w:val="el-GR"/>
        </w:rPr>
      </w:pPr>
    </w:p>
    <w:p w14:paraId="2ACA40BA" w14:textId="171FE916" w:rsidR="00C66675" w:rsidRDefault="00C66675" w:rsidP="00CF0A57">
      <w:pPr>
        <w:jc w:val="both"/>
        <w:rPr>
          <w:lang w:val="el-GR"/>
        </w:rPr>
      </w:pPr>
    </w:p>
    <w:p w14:paraId="3E3DB5C7" w14:textId="60736364" w:rsidR="00C66675" w:rsidRDefault="00C66675" w:rsidP="00CF0A57">
      <w:pPr>
        <w:jc w:val="both"/>
        <w:rPr>
          <w:lang w:val="el-GR"/>
        </w:rPr>
      </w:pPr>
    </w:p>
    <w:p w14:paraId="45B8D3D6" w14:textId="5EA390C8" w:rsidR="00C66675" w:rsidRDefault="00C66675" w:rsidP="00CF0A57">
      <w:pPr>
        <w:jc w:val="both"/>
        <w:rPr>
          <w:lang w:val="el-GR"/>
        </w:rPr>
      </w:pPr>
    </w:p>
    <w:p w14:paraId="43F632E8" w14:textId="570BB77C" w:rsidR="00C66675" w:rsidRDefault="00C66675" w:rsidP="00CF0A57">
      <w:pPr>
        <w:jc w:val="both"/>
        <w:rPr>
          <w:lang w:val="el-GR"/>
        </w:rPr>
      </w:pPr>
    </w:p>
    <w:p w14:paraId="778AFBA4" w14:textId="29E4BC7D" w:rsidR="00C66675" w:rsidRDefault="00C66675" w:rsidP="00CF0A57">
      <w:pPr>
        <w:jc w:val="both"/>
        <w:rPr>
          <w:lang w:val="el-GR"/>
        </w:rPr>
      </w:pPr>
    </w:p>
    <w:p w14:paraId="471FCF44" w14:textId="2A5F44F6" w:rsidR="00C66675" w:rsidRDefault="00C66675" w:rsidP="00CF0A57">
      <w:pPr>
        <w:jc w:val="both"/>
        <w:rPr>
          <w:lang w:val="el-GR"/>
        </w:rPr>
      </w:pPr>
    </w:p>
    <w:p w14:paraId="23E5625E" w14:textId="31FB7130" w:rsidR="00C66675" w:rsidRDefault="00C66675" w:rsidP="00CF0A57">
      <w:pPr>
        <w:jc w:val="both"/>
        <w:rPr>
          <w:lang w:val="el-GR"/>
        </w:rPr>
      </w:pPr>
    </w:p>
    <w:p w14:paraId="16320B64" w14:textId="18EBC3B6" w:rsidR="00C66675" w:rsidRDefault="00C66675" w:rsidP="00CF0A57">
      <w:pPr>
        <w:jc w:val="both"/>
        <w:rPr>
          <w:lang w:val="el-GR"/>
        </w:rPr>
      </w:pPr>
    </w:p>
    <w:p w14:paraId="27BFE26D" w14:textId="075E4A1D" w:rsidR="00C66675" w:rsidRDefault="00C66675" w:rsidP="00CF0A57">
      <w:pPr>
        <w:jc w:val="both"/>
        <w:rPr>
          <w:lang w:val="el-GR"/>
        </w:rPr>
      </w:pPr>
    </w:p>
    <w:p w14:paraId="474DFE32" w14:textId="161D9ED5" w:rsidR="00C66675" w:rsidRDefault="00C66675" w:rsidP="00CF0A57">
      <w:pPr>
        <w:jc w:val="both"/>
        <w:rPr>
          <w:lang w:val="el-GR"/>
        </w:rPr>
      </w:pPr>
    </w:p>
    <w:p w14:paraId="0962FC9E" w14:textId="3B49E42E" w:rsidR="00C66675" w:rsidRDefault="00C66675" w:rsidP="00CF0A57">
      <w:pPr>
        <w:jc w:val="both"/>
        <w:rPr>
          <w:lang w:val="el-GR"/>
        </w:rPr>
      </w:pPr>
      <w:r>
        <w:rPr>
          <w:lang w:val="el-GR"/>
        </w:rPr>
        <w:t>Τέλος, παρουσιάζεται ο πίνακας σφαλμάτων ταξινόμησης και ο πίνακας των δεικτών απόδοσης για κάθε μοντέλο.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</w:tblGrid>
      <w:tr w:rsidR="003D5D49" w14:paraId="7046DCAD" w14:textId="77777777" w:rsidTr="003D5D49">
        <w:trPr>
          <w:jc w:val="center"/>
        </w:trPr>
        <w:tc>
          <w:tcPr>
            <w:tcW w:w="3118" w:type="dxa"/>
            <w:gridSpan w:val="2"/>
            <w:tcBorders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2CF29B12" w14:textId="69F212B8" w:rsidR="003D5D49" w:rsidRPr="003D5D49" w:rsidRDefault="003D5D49" w:rsidP="003D5D49">
            <w:pPr>
              <w:jc w:val="center"/>
              <w:rPr>
                <w:b/>
                <w:bCs/>
                <w:lang w:val="el-GR"/>
              </w:rPr>
            </w:pPr>
            <w:r w:rsidRPr="003D5D49">
              <w:rPr>
                <w:b/>
                <w:bCs/>
                <w:lang w:val="el-GR"/>
              </w:rPr>
              <w:t>Μοντέλο 1</w:t>
            </w:r>
          </w:p>
        </w:tc>
        <w:tc>
          <w:tcPr>
            <w:tcW w:w="155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3D588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3116" w:type="dxa"/>
            <w:gridSpan w:val="2"/>
            <w:tcBorders>
              <w:left w:val="single" w:sz="4" w:space="0" w:color="auto"/>
            </w:tcBorders>
            <w:shd w:val="clear" w:color="auto" w:fill="C9C9C9" w:themeFill="accent3" w:themeFillTint="99"/>
            <w:vAlign w:val="center"/>
          </w:tcPr>
          <w:p w14:paraId="5AA223F2" w14:textId="11DCCDAD" w:rsidR="003D5D49" w:rsidRPr="003D5D49" w:rsidRDefault="003D5D49" w:rsidP="003D5D49">
            <w:pPr>
              <w:jc w:val="center"/>
              <w:rPr>
                <w:b/>
                <w:bCs/>
                <w:lang w:val="el-GR"/>
              </w:rPr>
            </w:pPr>
            <w:r w:rsidRPr="003D5D49">
              <w:rPr>
                <w:b/>
                <w:bCs/>
                <w:lang w:val="el-GR"/>
              </w:rPr>
              <w:t>Μοντέλο 2</w:t>
            </w:r>
          </w:p>
        </w:tc>
      </w:tr>
      <w:tr w:rsidR="003D5D49" w14:paraId="64459554" w14:textId="77777777" w:rsidTr="003D5D49">
        <w:trPr>
          <w:jc w:val="center"/>
        </w:trPr>
        <w:tc>
          <w:tcPr>
            <w:tcW w:w="1559" w:type="dxa"/>
            <w:vAlign w:val="center"/>
          </w:tcPr>
          <w:p w14:paraId="698CD11B" w14:textId="49FDE580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14:paraId="5A3EE72D" w14:textId="2C5A48A0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7988B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01E3D541" w14:textId="5AA8A0F5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  <w:tc>
          <w:tcPr>
            <w:tcW w:w="1558" w:type="dxa"/>
            <w:vAlign w:val="center"/>
          </w:tcPr>
          <w:p w14:paraId="4408B888" w14:textId="1233B80A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3D5D49" w14:paraId="74C92CC5" w14:textId="77777777" w:rsidTr="003D5D49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7E940D" w14:textId="1EA0F5E6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029D12" w14:textId="20062EE1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0C064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F171C1" w14:textId="652813B9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6001C0E" w14:textId="4D8993F9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</w:tr>
      <w:tr w:rsidR="003D5D49" w14:paraId="6186EA75" w14:textId="77777777" w:rsidTr="003D5D49">
        <w:trPr>
          <w:jc w:val="center"/>
        </w:trPr>
        <w:tc>
          <w:tcPr>
            <w:tcW w:w="3118" w:type="dxa"/>
            <w:gridSpan w:val="2"/>
            <w:tcBorders>
              <w:left w:val="nil"/>
              <w:right w:val="nil"/>
            </w:tcBorders>
            <w:vAlign w:val="center"/>
          </w:tcPr>
          <w:p w14:paraId="39219D41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AA3E6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3116" w:type="dxa"/>
            <w:gridSpan w:val="2"/>
            <w:tcBorders>
              <w:left w:val="nil"/>
              <w:right w:val="nil"/>
            </w:tcBorders>
            <w:vAlign w:val="center"/>
          </w:tcPr>
          <w:p w14:paraId="528F06D6" w14:textId="7BF67634" w:rsidR="003D5D49" w:rsidRDefault="003D5D49" w:rsidP="003D5D49">
            <w:pPr>
              <w:jc w:val="center"/>
              <w:rPr>
                <w:lang w:val="el-GR"/>
              </w:rPr>
            </w:pPr>
          </w:p>
        </w:tc>
      </w:tr>
      <w:tr w:rsidR="003D5D49" w14:paraId="5C9364E7" w14:textId="77777777" w:rsidTr="003D5D49">
        <w:trPr>
          <w:jc w:val="center"/>
        </w:trPr>
        <w:tc>
          <w:tcPr>
            <w:tcW w:w="3118" w:type="dxa"/>
            <w:gridSpan w:val="2"/>
            <w:shd w:val="clear" w:color="auto" w:fill="C9C9C9" w:themeFill="accent3" w:themeFillTint="99"/>
            <w:vAlign w:val="center"/>
          </w:tcPr>
          <w:p w14:paraId="407B3ACC" w14:textId="6CA342FA" w:rsidR="003D5D49" w:rsidRPr="003D5D49" w:rsidRDefault="003D5D49" w:rsidP="003D5D49">
            <w:pPr>
              <w:jc w:val="center"/>
              <w:rPr>
                <w:b/>
                <w:bCs/>
                <w:lang w:val="el-GR"/>
              </w:rPr>
            </w:pPr>
            <w:r w:rsidRPr="003D5D49">
              <w:rPr>
                <w:b/>
                <w:bCs/>
                <w:lang w:val="el-GR"/>
              </w:rPr>
              <w:t>Μοντέλο 3</w:t>
            </w:r>
          </w:p>
        </w:tc>
        <w:tc>
          <w:tcPr>
            <w:tcW w:w="1558" w:type="dxa"/>
            <w:vMerge w:val="restart"/>
            <w:tcBorders>
              <w:top w:val="nil"/>
              <w:bottom w:val="nil"/>
            </w:tcBorders>
            <w:vAlign w:val="center"/>
          </w:tcPr>
          <w:p w14:paraId="528B8238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3116" w:type="dxa"/>
            <w:gridSpan w:val="2"/>
            <w:shd w:val="clear" w:color="auto" w:fill="C9C9C9" w:themeFill="accent3" w:themeFillTint="99"/>
            <w:vAlign w:val="center"/>
          </w:tcPr>
          <w:p w14:paraId="07AEAAB6" w14:textId="72C0A41E" w:rsidR="003D5D49" w:rsidRPr="003D5D49" w:rsidRDefault="003D5D49" w:rsidP="003D5D49">
            <w:pPr>
              <w:jc w:val="center"/>
              <w:rPr>
                <w:b/>
                <w:bCs/>
                <w:lang w:val="el-GR"/>
              </w:rPr>
            </w:pPr>
            <w:r w:rsidRPr="003D5D49">
              <w:rPr>
                <w:b/>
                <w:bCs/>
                <w:lang w:val="el-GR"/>
              </w:rPr>
              <w:t>Μοντέλο 4</w:t>
            </w:r>
          </w:p>
        </w:tc>
      </w:tr>
      <w:tr w:rsidR="003D5D49" w14:paraId="45A4A36D" w14:textId="77777777" w:rsidTr="003D5D49">
        <w:trPr>
          <w:trHeight w:val="197"/>
          <w:jc w:val="center"/>
        </w:trPr>
        <w:tc>
          <w:tcPr>
            <w:tcW w:w="1559" w:type="dxa"/>
            <w:vAlign w:val="center"/>
          </w:tcPr>
          <w:p w14:paraId="1D92DB1F" w14:textId="2F005763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39</w:t>
            </w:r>
          </w:p>
        </w:tc>
        <w:tc>
          <w:tcPr>
            <w:tcW w:w="1559" w:type="dxa"/>
            <w:vAlign w:val="center"/>
          </w:tcPr>
          <w:p w14:paraId="25ECE8A3" w14:textId="3B254423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1558" w:type="dxa"/>
            <w:vMerge/>
            <w:tcBorders>
              <w:bottom w:val="nil"/>
            </w:tcBorders>
            <w:vAlign w:val="center"/>
          </w:tcPr>
          <w:p w14:paraId="0CA58DC9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1558" w:type="dxa"/>
            <w:vAlign w:val="center"/>
          </w:tcPr>
          <w:p w14:paraId="463CFFF5" w14:textId="6915D8A8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558" w:type="dxa"/>
            <w:vAlign w:val="center"/>
          </w:tcPr>
          <w:p w14:paraId="3A6C9A92" w14:textId="0625A22A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3D5D49" w14:paraId="5466EA6E" w14:textId="77777777" w:rsidTr="003D5D49">
        <w:trPr>
          <w:jc w:val="center"/>
        </w:trPr>
        <w:tc>
          <w:tcPr>
            <w:tcW w:w="1559" w:type="dxa"/>
            <w:vAlign w:val="center"/>
          </w:tcPr>
          <w:p w14:paraId="581E6DDA" w14:textId="1FB3BE05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559" w:type="dxa"/>
            <w:vAlign w:val="center"/>
          </w:tcPr>
          <w:p w14:paraId="22693B8F" w14:textId="4D8D8E59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558" w:type="dxa"/>
            <w:vMerge/>
            <w:tcBorders>
              <w:bottom w:val="nil"/>
            </w:tcBorders>
            <w:vAlign w:val="center"/>
          </w:tcPr>
          <w:p w14:paraId="3A1E9DFD" w14:textId="77777777" w:rsidR="003D5D49" w:rsidRDefault="003D5D49" w:rsidP="003D5D49">
            <w:pPr>
              <w:jc w:val="center"/>
              <w:rPr>
                <w:lang w:val="el-GR"/>
              </w:rPr>
            </w:pPr>
          </w:p>
        </w:tc>
        <w:tc>
          <w:tcPr>
            <w:tcW w:w="1558" w:type="dxa"/>
            <w:vAlign w:val="center"/>
          </w:tcPr>
          <w:p w14:paraId="439FBFDD" w14:textId="6CCAE5C5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558" w:type="dxa"/>
            <w:vAlign w:val="center"/>
          </w:tcPr>
          <w:p w14:paraId="10EEEA75" w14:textId="3EDD9F77" w:rsidR="003D5D49" w:rsidRDefault="003D5D49" w:rsidP="003D5D4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</w:tbl>
    <w:p w14:paraId="02278CCD" w14:textId="42513C2F" w:rsidR="003D5D49" w:rsidRDefault="003D5D49" w:rsidP="00CF0A57">
      <w:pPr>
        <w:jc w:val="both"/>
        <w:rPr>
          <w:lang w:val="el-GR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530"/>
        <w:gridCol w:w="1530"/>
        <w:gridCol w:w="1620"/>
        <w:gridCol w:w="1530"/>
        <w:gridCol w:w="1530"/>
      </w:tblGrid>
      <w:tr w:rsidR="003D5D49" w14:paraId="53E0559D" w14:textId="77777777" w:rsidTr="00D550B8">
        <w:tc>
          <w:tcPr>
            <w:tcW w:w="3060" w:type="dxa"/>
            <w:gridSpan w:val="2"/>
            <w:shd w:val="clear" w:color="auto" w:fill="C9C9C9" w:themeFill="accent3" w:themeFillTint="99"/>
            <w:vAlign w:val="center"/>
          </w:tcPr>
          <w:p w14:paraId="49BF8DAD" w14:textId="491E912E" w:rsidR="003D5D49" w:rsidRDefault="00F540DC" w:rsidP="00F540DC">
            <w:pPr>
              <w:jc w:val="center"/>
              <w:rPr>
                <w:lang w:val="el-GR"/>
              </w:rPr>
            </w:pPr>
            <w:r w:rsidRPr="003D5D49">
              <w:rPr>
                <w:b/>
                <w:bCs/>
                <w:lang w:val="el-GR"/>
              </w:rPr>
              <w:t>Μοντέλο 1</w:t>
            </w: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  <w:vAlign w:val="center"/>
          </w:tcPr>
          <w:p w14:paraId="54AB09E0" w14:textId="497B35EE" w:rsidR="003D5D49" w:rsidRPr="00F540DC" w:rsidRDefault="003D5D49" w:rsidP="00F540DC">
            <w:pPr>
              <w:jc w:val="center"/>
            </w:pPr>
          </w:p>
        </w:tc>
        <w:tc>
          <w:tcPr>
            <w:tcW w:w="3060" w:type="dxa"/>
            <w:gridSpan w:val="2"/>
            <w:shd w:val="clear" w:color="auto" w:fill="C9C9C9" w:themeFill="accent3" w:themeFillTint="99"/>
            <w:vAlign w:val="center"/>
          </w:tcPr>
          <w:p w14:paraId="58947F31" w14:textId="133EEFFF" w:rsidR="003D5D49" w:rsidRDefault="00F540DC" w:rsidP="00F540DC">
            <w:pPr>
              <w:jc w:val="center"/>
              <w:rPr>
                <w:lang w:val="el-GR"/>
              </w:rPr>
            </w:pPr>
            <w:r w:rsidRPr="003D5D49">
              <w:rPr>
                <w:b/>
                <w:bCs/>
                <w:lang w:val="el-GR"/>
              </w:rPr>
              <w:t xml:space="preserve">Μοντέλο </w:t>
            </w:r>
            <w:r>
              <w:rPr>
                <w:b/>
                <w:bCs/>
                <w:lang w:val="el-GR"/>
              </w:rPr>
              <w:t>2</w:t>
            </w:r>
          </w:p>
        </w:tc>
      </w:tr>
      <w:tr w:rsidR="00F540DC" w14:paraId="0AC24E59" w14:textId="77777777" w:rsidTr="00D550B8">
        <w:tc>
          <w:tcPr>
            <w:tcW w:w="1530" w:type="dxa"/>
            <w:vAlign w:val="center"/>
          </w:tcPr>
          <w:p w14:paraId="60414791" w14:textId="0C2B2480" w:rsidR="00F540DC" w:rsidRPr="00F540DC" w:rsidRDefault="00F540DC" w:rsidP="00F540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43637638" w14:textId="3546AE01" w:rsidR="00F540DC" w:rsidRPr="00F540DC" w:rsidRDefault="00F540DC" w:rsidP="00F540DC">
            <w:pPr>
              <w:jc w:val="center"/>
            </w:pPr>
            <w:r>
              <w:t>0.6774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59BB1570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79325462" w14:textId="01CA5362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OA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1ADC269E" w14:textId="324D2A1B" w:rsidR="00F540DC" w:rsidRPr="00F540DC" w:rsidRDefault="00F540DC" w:rsidP="00F540DC">
            <w:pPr>
              <w:jc w:val="center"/>
            </w:pPr>
            <w:r>
              <w:t>0.6129</w:t>
            </w:r>
          </w:p>
        </w:tc>
      </w:tr>
      <w:tr w:rsidR="00F540DC" w14:paraId="474ADCFE" w14:textId="77777777" w:rsidTr="00D550B8">
        <w:tc>
          <w:tcPr>
            <w:tcW w:w="1530" w:type="dxa"/>
            <w:vMerge w:val="restart"/>
            <w:vAlign w:val="center"/>
          </w:tcPr>
          <w:p w14:paraId="5B4462BB" w14:textId="60E12FB8" w:rsidR="00F540DC" w:rsidRPr="00F540DC" w:rsidRDefault="00F540DC" w:rsidP="00F540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98C74D3" w14:textId="4744953D" w:rsidR="00F540DC" w:rsidRPr="00F540DC" w:rsidRDefault="00F540DC" w:rsidP="00F540DC">
            <w:pPr>
              <w:jc w:val="center"/>
            </w:pPr>
            <w:r>
              <w:t>0.8444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4C6ABB23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359A0A8D" w14:textId="49ED8ECC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71939F15" w14:textId="191806FD" w:rsidR="00F540DC" w:rsidRPr="00F540DC" w:rsidRDefault="00F540DC" w:rsidP="00F540DC">
            <w:pPr>
              <w:jc w:val="center"/>
            </w:pPr>
            <w:r>
              <w:t>0.6889</w:t>
            </w:r>
          </w:p>
        </w:tc>
      </w:tr>
      <w:tr w:rsidR="00F540DC" w14:paraId="5582A0A0" w14:textId="77777777" w:rsidTr="00D550B8">
        <w:tc>
          <w:tcPr>
            <w:tcW w:w="1530" w:type="dxa"/>
            <w:vMerge/>
            <w:vAlign w:val="center"/>
          </w:tcPr>
          <w:p w14:paraId="43F14DDD" w14:textId="77777777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0" w:type="dxa"/>
            <w:vAlign w:val="center"/>
          </w:tcPr>
          <w:p w14:paraId="1B44F9D2" w14:textId="16D0BABD" w:rsidR="00F540DC" w:rsidRDefault="00F540DC" w:rsidP="00F540DC">
            <w:pPr>
              <w:jc w:val="center"/>
              <w:rPr>
                <w:lang w:val="el-GR"/>
              </w:rPr>
            </w:pPr>
            <w:r>
              <w:t>0.2353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40309B4C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/>
            <w:vAlign w:val="center"/>
          </w:tcPr>
          <w:p w14:paraId="23C27A51" w14:textId="77777777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0" w:type="dxa"/>
            <w:vAlign w:val="center"/>
          </w:tcPr>
          <w:p w14:paraId="76DB48BE" w14:textId="0DD2B9DC" w:rsidR="00F540DC" w:rsidRPr="00F540DC" w:rsidRDefault="00F540DC" w:rsidP="00F540DC">
            <w:pPr>
              <w:jc w:val="center"/>
            </w:pPr>
            <w:r>
              <w:t>0.4118</w:t>
            </w:r>
          </w:p>
        </w:tc>
      </w:tr>
      <w:tr w:rsidR="00F540DC" w14:paraId="7A03582A" w14:textId="77777777" w:rsidTr="00D550B8">
        <w:tc>
          <w:tcPr>
            <w:tcW w:w="1530" w:type="dxa"/>
            <w:vMerge w:val="restart"/>
            <w:vAlign w:val="center"/>
          </w:tcPr>
          <w:p w14:paraId="068FEB57" w14:textId="1C288B66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5A441CC1" w14:textId="1169C7D6" w:rsidR="00F540DC" w:rsidRDefault="00F540DC" w:rsidP="00F540DC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0.7451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02100224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3B2ED361" w14:textId="2610940E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0E7001D7" w14:textId="02B5ECC2" w:rsidR="00F540DC" w:rsidRPr="00F540DC" w:rsidRDefault="00F540DC" w:rsidP="00F540DC">
            <w:pPr>
              <w:jc w:val="center"/>
            </w:pPr>
            <w:r>
              <w:t>0.7561</w:t>
            </w:r>
          </w:p>
        </w:tc>
      </w:tr>
      <w:tr w:rsidR="00F540DC" w14:paraId="71D7E970" w14:textId="77777777" w:rsidTr="00D550B8">
        <w:tc>
          <w:tcPr>
            <w:tcW w:w="1530" w:type="dxa"/>
            <w:vMerge/>
            <w:vAlign w:val="center"/>
          </w:tcPr>
          <w:p w14:paraId="1E0CD990" w14:textId="4333253E" w:rsidR="00F540DC" w:rsidRPr="00F540DC" w:rsidRDefault="00F540DC" w:rsidP="00F540DC">
            <w:pPr>
              <w:jc w:val="center"/>
            </w:pPr>
          </w:p>
        </w:tc>
        <w:tc>
          <w:tcPr>
            <w:tcW w:w="1530" w:type="dxa"/>
            <w:vAlign w:val="center"/>
          </w:tcPr>
          <w:p w14:paraId="6E032241" w14:textId="294A3B3C" w:rsidR="00F540DC" w:rsidRPr="00F540DC" w:rsidRDefault="00F540DC" w:rsidP="00F540DC">
            <w:pPr>
              <w:jc w:val="center"/>
            </w:pPr>
            <w:r>
              <w:t>0.3636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0946199E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/>
            <w:vAlign w:val="center"/>
          </w:tcPr>
          <w:p w14:paraId="61517B91" w14:textId="41EFC2CA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0DFE5A39" w14:textId="609BDEE3" w:rsidR="00F540DC" w:rsidRPr="00F540DC" w:rsidRDefault="00F540DC" w:rsidP="00F540DC">
            <w:pPr>
              <w:jc w:val="center"/>
            </w:pPr>
            <w:r>
              <w:t>0.3333</w:t>
            </w:r>
          </w:p>
        </w:tc>
      </w:tr>
      <w:tr w:rsidR="00F540DC" w14:paraId="60E68542" w14:textId="77777777" w:rsidTr="00D550B8"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35864" w14:textId="78274AFA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E029A9D" w14:textId="7AE4371A" w:rsidR="00F540DC" w:rsidRPr="00F540DC" w:rsidRDefault="00F540DC" w:rsidP="00F540DC">
            <w:pPr>
              <w:jc w:val="center"/>
            </w:pPr>
            <w:r>
              <w:t>0.4641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44F27246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416ADF0" w14:textId="4C86E0B1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1BA71B" w14:textId="28C8E4DA" w:rsidR="00F540DC" w:rsidRPr="00F540DC" w:rsidRDefault="00F540DC" w:rsidP="00F540DC">
            <w:pPr>
              <w:jc w:val="center"/>
            </w:pPr>
            <w:r>
              <w:t>0.357</w:t>
            </w:r>
          </w:p>
        </w:tc>
      </w:tr>
      <w:tr w:rsidR="003D5D49" w14:paraId="51C9F0FA" w14:textId="77777777" w:rsidTr="00D550B8">
        <w:tc>
          <w:tcPr>
            <w:tcW w:w="3060" w:type="dxa"/>
            <w:gridSpan w:val="2"/>
            <w:tcBorders>
              <w:left w:val="nil"/>
              <w:right w:val="nil"/>
            </w:tcBorders>
            <w:vAlign w:val="center"/>
          </w:tcPr>
          <w:p w14:paraId="53B1CDD4" w14:textId="77777777" w:rsidR="003D5D49" w:rsidRDefault="003D5D49" w:rsidP="00F540DC">
            <w:pPr>
              <w:jc w:val="center"/>
              <w:rPr>
                <w:lang w:val="el-G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22005" w14:textId="77777777" w:rsidR="003D5D49" w:rsidRDefault="003D5D49" w:rsidP="00F540DC">
            <w:pPr>
              <w:jc w:val="center"/>
              <w:rPr>
                <w:lang w:val="el-GR"/>
              </w:rPr>
            </w:pPr>
          </w:p>
        </w:tc>
        <w:tc>
          <w:tcPr>
            <w:tcW w:w="3060" w:type="dxa"/>
            <w:gridSpan w:val="2"/>
            <w:tcBorders>
              <w:left w:val="nil"/>
              <w:right w:val="nil"/>
            </w:tcBorders>
            <w:vAlign w:val="center"/>
          </w:tcPr>
          <w:p w14:paraId="5F260CE7" w14:textId="77777777" w:rsidR="003D5D49" w:rsidRDefault="003D5D49" w:rsidP="00F540DC">
            <w:pPr>
              <w:jc w:val="center"/>
              <w:rPr>
                <w:lang w:val="el-GR"/>
              </w:rPr>
            </w:pPr>
          </w:p>
        </w:tc>
      </w:tr>
      <w:tr w:rsidR="003D5D49" w14:paraId="41FD126E" w14:textId="77777777" w:rsidTr="00D550B8">
        <w:tc>
          <w:tcPr>
            <w:tcW w:w="3060" w:type="dxa"/>
            <w:gridSpan w:val="2"/>
            <w:shd w:val="clear" w:color="auto" w:fill="C9C9C9" w:themeFill="accent3" w:themeFillTint="99"/>
            <w:vAlign w:val="center"/>
          </w:tcPr>
          <w:p w14:paraId="55A55B8D" w14:textId="088CC6B3" w:rsidR="003D5D49" w:rsidRDefault="00F540DC" w:rsidP="00F540DC">
            <w:pPr>
              <w:jc w:val="center"/>
              <w:rPr>
                <w:lang w:val="el-GR"/>
              </w:rPr>
            </w:pPr>
            <w:r w:rsidRPr="003D5D49">
              <w:rPr>
                <w:b/>
                <w:bCs/>
                <w:lang w:val="el-GR"/>
              </w:rPr>
              <w:t xml:space="preserve">Μοντέλο </w:t>
            </w:r>
            <w:r>
              <w:rPr>
                <w:b/>
                <w:bCs/>
                <w:lang w:val="el-GR"/>
              </w:rPr>
              <w:t>3</w:t>
            </w: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  <w:vAlign w:val="center"/>
          </w:tcPr>
          <w:p w14:paraId="43B61D78" w14:textId="77777777" w:rsidR="003D5D49" w:rsidRDefault="003D5D49" w:rsidP="00F540DC">
            <w:pPr>
              <w:jc w:val="center"/>
              <w:rPr>
                <w:lang w:val="el-GR"/>
              </w:rPr>
            </w:pPr>
          </w:p>
        </w:tc>
        <w:tc>
          <w:tcPr>
            <w:tcW w:w="3060" w:type="dxa"/>
            <w:gridSpan w:val="2"/>
            <w:shd w:val="clear" w:color="auto" w:fill="C9C9C9" w:themeFill="accent3" w:themeFillTint="99"/>
            <w:vAlign w:val="center"/>
          </w:tcPr>
          <w:p w14:paraId="485D651E" w14:textId="05BCD4DB" w:rsidR="003D5D49" w:rsidRPr="00F540DC" w:rsidRDefault="00F540DC" w:rsidP="00F540DC">
            <w:pPr>
              <w:jc w:val="center"/>
            </w:pPr>
            <w:r w:rsidRPr="003D5D49">
              <w:rPr>
                <w:b/>
                <w:bCs/>
                <w:lang w:val="el-GR"/>
              </w:rPr>
              <w:t xml:space="preserve">Μοντέλο </w:t>
            </w:r>
            <w:r>
              <w:rPr>
                <w:b/>
                <w:bCs/>
              </w:rPr>
              <w:t>4</w:t>
            </w:r>
          </w:p>
        </w:tc>
      </w:tr>
      <w:tr w:rsidR="00F540DC" w14:paraId="260A9D9F" w14:textId="77777777" w:rsidTr="00D550B8">
        <w:tc>
          <w:tcPr>
            <w:tcW w:w="1530" w:type="dxa"/>
            <w:vAlign w:val="center"/>
          </w:tcPr>
          <w:p w14:paraId="24B8DA55" w14:textId="0F7AD6B3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OA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29CB695" w14:textId="13F4404F" w:rsidR="00F540DC" w:rsidRPr="00F540DC" w:rsidRDefault="00F540DC" w:rsidP="00F540DC">
            <w:pPr>
              <w:jc w:val="center"/>
            </w:pPr>
            <w:r>
              <w:t>0.7258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31156BD0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1DD5E3CE" w14:textId="57C56998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OA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1911620" w14:textId="61709B75" w:rsidR="00F540DC" w:rsidRPr="00F540DC" w:rsidRDefault="00F540DC" w:rsidP="00F540DC">
            <w:pPr>
              <w:jc w:val="center"/>
            </w:pPr>
            <w:r>
              <w:t>0.7097</w:t>
            </w:r>
          </w:p>
        </w:tc>
      </w:tr>
      <w:tr w:rsidR="00F540DC" w14:paraId="7CFD8DD3" w14:textId="77777777" w:rsidTr="00D550B8">
        <w:tc>
          <w:tcPr>
            <w:tcW w:w="1530" w:type="dxa"/>
            <w:vMerge w:val="restart"/>
            <w:vAlign w:val="center"/>
          </w:tcPr>
          <w:p w14:paraId="004DA7FE" w14:textId="768B574F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E327CD6" w14:textId="3AD3905A" w:rsidR="00F540DC" w:rsidRPr="00F540DC" w:rsidRDefault="00F540DC" w:rsidP="00F540DC">
            <w:pPr>
              <w:jc w:val="center"/>
            </w:pPr>
            <w:r>
              <w:t>0.8667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31EBF51C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44271374" w14:textId="4B70C0F6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2A2232A4" w14:textId="52A7AF70" w:rsidR="00F540DC" w:rsidRPr="00F540DC" w:rsidRDefault="00F540DC" w:rsidP="00F540DC">
            <w:pPr>
              <w:jc w:val="center"/>
            </w:pPr>
            <w:r>
              <w:t>0.8889</w:t>
            </w:r>
          </w:p>
        </w:tc>
      </w:tr>
      <w:tr w:rsidR="00F540DC" w14:paraId="36EFC3BB" w14:textId="77777777" w:rsidTr="00D550B8">
        <w:tc>
          <w:tcPr>
            <w:tcW w:w="1530" w:type="dxa"/>
            <w:vMerge/>
            <w:vAlign w:val="center"/>
          </w:tcPr>
          <w:p w14:paraId="504F68EB" w14:textId="77777777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0" w:type="dxa"/>
            <w:vAlign w:val="center"/>
          </w:tcPr>
          <w:p w14:paraId="1178E01B" w14:textId="7183BEAB" w:rsidR="00F540DC" w:rsidRPr="00F540DC" w:rsidRDefault="00F540DC" w:rsidP="00F540DC">
            <w:pPr>
              <w:jc w:val="center"/>
            </w:pPr>
            <w:r>
              <w:t>0.3529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653A3264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/>
            <w:vAlign w:val="center"/>
          </w:tcPr>
          <w:p w14:paraId="04AC0438" w14:textId="77777777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530" w:type="dxa"/>
            <w:vAlign w:val="center"/>
          </w:tcPr>
          <w:p w14:paraId="562A7C4F" w14:textId="4F5E1A2F" w:rsidR="00F540DC" w:rsidRPr="00F540DC" w:rsidRDefault="00F540DC" w:rsidP="00F540DC">
            <w:pPr>
              <w:jc w:val="center"/>
              <w:rPr>
                <w:lang w:val="el-GR"/>
              </w:rPr>
            </w:pPr>
            <w:r>
              <w:t>0.2353</w:t>
            </w:r>
          </w:p>
        </w:tc>
      </w:tr>
      <w:tr w:rsidR="00F540DC" w14:paraId="5F980E2A" w14:textId="77777777" w:rsidTr="00D550B8">
        <w:tc>
          <w:tcPr>
            <w:tcW w:w="1530" w:type="dxa"/>
            <w:vMerge w:val="restart"/>
            <w:vAlign w:val="center"/>
          </w:tcPr>
          <w:p w14:paraId="43B74A43" w14:textId="7A8A4938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9A8C8CD" w14:textId="5470AA7D" w:rsidR="00F540DC" w:rsidRPr="00F540DC" w:rsidRDefault="00F540DC" w:rsidP="00F540DC">
            <w:pPr>
              <w:jc w:val="center"/>
            </w:pPr>
            <w:r>
              <w:t>0.78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0B2C3FDC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 w:val="restart"/>
            <w:vAlign w:val="center"/>
          </w:tcPr>
          <w:p w14:paraId="3B9A972A" w14:textId="6023951E" w:rsidR="00F540DC" w:rsidRPr="00F540DC" w:rsidRDefault="00F540DC" w:rsidP="00F540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UA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4A60199" w14:textId="79C3B04D" w:rsidR="00F540DC" w:rsidRPr="00F540DC" w:rsidRDefault="00F540DC" w:rsidP="00F540DC">
            <w:pPr>
              <w:jc w:val="center"/>
            </w:pPr>
            <w:r>
              <w:t>0.7547</w:t>
            </w:r>
          </w:p>
        </w:tc>
      </w:tr>
      <w:tr w:rsidR="00F540DC" w14:paraId="5D165CA9" w14:textId="77777777" w:rsidTr="00D550B8">
        <w:tc>
          <w:tcPr>
            <w:tcW w:w="1530" w:type="dxa"/>
            <w:vMerge/>
            <w:vAlign w:val="center"/>
          </w:tcPr>
          <w:p w14:paraId="2636C619" w14:textId="1ADBBA64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1E5A7D08" w14:textId="489A6186" w:rsidR="00F540DC" w:rsidRPr="00F540DC" w:rsidRDefault="00F540DC" w:rsidP="00F540DC">
            <w:pPr>
              <w:jc w:val="center"/>
            </w:pPr>
            <w:r>
              <w:t>0.5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107B6E7B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Merge/>
            <w:vAlign w:val="center"/>
          </w:tcPr>
          <w:p w14:paraId="6A4A1E9A" w14:textId="460C4799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3884E372" w14:textId="4DD9055B" w:rsidR="00F540DC" w:rsidRPr="00D550B8" w:rsidRDefault="00F540DC" w:rsidP="00F540DC">
            <w:pPr>
              <w:jc w:val="center"/>
              <w:rPr>
                <w:lang w:val="el-GR"/>
              </w:rPr>
            </w:pPr>
            <w:r>
              <w:t>0.4444</w:t>
            </w:r>
          </w:p>
        </w:tc>
      </w:tr>
      <w:tr w:rsidR="00F540DC" w14:paraId="577CC0D2" w14:textId="77777777" w:rsidTr="00D550B8">
        <w:tc>
          <w:tcPr>
            <w:tcW w:w="1530" w:type="dxa"/>
            <w:vAlign w:val="center"/>
          </w:tcPr>
          <w:p w14:paraId="3DEDADD7" w14:textId="7B0965C9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530" w:type="dxa"/>
            <w:vAlign w:val="center"/>
          </w:tcPr>
          <w:p w14:paraId="6232E0E7" w14:textId="730C2760" w:rsidR="00F540DC" w:rsidRPr="00F540DC" w:rsidRDefault="00F540DC" w:rsidP="00F540DC">
            <w:pPr>
              <w:jc w:val="center"/>
            </w:pPr>
            <w:r>
              <w:t>0.5445</w:t>
            </w:r>
          </w:p>
        </w:tc>
        <w:tc>
          <w:tcPr>
            <w:tcW w:w="1620" w:type="dxa"/>
            <w:vMerge/>
            <w:tcBorders>
              <w:bottom w:val="nil"/>
            </w:tcBorders>
            <w:vAlign w:val="center"/>
          </w:tcPr>
          <w:p w14:paraId="54EAE8EA" w14:textId="77777777" w:rsidR="00F540DC" w:rsidRDefault="00F540DC" w:rsidP="00F540DC">
            <w:pPr>
              <w:jc w:val="center"/>
              <w:rPr>
                <w:lang w:val="el-GR"/>
              </w:rPr>
            </w:pPr>
          </w:p>
        </w:tc>
        <w:tc>
          <w:tcPr>
            <w:tcW w:w="1530" w:type="dxa"/>
            <w:vAlign w:val="center"/>
          </w:tcPr>
          <w:p w14:paraId="52F64188" w14:textId="19160117" w:rsidR="00F540DC" w:rsidRDefault="00F540DC" w:rsidP="00F540DC">
            <w:pPr>
              <w:jc w:val="center"/>
              <w:rPr>
                <w:lang w:val="el-G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530" w:type="dxa"/>
            <w:vAlign w:val="center"/>
          </w:tcPr>
          <w:p w14:paraId="4C3CE728" w14:textId="2D54A896" w:rsidR="00F540DC" w:rsidRPr="00F540DC" w:rsidRDefault="00F540DC" w:rsidP="00F540DC">
            <w:pPr>
              <w:jc w:val="center"/>
            </w:pPr>
            <w:r>
              <w:t>0.5177</w:t>
            </w:r>
          </w:p>
        </w:tc>
      </w:tr>
    </w:tbl>
    <w:p w14:paraId="417EBB42" w14:textId="3E7C3487" w:rsidR="003D5D49" w:rsidRDefault="00D550B8" w:rsidP="00CF0A57">
      <w:pPr>
        <w:jc w:val="both"/>
        <w:rPr>
          <w:lang w:val="el-GR"/>
        </w:rPr>
      </w:pPr>
      <w:r>
        <w:rPr>
          <w:lang w:val="el-GR"/>
        </w:rPr>
        <w:t>Μέρος 2</w:t>
      </w:r>
    </w:p>
    <w:p w14:paraId="708AEB5B" w14:textId="77777777" w:rsidR="00D550B8" w:rsidRDefault="00D550B8" w:rsidP="00D550B8">
      <w:pPr>
        <w:jc w:val="both"/>
        <w:rPr>
          <w:lang w:val="el-GR"/>
        </w:rPr>
      </w:pPr>
      <w:r>
        <w:rPr>
          <w:lang w:val="el-GR"/>
        </w:rPr>
        <w:t xml:space="preserve">Το επιλεγμένο σύνολο δεδομένων είναι το </w:t>
      </w:r>
      <w:r>
        <w:t>Superconductivity</w:t>
      </w:r>
      <w:r w:rsidRPr="00FB69ED">
        <w:rPr>
          <w:lang w:val="el-GR"/>
        </w:rPr>
        <w:t xml:space="preserve"> </w:t>
      </w:r>
      <w:r>
        <w:t>dataset</w:t>
      </w:r>
      <w:r w:rsidRPr="00FB69ED">
        <w:rPr>
          <w:lang w:val="el-GR"/>
        </w:rPr>
        <w:t xml:space="preserve">, </w:t>
      </w:r>
      <w:r>
        <w:rPr>
          <w:lang w:val="el-GR"/>
        </w:rPr>
        <w:t xml:space="preserve">το οποίο περιλαμβάνει 21263 δείγματα, καθένα από τα οποία περιγράφεται από 81 χαρακτηριστικά. Λόγω της μεγάλης </w:t>
      </w:r>
      <w:proofErr w:type="spellStart"/>
      <w:r>
        <w:rPr>
          <w:lang w:val="el-GR"/>
        </w:rPr>
        <w:t>διαστασημότητας</w:t>
      </w:r>
      <w:proofErr w:type="spellEnd"/>
      <w:r>
        <w:rPr>
          <w:lang w:val="el-GR"/>
        </w:rPr>
        <w:t xml:space="preserve"> του συνόλου δεδομένων. αρχικά εφαρμόζεται ο αλγόριθμος </w:t>
      </w:r>
      <w:r>
        <w:t>Relief</w:t>
      </w:r>
      <w:r w:rsidRPr="00FB69ED">
        <w:rPr>
          <w:lang w:val="el-GR"/>
        </w:rPr>
        <w:t xml:space="preserve"> </w:t>
      </w:r>
      <w:r>
        <w:rPr>
          <w:lang w:val="el-GR"/>
        </w:rPr>
        <w:t xml:space="preserve">για την βέλτιστη ταξινόμηση των χαρακτηριστικών, ώστε όταν στη συνέχεια να επιλεγεί μόνο ένας συγκεκριμένος αριθμός χαρακτηριστικών, να χρησιμοποιηθούν εκείνα τα χαρακτηριστικά που συμβάλλουν περισσότερο στην εξαγωγή χρήσιμων συμπερασμάτων. </w:t>
      </w:r>
    </w:p>
    <w:p w14:paraId="1C73FE38" w14:textId="77777777" w:rsidR="00D550B8" w:rsidRDefault="00D550B8" w:rsidP="00D550B8">
      <w:pPr>
        <w:jc w:val="both"/>
        <w:rPr>
          <w:lang w:val="el-GR"/>
        </w:rPr>
      </w:pPr>
      <w:r>
        <w:rPr>
          <w:lang w:val="el-GR"/>
        </w:rPr>
        <w:t xml:space="preserve">Πέραν του αριθμού των χαρακτηριστικών που θα επιλεγούν, η δεύτερη ανεξάρτητη μεταβλητή του συγκεκριμένου προβλήματος </w:t>
      </w:r>
      <w:proofErr w:type="spellStart"/>
      <w:r>
        <w:rPr>
          <w:lang w:val="el-GR"/>
        </w:rPr>
        <w:t>μοντελοποίησης</w:t>
      </w:r>
      <w:proofErr w:type="spellEnd"/>
      <w:r>
        <w:rPr>
          <w:lang w:val="el-GR"/>
        </w:rPr>
        <w:t xml:space="preserve"> είναι</w:t>
      </w:r>
      <w:r w:rsidRPr="00975DE5">
        <w:rPr>
          <w:lang w:val="el-GR"/>
        </w:rPr>
        <w:t xml:space="preserve"> </w:t>
      </w:r>
      <w:r>
        <w:rPr>
          <w:lang w:val="el-GR"/>
        </w:rPr>
        <w:t xml:space="preserve">η ακτίνα των </w:t>
      </w:r>
      <w:r>
        <w:t>clusters</w:t>
      </w:r>
      <w:r w:rsidRPr="00975DE5">
        <w:rPr>
          <w:lang w:val="el-GR"/>
        </w:rPr>
        <w:t xml:space="preserve"> </w:t>
      </w:r>
      <w:r>
        <w:rPr>
          <w:lang w:val="el-GR"/>
        </w:rPr>
        <w:t xml:space="preserve">που θα προκύψουν, κάτι που επηρεάζει καθοριστικά και το πλήθος των συναρτήσεων συμμετοχής για το κάθε μοντέλο. </w:t>
      </w:r>
    </w:p>
    <w:p w14:paraId="28EC5D12" w14:textId="77777777" w:rsidR="00D550B8" w:rsidRDefault="00D550B8" w:rsidP="00D550B8">
      <w:pPr>
        <w:jc w:val="both"/>
        <w:rPr>
          <w:lang w:val="el-GR"/>
        </w:rPr>
      </w:pPr>
      <w:r>
        <w:rPr>
          <w:lang w:val="el-GR"/>
        </w:rPr>
        <w:t xml:space="preserve">Παράλληλα, γίνεται εφαρμογή </w:t>
      </w:r>
      <w:r>
        <w:t>subtractive</w:t>
      </w:r>
      <w:r w:rsidRPr="00FB69ED">
        <w:rPr>
          <w:lang w:val="el-GR"/>
        </w:rPr>
        <w:t xml:space="preserve"> </w:t>
      </w:r>
      <w:r>
        <w:t>clustering</w:t>
      </w:r>
      <w:r w:rsidRPr="00FB69ED">
        <w:rPr>
          <w:lang w:val="el-GR"/>
        </w:rPr>
        <w:t xml:space="preserve"> </w:t>
      </w:r>
      <w:r>
        <w:rPr>
          <w:lang w:val="el-GR"/>
        </w:rPr>
        <w:t xml:space="preserve">ως μέθοδος ομαδοποίησης για τη δημιουργία των </w:t>
      </w:r>
      <w:r>
        <w:t>IF</w:t>
      </w:r>
      <w:r w:rsidRPr="00FB69ED">
        <w:rPr>
          <w:lang w:val="el-GR"/>
        </w:rPr>
        <w:t>-</w:t>
      </w:r>
      <w:r>
        <w:t>THEN</w:t>
      </w:r>
      <w:r w:rsidRPr="00FB69ED">
        <w:rPr>
          <w:lang w:val="el-GR"/>
        </w:rPr>
        <w:t xml:space="preserve"> </w:t>
      </w:r>
      <w:r>
        <w:rPr>
          <w:lang w:val="el-GR"/>
        </w:rPr>
        <w:t>κανόνων.</w:t>
      </w:r>
    </w:p>
    <w:p w14:paraId="0EBB5442" w14:textId="20E1F7DE" w:rsidR="00D550B8" w:rsidRDefault="00D550B8" w:rsidP="00D550B8">
      <w:pPr>
        <w:jc w:val="both"/>
        <w:rPr>
          <w:lang w:val="el-GR"/>
        </w:rPr>
      </w:pPr>
      <w:r>
        <w:rPr>
          <w:lang w:val="el-GR"/>
        </w:rPr>
        <w:t xml:space="preserve">Στη συνέχεια εφαρμόζεται </w:t>
      </w:r>
      <w:proofErr w:type="spellStart"/>
      <w:r>
        <w:rPr>
          <w:lang w:val="el-GR"/>
        </w:rPr>
        <w:t>πενταπτυχής</w:t>
      </w:r>
      <w:proofErr w:type="spellEnd"/>
      <w:r>
        <w:rPr>
          <w:lang w:val="el-GR"/>
        </w:rPr>
        <w:t xml:space="preserve"> διασταυρωμένη επικύρωση σε κάθε φορά τυχαία διαχωρισμένα σύνολα εκπαίδευσης και επαλήθευσης για κάθε μια από τις τιμές ακτινών</w:t>
      </w:r>
      <w:r w:rsidRPr="00FB69ED">
        <w:rPr>
          <w:lang w:val="el-GR"/>
        </w:rPr>
        <w:t xml:space="preserve"> </w:t>
      </w:r>
      <w:r>
        <w:rPr>
          <w:lang w:val="el-GR"/>
        </w:rPr>
        <w:t xml:space="preserve">που έχουν επιλεγεί. Τα μοντέλα που προκύπτουν στη συνέχεια χρησιμοποιούν τη μέθοδο </w:t>
      </w:r>
      <w:r>
        <w:t>Fuzzy</w:t>
      </w:r>
      <w:r w:rsidRPr="00975DE5">
        <w:rPr>
          <w:lang w:val="el-GR"/>
        </w:rPr>
        <w:t xml:space="preserve"> </w:t>
      </w:r>
      <w:r>
        <w:t>C</w:t>
      </w:r>
      <w:r w:rsidRPr="00975DE5">
        <w:rPr>
          <w:lang w:val="el-GR"/>
        </w:rPr>
        <w:t>-</w:t>
      </w:r>
      <w:r>
        <w:t>means</w:t>
      </w:r>
      <w:r w:rsidRPr="00975DE5">
        <w:rPr>
          <w:lang w:val="el-GR"/>
        </w:rPr>
        <w:t xml:space="preserve"> </w:t>
      </w:r>
      <w:r>
        <w:rPr>
          <w:lang w:val="el-GR"/>
        </w:rPr>
        <w:t>για να ομαδοποιήσουν τα δεδομένα. Τα αποτελέσματα των μέσων όρων σφαλμάτων που προκύπτουν για τους συνδυασμούς των ανεξάρτητων μεταβλητών που επιλέξαμε παρουσιάζονται στον παρακάτω πίνακα.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61"/>
        <w:gridCol w:w="627"/>
        <w:gridCol w:w="1945"/>
        <w:gridCol w:w="1477"/>
        <w:gridCol w:w="1551"/>
        <w:gridCol w:w="1481"/>
        <w:gridCol w:w="1403"/>
      </w:tblGrid>
      <w:tr w:rsidR="004C2532" w14:paraId="598D5D94" w14:textId="77777777" w:rsidTr="004C2532">
        <w:trPr>
          <w:trHeight w:val="548"/>
          <w:jc w:val="center"/>
        </w:trPr>
        <w:tc>
          <w:tcPr>
            <w:tcW w:w="15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C9C9C9" w:themeFill="accent3" w:themeFillTint="99"/>
          </w:tcPr>
          <w:p w14:paraId="38C001C6" w14:textId="77777777" w:rsidR="004C2532" w:rsidRPr="00121EBC" w:rsidRDefault="004C2532" w:rsidP="00ED2626">
            <w:pPr>
              <w:jc w:val="center"/>
              <w:rPr>
                <w:b/>
                <w:bCs/>
                <w:lang w:val="el-GR"/>
              </w:rPr>
            </w:pPr>
          </w:p>
        </w:tc>
        <w:tc>
          <w:tcPr>
            <w:tcW w:w="7857" w:type="dxa"/>
            <w:gridSpan w:val="5"/>
            <w:tcBorders>
              <w:left w:val="single" w:sz="4" w:space="0" w:color="auto"/>
            </w:tcBorders>
            <w:shd w:val="clear" w:color="auto" w:fill="C9C9C9" w:themeFill="accent3" w:themeFillTint="99"/>
            <w:vAlign w:val="center"/>
          </w:tcPr>
          <w:p w14:paraId="3910EE29" w14:textId="77777777" w:rsidR="004C2532" w:rsidRDefault="004C2532" w:rsidP="00ED2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D811B6">
              <w:rPr>
                <w:b/>
                <w:bCs/>
              </w:rPr>
              <w:t xml:space="preserve">umber of </w:t>
            </w:r>
            <w:r>
              <w:rPr>
                <w:b/>
                <w:bCs/>
              </w:rPr>
              <w:t>F</w:t>
            </w:r>
            <w:r w:rsidRPr="00D811B6">
              <w:rPr>
                <w:b/>
                <w:bCs/>
              </w:rPr>
              <w:t>eatures</w:t>
            </w:r>
          </w:p>
        </w:tc>
      </w:tr>
      <w:tr w:rsidR="004C2532" w14:paraId="39A50B97" w14:textId="77777777" w:rsidTr="004C2532">
        <w:trPr>
          <w:trHeight w:val="548"/>
          <w:jc w:val="center"/>
        </w:trPr>
        <w:tc>
          <w:tcPr>
            <w:tcW w:w="15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C9C9C9" w:themeFill="accent3" w:themeFillTint="99"/>
          </w:tcPr>
          <w:p w14:paraId="1F4BE9EF" w14:textId="77777777" w:rsidR="004C2532" w:rsidRPr="008555B2" w:rsidRDefault="004C2532" w:rsidP="00ED2626">
            <w:pPr>
              <w:jc w:val="center"/>
              <w:rPr>
                <w:b/>
                <w:bCs/>
              </w:rPr>
            </w:pPr>
          </w:p>
        </w:tc>
        <w:tc>
          <w:tcPr>
            <w:tcW w:w="1945" w:type="dxa"/>
            <w:tcBorders>
              <w:left w:val="single" w:sz="4" w:space="0" w:color="auto"/>
            </w:tcBorders>
            <w:shd w:val="clear" w:color="auto" w:fill="C9C9C9" w:themeFill="accent3" w:themeFillTint="99"/>
            <w:vAlign w:val="center"/>
          </w:tcPr>
          <w:p w14:paraId="3E5A3045" w14:textId="77777777" w:rsidR="004C2532" w:rsidRDefault="004C2532" w:rsidP="00ED262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77" w:type="dxa"/>
            <w:shd w:val="clear" w:color="auto" w:fill="C9C9C9" w:themeFill="accent3" w:themeFillTint="99"/>
            <w:vAlign w:val="center"/>
          </w:tcPr>
          <w:p w14:paraId="24FA949F" w14:textId="77777777" w:rsidR="004C2532" w:rsidRDefault="004C2532" w:rsidP="00ED262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1" w:type="dxa"/>
            <w:shd w:val="clear" w:color="auto" w:fill="C9C9C9" w:themeFill="accent3" w:themeFillTint="99"/>
            <w:vAlign w:val="center"/>
          </w:tcPr>
          <w:p w14:paraId="3C244B2A" w14:textId="77777777" w:rsidR="004C2532" w:rsidRDefault="004C2532" w:rsidP="00ED262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481" w:type="dxa"/>
            <w:shd w:val="clear" w:color="auto" w:fill="C9C9C9" w:themeFill="accent3" w:themeFillTint="99"/>
            <w:vAlign w:val="center"/>
          </w:tcPr>
          <w:p w14:paraId="576454F6" w14:textId="77777777" w:rsidR="004C2532" w:rsidRDefault="004C2532" w:rsidP="00ED262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1403" w:type="dxa"/>
            <w:shd w:val="clear" w:color="auto" w:fill="C9C9C9" w:themeFill="accent3" w:themeFillTint="99"/>
            <w:vAlign w:val="center"/>
          </w:tcPr>
          <w:p w14:paraId="3F1C3EE1" w14:textId="77777777" w:rsidR="004C2532" w:rsidRDefault="004C2532" w:rsidP="00ED262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</w:t>
            </w:r>
          </w:p>
        </w:tc>
      </w:tr>
      <w:tr w:rsidR="004C2532" w14:paraId="5F27D8D9" w14:textId="77777777" w:rsidTr="00967D86">
        <w:trPr>
          <w:jc w:val="center"/>
        </w:trPr>
        <w:tc>
          <w:tcPr>
            <w:tcW w:w="961" w:type="dxa"/>
            <w:vMerge w:val="restart"/>
            <w:tcBorders>
              <w:top w:val="single" w:sz="4" w:space="0" w:color="auto"/>
            </w:tcBorders>
            <w:shd w:val="clear" w:color="auto" w:fill="C9C9C9" w:themeFill="accent3" w:themeFillTint="99"/>
            <w:vAlign w:val="center"/>
          </w:tcPr>
          <w:p w14:paraId="0BBA6F22" w14:textId="07C232BE" w:rsidR="004C2532" w:rsidRPr="00D550B8" w:rsidRDefault="00967D86" w:rsidP="004C2532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Clusters Radius</w:t>
            </w:r>
          </w:p>
        </w:tc>
        <w:tc>
          <w:tcPr>
            <w:tcW w:w="627" w:type="dxa"/>
            <w:tcBorders>
              <w:top w:val="single" w:sz="4" w:space="0" w:color="auto"/>
            </w:tcBorders>
            <w:shd w:val="clear" w:color="auto" w:fill="C9C9C9" w:themeFill="accent3" w:themeFillTint="99"/>
          </w:tcPr>
          <w:p w14:paraId="0A462593" w14:textId="27CBF325" w:rsidR="004C2532" w:rsidRDefault="00967D86" w:rsidP="004C2532">
            <w:pPr>
              <w:jc w:val="center"/>
            </w:pPr>
            <w:r>
              <w:t>0.18</w:t>
            </w:r>
          </w:p>
        </w:tc>
        <w:tc>
          <w:tcPr>
            <w:tcW w:w="1945" w:type="dxa"/>
          </w:tcPr>
          <w:p w14:paraId="401C310C" w14:textId="6FFA43AA" w:rsidR="004C2532" w:rsidRPr="00967D86" w:rsidRDefault="004C2532" w:rsidP="004C2532">
            <w:pPr>
              <w:jc w:val="center"/>
            </w:pPr>
            <w:r w:rsidRPr="00967D86">
              <w:t>1.3</w:t>
            </w:r>
            <w:r w:rsidR="00967D86" w:rsidRPr="00967D86">
              <w:t>216</w:t>
            </w:r>
          </w:p>
        </w:tc>
        <w:tc>
          <w:tcPr>
            <w:tcW w:w="1477" w:type="dxa"/>
          </w:tcPr>
          <w:p w14:paraId="14927F7D" w14:textId="205ED715" w:rsidR="004C2532" w:rsidRPr="00967D86" w:rsidRDefault="00967D86" w:rsidP="004C2532">
            <w:pPr>
              <w:jc w:val="center"/>
            </w:pPr>
            <w:r w:rsidRPr="00967D86">
              <w:t>1.3058</w:t>
            </w:r>
          </w:p>
        </w:tc>
        <w:tc>
          <w:tcPr>
            <w:tcW w:w="1551" w:type="dxa"/>
            <w:shd w:val="clear" w:color="auto" w:fill="C5E0B3" w:themeFill="accent6" w:themeFillTint="66"/>
          </w:tcPr>
          <w:p w14:paraId="5331A7FD" w14:textId="3F71AFAA" w:rsidR="004C2532" w:rsidRPr="00967D86" w:rsidRDefault="00967D86" w:rsidP="004C2532">
            <w:pPr>
              <w:jc w:val="center"/>
            </w:pPr>
            <w:r w:rsidRPr="00967D86">
              <w:t>1.2885</w:t>
            </w:r>
          </w:p>
        </w:tc>
        <w:tc>
          <w:tcPr>
            <w:tcW w:w="1481" w:type="dxa"/>
          </w:tcPr>
          <w:p w14:paraId="33067CFD" w14:textId="5A782349" w:rsidR="004C2532" w:rsidRPr="00967D86" w:rsidRDefault="00967D86" w:rsidP="004C2532">
            <w:pPr>
              <w:jc w:val="center"/>
            </w:pPr>
            <w:r w:rsidRPr="00967D86">
              <w:t>1.3237</w:t>
            </w:r>
          </w:p>
        </w:tc>
        <w:tc>
          <w:tcPr>
            <w:tcW w:w="1403" w:type="dxa"/>
          </w:tcPr>
          <w:p w14:paraId="1AF5B4DA" w14:textId="2EEF3582" w:rsidR="004C2532" w:rsidRPr="00967D86" w:rsidRDefault="00967D86" w:rsidP="004C2532">
            <w:pPr>
              <w:jc w:val="center"/>
              <w:rPr>
                <w:rFonts w:ascii="Calibri" w:eastAsia="Calibri" w:hAnsi="Calibri" w:cs="Times New Roman"/>
              </w:rPr>
            </w:pPr>
            <w:r w:rsidRPr="00967D86">
              <w:rPr>
                <w:rFonts w:ascii="Calibri" w:eastAsia="Calibri" w:hAnsi="Calibri" w:cs="Times New Roman"/>
              </w:rPr>
              <w:t>1.3058</w:t>
            </w:r>
          </w:p>
        </w:tc>
      </w:tr>
      <w:tr w:rsidR="004C2532" w:rsidRPr="008555B2" w14:paraId="74073500" w14:textId="77777777" w:rsidTr="004C2532">
        <w:trPr>
          <w:jc w:val="center"/>
        </w:trPr>
        <w:tc>
          <w:tcPr>
            <w:tcW w:w="961" w:type="dxa"/>
            <w:vMerge/>
            <w:shd w:val="clear" w:color="auto" w:fill="C9C9C9" w:themeFill="accent3" w:themeFillTint="99"/>
          </w:tcPr>
          <w:p w14:paraId="16B6EBE1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7" w:type="dxa"/>
            <w:shd w:val="clear" w:color="auto" w:fill="C9C9C9" w:themeFill="accent3" w:themeFillTint="99"/>
          </w:tcPr>
          <w:p w14:paraId="0283D190" w14:textId="59C240C7" w:rsidR="004C2532" w:rsidRDefault="00967D86" w:rsidP="004C25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1945" w:type="dxa"/>
          </w:tcPr>
          <w:p w14:paraId="160B24FB" w14:textId="218CE8E8" w:rsidR="004C2532" w:rsidRPr="00967D86" w:rsidRDefault="004C2532" w:rsidP="004C2532">
            <w:pPr>
              <w:jc w:val="center"/>
            </w:pPr>
            <w:r w:rsidRPr="00967D86">
              <w:t>1.3177</w:t>
            </w:r>
          </w:p>
        </w:tc>
        <w:tc>
          <w:tcPr>
            <w:tcW w:w="1477" w:type="dxa"/>
          </w:tcPr>
          <w:p w14:paraId="44967658" w14:textId="7385ED16" w:rsidR="004C2532" w:rsidRPr="00967D86" w:rsidRDefault="004C2532" w:rsidP="004C2532">
            <w:pPr>
              <w:jc w:val="center"/>
            </w:pPr>
            <w:r w:rsidRPr="00967D86">
              <w:t>1.3173</w:t>
            </w:r>
          </w:p>
        </w:tc>
        <w:tc>
          <w:tcPr>
            <w:tcW w:w="1551" w:type="dxa"/>
          </w:tcPr>
          <w:p w14:paraId="5B46F18C" w14:textId="32640011" w:rsidR="004C2532" w:rsidRPr="00967D86" w:rsidRDefault="004C2532" w:rsidP="004C2532">
            <w:pPr>
              <w:jc w:val="center"/>
            </w:pPr>
            <w:r w:rsidRPr="00967D86">
              <w:t>1.2933</w:t>
            </w:r>
          </w:p>
        </w:tc>
        <w:tc>
          <w:tcPr>
            <w:tcW w:w="1481" w:type="dxa"/>
          </w:tcPr>
          <w:p w14:paraId="4BAD710F" w14:textId="1E2388C3" w:rsidR="004C2532" w:rsidRPr="00967D86" w:rsidRDefault="004C2532" w:rsidP="004C2532">
            <w:pPr>
              <w:jc w:val="center"/>
            </w:pPr>
            <w:r w:rsidRPr="00967D86">
              <w:t>1.3527</w:t>
            </w:r>
          </w:p>
        </w:tc>
        <w:tc>
          <w:tcPr>
            <w:tcW w:w="1403" w:type="dxa"/>
          </w:tcPr>
          <w:p w14:paraId="57D72730" w14:textId="0518C56B" w:rsidR="004C2532" w:rsidRPr="00967D86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  <w:r w:rsidRPr="00967D86">
              <w:rPr>
                <w:rFonts w:ascii="Calibri" w:eastAsia="Calibri" w:hAnsi="Calibri" w:cs="Times New Roman"/>
              </w:rPr>
              <w:t>1.3293</w:t>
            </w:r>
          </w:p>
        </w:tc>
      </w:tr>
      <w:tr w:rsidR="004C2532" w14:paraId="50F84CAB" w14:textId="77777777" w:rsidTr="004C2532">
        <w:trPr>
          <w:jc w:val="center"/>
        </w:trPr>
        <w:tc>
          <w:tcPr>
            <w:tcW w:w="961" w:type="dxa"/>
            <w:vMerge/>
            <w:shd w:val="clear" w:color="auto" w:fill="C9C9C9" w:themeFill="accent3" w:themeFillTint="99"/>
          </w:tcPr>
          <w:p w14:paraId="538935AA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7" w:type="dxa"/>
            <w:shd w:val="clear" w:color="auto" w:fill="C9C9C9" w:themeFill="accent3" w:themeFillTint="99"/>
          </w:tcPr>
          <w:p w14:paraId="51DC8D8E" w14:textId="7542BEF7" w:rsidR="004C2532" w:rsidRDefault="00967D86" w:rsidP="004C25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0.26</m:t>
                </m:r>
              </m:oMath>
            </m:oMathPara>
          </w:p>
        </w:tc>
        <w:tc>
          <w:tcPr>
            <w:tcW w:w="1945" w:type="dxa"/>
          </w:tcPr>
          <w:p w14:paraId="152F4F6A" w14:textId="00EB1FB2" w:rsidR="004C2532" w:rsidRPr="00967D86" w:rsidRDefault="00967D86" w:rsidP="004C2532">
            <w:pPr>
              <w:jc w:val="center"/>
            </w:pPr>
            <w:r w:rsidRPr="00967D86">
              <w:t>1.3217</w:t>
            </w:r>
          </w:p>
        </w:tc>
        <w:tc>
          <w:tcPr>
            <w:tcW w:w="1477" w:type="dxa"/>
          </w:tcPr>
          <w:p w14:paraId="53064C48" w14:textId="1731D31B" w:rsidR="004C2532" w:rsidRPr="00967D86" w:rsidRDefault="00967D86" w:rsidP="004C2532">
            <w:pPr>
              <w:jc w:val="center"/>
            </w:pPr>
            <w:r w:rsidRPr="00967D86">
              <w:t>1.3214</w:t>
            </w:r>
          </w:p>
        </w:tc>
        <w:tc>
          <w:tcPr>
            <w:tcW w:w="1551" w:type="dxa"/>
          </w:tcPr>
          <w:p w14:paraId="33A93788" w14:textId="7CF6FF45" w:rsidR="004C2532" w:rsidRPr="00967D86" w:rsidRDefault="00967D86" w:rsidP="004C2532">
            <w:pPr>
              <w:jc w:val="center"/>
            </w:pPr>
            <w:r w:rsidRPr="00967D86">
              <w:t>1.3022</w:t>
            </w:r>
          </w:p>
        </w:tc>
        <w:tc>
          <w:tcPr>
            <w:tcW w:w="1481" w:type="dxa"/>
          </w:tcPr>
          <w:p w14:paraId="7DC419EB" w14:textId="54EB32EE" w:rsidR="004C2532" w:rsidRPr="00967D86" w:rsidRDefault="00967D86" w:rsidP="004C2532">
            <w:pPr>
              <w:jc w:val="center"/>
            </w:pPr>
            <w:r w:rsidRPr="00967D86">
              <w:t>1.3688</w:t>
            </w:r>
          </w:p>
        </w:tc>
        <w:tc>
          <w:tcPr>
            <w:tcW w:w="1403" w:type="dxa"/>
          </w:tcPr>
          <w:p w14:paraId="67235171" w14:textId="0EA08E96" w:rsidR="004C2532" w:rsidRPr="00967D86" w:rsidRDefault="00967D86" w:rsidP="004C2532">
            <w:pPr>
              <w:jc w:val="center"/>
              <w:rPr>
                <w:rFonts w:ascii="Calibri" w:eastAsia="Calibri" w:hAnsi="Calibri" w:cs="Times New Roman"/>
              </w:rPr>
            </w:pPr>
            <w:r w:rsidRPr="00967D86">
              <w:rPr>
                <w:rFonts w:ascii="Calibri" w:eastAsia="Calibri" w:hAnsi="Calibri" w:cs="Times New Roman"/>
              </w:rPr>
              <w:t>1.344</w:t>
            </w:r>
          </w:p>
        </w:tc>
      </w:tr>
      <w:tr w:rsidR="004C2532" w14:paraId="0E31EB5C" w14:textId="77777777" w:rsidTr="00967D86">
        <w:trPr>
          <w:jc w:val="center"/>
        </w:trPr>
        <w:tc>
          <w:tcPr>
            <w:tcW w:w="961" w:type="dxa"/>
            <w:vMerge/>
            <w:shd w:val="clear" w:color="auto" w:fill="C9C9C9" w:themeFill="accent3" w:themeFillTint="99"/>
          </w:tcPr>
          <w:p w14:paraId="60A2162F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7" w:type="dxa"/>
            <w:shd w:val="clear" w:color="auto" w:fill="C9C9C9" w:themeFill="accent3" w:themeFillTint="99"/>
          </w:tcPr>
          <w:p w14:paraId="4539EFA7" w14:textId="7FE00592" w:rsidR="004C2532" w:rsidRDefault="00967D86" w:rsidP="004C25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  <w:tc>
          <w:tcPr>
            <w:tcW w:w="1945" w:type="dxa"/>
          </w:tcPr>
          <w:p w14:paraId="5AABA6B1" w14:textId="470A15A7" w:rsidR="004C2532" w:rsidRPr="00967D86" w:rsidRDefault="00967D86" w:rsidP="004C2532">
            <w:pPr>
              <w:jc w:val="center"/>
            </w:pPr>
            <w:r w:rsidRPr="00967D86">
              <w:t>1.3248</w:t>
            </w:r>
          </w:p>
        </w:tc>
        <w:tc>
          <w:tcPr>
            <w:tcW w:w="1477" w:type="dxa"/>
            <w:shd w:val="clear" w:color="auto" w:fill="FFFFFF" w:themeFill="background1"/>
          </w:tcPr>
          <w:p w14:paraId="0626CA04" w14:textId="1B49C147" w:rsidR="004C2532" w:rsidRPr="00967D86" w:rsidRDefault="00967D86" w:rsidP="004C2532">
            <w:pPr>
              <w:jc w:val="center"/>
            </w:pPr>
            <w:r w:rsidRPr="00967D86">
              <w:t>1.321</w:t>
            </w:r>
          </w:p>
        </w:tc>
        <w:tc>
          <w:tcPr>
            <w:tcW w:w="1551" w:type="dxa"/>
          </w:tcPr>
          <w:p w14:paraId="1920BCA5" w14:textId="0D8A61D6" w:rsidR="004C2532" w:rsidRPr="00967D86" w:rsidRDefault="00967D86" w:rsidP="004C2532">
            <w:pPr>
              <w:jc w:val="center"/>
            </w:pPr>
            <w:r w:rsidRPr="00967D86">
              <w:t>1.3049</w:t>
            </w:r>
          </w:p>
        </w:tc>
        <w:tc>
          <w:tcPr>
            <w:tcW w:w="1481" w:type="dxa"/>
          </w:tcPr>
          <w:p w14:paraId="17F1BA78" w14:textId="4C471775" w:rsidR="004C2532" w:rsidRPr="00967D86" w:rsidRDefault="00967D86" w:rsidP="004C2532">
            <w:pPr>
              <w:jc w:val="center"/>
            </w:pPr>
            <w:r w:rsidRPr="00967D86">
              <w:t>1.3711</w:t>
            </w:r>
          </w:p>
        </w:tc>
        <w:tc>
          <w:tcPr>
            <w:tcW w:w="1403" w:type="dxa"/>
          </w:tcPr>
          <w:p w14:paraId="2F8B4DBC" w14:textId="604FFE25" w:rsidR="004C2532" w:rsidRPr="00967D86" w:rsidRDefault="00967D86" w:rsidP="004C2532">
            <w:pPr>
              <w:jc w:val="center"/>
              <w:rPr>
                <w:rFonts w:ascii="Calibri" w:eastAsia="Calibri" w:hAnsi="Calibri" w:cs="Times New Roman"/>
              </w:rPr>
            </w:pPr>
            <w:r w:rsidRPr="00967D86">
              <w:rPr>
                <w:rFonts w:ascii="Calibri" w:eastAsia="Calibri" w:hAnsi="Calibri" w:cs="Times New Roman"/>
              </w:rPr>
              <w:t>1.3568</w:t>
            </w:r>
          </w:p>
        </w:tc>
      </w:tr>
      <w:tr w:rsidR="004C2532" w:rsidRPr="00382B2E" w14:paraId="5B1FC6CF" w14:textId="77777777" w:rsidTr="004C2532">
        <w:trPr>
          <w:trHeight w:val="242"/>
          <w:jc w:val="center"/>
        </w:trPr>
        <w:tc>
          <w:tcPr>
            <w:tcW w:w="961" w:type="dxa"/>
            <w:vMerge/>
            <w:shd w:val="clear" w:color="auto" w:fill="C9C9C9" w:themeFill="accent3" w:themeFillTint="99"/>
          </w:tcPr>
          <w:p w14:paraId="2C1ED588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7" w:type="dxa"/>
            <w:shd w:val="clear" w:color="auto" w:fill="C9C9C9" w:themeFill="accent3" w:themeFillTint="99"/>
          </w:tcPr>
          <w:p w14:paraId="35F28338" w14:textId="2A43E045" w:rsidR="004C2532" w:rsidRDefault="00967D86" w:rsidP="004C25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0.34</m:t>
                </m:r>
              </m:oMath>
            </m:oMathPara>
          </w:p>
        </w:tc>
        <w:tc>
          <w:tcPr>
            <w:tcW w:w="1945" w:type="dxa"/>
          </w:tcPr>
          <w:p w14:paraId="33A0D9C1" w14:textId="71034D5A" w:rsidR="004C2532" w:rsidRPr="00967D86" w:rsidRDefault="00967D86" w:rsidP="004C2532">
            <w:pPr>
              <w:jc w:val="center"/>
            </w:pPr>
            <w:r w:rsidRPr="00967D86">
              <w:t>1.3246</w:t>
            </w:r>
          </w:p>
        </w:tc>
        <w:tc>
          <w:tcPr>
            <w:tcW w:w="1477" w:type="dxa"/>
          </w:tcPr>
          <w:p w14:paraId="3CCE95DC" w14:textId="44CAF541" w:rsidR="004C2532" w:rsidRPr="00967D86" w:rsidRDefault="00967D86" w:rsidP="004C2532">
            <w:pPr>
              <w:jc w:val="center"/>
            </w:pPr>
            <w:r w:rsidRPr="00967D86">
              <w:t>1.3228</w:t>
            </w:r>
          </w:p>
        </w:tc>
        <w:tc>
          <w:tcPr>
            <w:tcW w:w="1551" w:type="dxa"/>
          </w:tcPr>
          <w:p w14:paraId="5C57DD1B" w14:textId="1F0DB0EF" w:rsidR="004C2532" w:rsidRPr="00967D86" w:rsidRDefault="00967D86" w:rsidP="004C2532">
            <w:pPr>
              <w:jc w:val="center"/>
            </w:pPr>
            <w:r w:rsidRPr="00967D86">
              <w:t>1.3279</w:t>
            </w:r>
          </w:p>
        </w:tc>
        <w:tc>
          <w:tcPr>
            <w:tcW w:w="1481" w:type="dxa"/>
          </w:tcPr>
          <w:p w14:paraId="31CA39E3" w14:textId="34F4A479" w:rsidR="004C2532" w:rsidRPr="00967D86" w:rsidRDefault="00967D86" w:rsidP="004C2532">
            <w:pPr>
              <w:keepNext/>
              <w:jc w:val="center"/>
            </w:pPr>
            <w:r w:rsidRPr="00967D86">
              <w:t>1.3692</w:t>
            </w:r>
          </w:p>
        </w:tc>
        <w:tc>
          <w:tcPr>
            <w:tcW w:w="1403" w:type="dxa"/>
          </w:tcPr>
          <w:p w14:paraId="361B9494" w14:textId="72FE1399" w:rsidR="004C2532" w:rsidRPr="00967D86" w:rsidRDefault="00967D86" w:rsidP="004C2532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967D86">
              <w:rPr>
                <w:rFonts w:ascii="Calibri" w:eastAsia="Calibri" w:hAnsi="Calibri" w:cs="Times New Roman"/>
              </w:rPr>
              <w:t>1.3661</w:t>
            </w:r>
          </w:p>
        </w:tc>
      </w:tr>
      <w:tr w:rsidR="004C2532" w:rsidRPr="00382B2E" w14:paraId="3E2AD2CB" w14:textId="77777777" w:rsidTr="004C2532">
        <w:trPr>
          <w:trHeight w:val="242"/>
          <w:jc w:val="center"/>
        </w:trPr>
        <w:tc>
          <w:tcPr>
            <w:tcW w:w="961" w:type="dxa"/>
            <w:vMerge/>
            <w:shd w:val="clear" w:color="auto" w:fill="C9C9C9" w:themeFill="accent3" w:themeFillTint="99"/>
          </w:tcPr>
          <w:p w14:paraId="6D1AD341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27" w:type="dxa"/>
            <w:shd w:val="clear" w:color="auto" w:fill="C9C9C9" w:themeFill="accent3" w:themeFillTint="99"/>
          </w:tcPr>
          <w:p w14:paraId="39275F92" w14:textId="77777777" w:rsidR="004C2532" w:rsidRDefault="004C2532" w:rsidP="004C253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0.38</w:t>
            </w:r>
          </w:p>
        </w:tc>
        <w:tc>
          <w:tcPr>
            <w:tcW w:w="1945" w:type="dxa"/>
          </w:tcPr>
          <w:p w14:paraId="368A40BA" w14:textId="03D4F85D" w:rsidR="004C2532" w:rsidRPr="00967D86" w:rsidRDefault="00967D86" w:rsidP="004C2532">
            <w:pPr>
              <w:jc w:val="center"/>
            </w:pPr>
            <w:r w:rsidRPr="00967D86">
              <w:t>1.3254</w:t>
            </w:r>
          </w:p>
        </w:tc>
        <w:tc>
          <w:tcPr>
            <w:tcW w:w="1477" w:type="dxa"/>
          </w:tcPr>
          <w:p w14:paraId="70E1ED7E" w14:textId="4F74DF8D" w:rsidR="004C2532" w:rsidRPr="00967D86" w:rsidRDefault="00967D86" w:rsidP="004C2532">
            <w:pPr>
              <w:jc w:val="center"/>
            </w:pPr>
            <w:r w:rsidRPr="00967D86">
              <w:t>1.3473</w:t>
            </w:r>
          </w:p>
        </w:tc>
        <w:tc>
          <w:tcPr>
            <w:tcW w:w="1551" w:type="dxa"/>
          </w:tcPr>
          <w:p w14:paraId="2660F762" w14:textId="20EE55C4" w:rsidR="004C2532" w:rsidRPr="00967D86" w:rsidRDefault="00967D86" w:rsidP="004C2532">
            <w:pPr>
              <w:jc w:val="center"/>
            </w:pPr>
            <w:r w:rsidRPr="00967D86">
              <w:t>1.3646</w:t>
            </w:r>
          </w:p>
        </w:tc>
        <w:tc>
          <w:tcPr>
            <w:tcW w:w="1481" w:type="dxa"/>
          </w:tcPr>
          <w:p w14:paraId="70FF20C6" w14:textId="68790BA2" w:rsidR="004C2532" w:rsidRPr="00967D86" w:rsidRDefault="00967D86" w:rsidP="004C2532">
            <w:pPr>
              <w:keepNext/>
              <w:jc w:val="center"/>
            </w:pPr>
            <w:r w:rsidRPr="00967D86">
              <w:t>1.3752</w:t>
            </w:r>
          </w:p>
        </w:tc>
        <w:tc>
          <w:tcPr>
            <w:tcW w:w="1403" w:type="dxa"/>
          </w:tcPr>
          <w:p w14:paraId="06993249" w14:textId="098F953D" w:rsidR="004C2532" w:rsidRPr="00967D86" w:rsidRDefault="00967D86" w:rsidP="004C2532">
            <w:pPr>
              <w:keepNext/>
              <w:jc w:val="center"/>
            </w:pPr>
            <w:r w:rsidRPr="00967D86">
              <w:t>1.3762</w:t>
            </w:r>
          </w:p>
        </w:tc>
      </w:tr>
    </w:tbl>
    <w:p w14:paraId="0BE57909" w14:textId="77777777" w:rsidR="004C2532" w:rsidRDefault="004C2532" w:rsidP="004C2532">
      <w:pPr>
        <w:jc w:val="both"/>
        <w:rPr>
          <w:lang w:val="el-GR"/>
        </w:rPr>
      </w:pPr>
    </w:p>
    <w:p w14:paraId="53B2157B" w14:textId="721A5A16" w:rsidR="00340F0C" w:rsidRDefault="00340F0C" w:rsidP="00340F0C">
      <w:pPr>
        <w:jc w:val="both"/>
        <w:rPr>
          <w:lang w:val="el-GR"/>
        </w:rPr>
      </w:pPr>
      <w:r>
        <w:rPr>
          <w:lang w:val="el-GR"/>
        </w:rPr>
        <w:t>Ο βέλτιστος συνδυασμός αριθμού χαρακτηριστικών και αριθμού συναρτήσεων συμμετοχής είναι εκείνος που επιφέρει το μικρότερο μέσο όρο σφάλματος. Από τον παραπάνω πίνακα είναι προφανές ότι ο συνδυασμός αυτός είναι ο [</w:t>
      </w:r>
      <w:r>
        <w:t>Number</w:t>
      </w:r>
      <w:r w:rsidRPr="00975DE5">
        <w:rPr>
          <w:lang w:val="el-GR"/>
        </w:rPr>
        <w:t xml:space="preserve"> </w:t>
      </w:r>
      <w:r>
        <w:t>of</w:t>
      </w:r>
      <w:r w:rsidRPr="00975DE5">
        <w:rPr>
          <w:lang w:val="el-GR"/>
        </w:rPr>
        <w:t xml:space="preserve"> </w:t>
      </w:r>
      <w:r>
        <w:t>features</w:t>
      </w:r>
      <w:r w:rsidRPr="00975DE5">
        <w:rPr>
          <w:lang w:val="el-GR"/>
        </w:rPr>
        <w:t xml:space="preserve">, </w:t>
      </w:r>
      <w:r>
        <w:t>Clusters</w:t>
      </w:r>
      <w:r w:rsidRPr="00340F0C">
        <w:rPr>
          <w:lang w:val="el-GR"/>
        </w:rPr>
        <w:t xml:space="preserve"> </w:t>
      </w:r>
      <w:r>
        <w:t>Radius</w:t>
      </w:r>
      <w:r>
        <w:rPr>
          <w:lang w:val="el-GR"/>
        </w:rPr>
        <w:t>]</w:t>
      </w:r>
      <w:r w:rsidRPr="00975DE5">
        <w:rPr>
          <w:lang w:val="el-GR"/>
        </w:rPr>
        <w:t xml:space="preserve"> = [</w:t>
      </w:r>
      <w:r w:rsidRPr="00340F0C">
        <w:rPr>
          <w:lang w:val="el-GR"/>
        </w:rPr>
        <w:t>9</w:t>
      </w:r>
      <w:r w:rsidRPr="00C9265D">
        <w:rPr>
          <w:lang w:val="el-GR"/>
        </w:rPr>
        <w:t>,</w:t>
      </w:r>
      <w:r w:rsidRPr="00340F0C">
        <w:rPr>
          <w:lang w:val="el-GR"/>
        </w:rPr>
        <w:t>0.18</w:t>
      </w:r>
      <w:r w:rsidRPr="00975DE5">
        <w:rPr>
          <w:lang w:val="el-GR"/>
        </w:rPr>
        <w:t>].</w:t>
      </w:r>
    </w:p>
    <w:p w14:paraId="71EEFC2D" w14:textId="1F05E3A5" w:rsidR="00340F0C" w:rsidRDefault="00340F0C" w:rsidP="00340F0C">
      <w:pPr>
        <w:jc w:val="both"/>
        <w:rPr>
          <w:lang w:val="el-GR"/>
        </w:rPr>
      </w:pPr>
      <w:r>
        <w:rPr>
          <w:lang w:val="el-GR"/>
        </w:rPr>
        <w:t>Μετά την επιλογή των βέλτιστων παραμέτρων ακολουθεί η εκπαίδευση του μοντέλου και προκύπτουν έτσι η καμπύλη εκμάθησης του μοντέλου, η σύγκριση πραγματικών τιμών και εκτιμήσεων, καθώς και η σύγκριση ορισμένων τυχαίων συναρτήσεων συμμετοχής πριν και μετά τη διαδικασία της εκπαίδευσης και αποτυπώνονται στα παρακάτω σχήματα.</w:t>
      </w:r>
    </w:p>
    <w:p w14:paraId="3FFAE1F2" w14:textId="0B4AE03D" w:rsidR="00A74F6C" w:rsidRDefault="00A74F6C" w:rsidP="00340F0C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6432" behindDoc="0" locked="0" layoutInCell="1" allowOverlap="1" wp14:anchorId="66AA8F00" wp14:editId="26E5C764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333559" cy="3998645"/>
            <wp:effectExtent l="0" t="0" r="635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64895" behindDoc="0" locked="0" layoutInCell="1" allowOverlap="1" wp14:anchorId="686A9C92" wp14:editId="56B557E5">
            <wp:simplePos x="0" y="0"/>
            <wp:positionH relativeFrom="column">
              <wp:posOffset>304800</wp:posOffset>
            </wp:positionH>
            <wp:positionV relativeFrom="paragraph">
              <wp:posOffset>4000500</wp:posOffset>
            </wp:positionV>
            <wp:extent cx="5333365" cy="3998595"/>
            <wp:effectExtent l="0" t="0" r="635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3584B" w14:textId="3F500441" w:rsidR="003D5D49" w:rsidRDefault="00A74F6C" w:rsidP="00CF0A57">
      <w:pPr>
        <w:jc w:val="both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7BC01950" wp14:editId="26C61A8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333559" cy="3998645"/>
            <wp:effectExtent l="0" t="0" r="635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E5E49" w14:textId="77777777" w:rsidR="00623C2E" w:rsidRDefault="00623C2E" w:rsidP="00623C2E">
      <w:pPr>
        <w:jc w:val="both"/>
        <w:rPr>
          <w:lang w:val="el-GR"/>
        </w:rPr>
      </w:pPr>
      <w:r>
        <w:rPr>
          <w:lang w:val="el-GR"/>
        </w:rPr>
        <w:t>Τέλος, παρουσιάζεται ο πίνακας σφαλμάτων ταξινόμησης και ο πίνακας των δεικτών απόδοσης για κάθε μοντέλο.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3C2E" w14:paraId="3847A60C" w14:textId="77777777" w:rsidTr="00243602">
        <w:tc>
          <w:tcPr>
            <w:tcW w:w="9350" w:type="dxa"/>
            <w:gridSpan w:val="5"/>
            <w:shd w:val="clear" w:color="auto" w:fill="C9C9C9" w:themeFill="accent3" w:themeFillTint="99"/>
            <w:vAlign w:val="center"/>
          </w:tcPr>
          <w:p w14:paraId="7A340242" w14:textId="6C1948FC" w:rsidR="00623C2E" w:rsidRPr="00243602" w:rsidRDefault="00243602" w:rsidP="00243602">
            <w:pPr>
              <w:jc w:val="center"/>
              <w:rPr>
                <w:b/>
                <w:bCs/>
                <w:lang w:val="el-GR"/>
              </w:rPr>
            </w:pPr>
            <w:r w:rsidRPr="00243602">
              <w:rPr>
                <w:b/>
                <w:bCs/>
                <w:lang w:val="el-GR"/>
              </w:rPr>
              <w:t>Πίνακας σφαλμάτων ταξινόμησης</w:t>
            </w:r>
          </w:p>
        </w:tc>
      </w:tr>
      <w:tr w:rsidR="00243602" w14:paraId="2CBFAAF5" w14:textId="77777777" w:rsidTr="00E62CF4">
        <w:tc>
          <w:tcPr>
            <w:tcW w:w="1870" w:type="dxa"/>
          </w:tcPr>
          <w:p w14:paraId="2FB9EECE" w14:textId="3CC7C537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308</w:t>
            </w:r>
          </w:p>
        </w:tc>
        <w:tc>
          <w:tcPr>
            <w:tcW w:w="1870" w:type="dxa"/>
          </w:tcPr>
          <w:p w14:paraId="0B0B2384" w14:textId="56E59C4E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16</w:t>
            </w:r>
          </w:p>
        </w:tc>
        <w:tc>
          <w:tcPr>
            <w:tcW w:w="1870" w:type="dxa"/>
          </w:tcPr>
          <w:p w14:paraId="455E27CA" w14:textId="41AA478F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</w:t>
            </w:r>
          </w:p>
        </w:tc>
        <w:tc>
          <w:tcPr>
            <w:tcW w:w="1870" w:type="dxa"/>
          </w:tcPr>
          <w:p w14:paraId="482949FF" w14:textId="3C881004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  <w:tc>
          <w:tcPr>
            <w:tcW w:w="1870" w:type="dxa"/>
          </w:tcPr>
          <w:p w14:paraId="73089EC4" w14:textId="4ADB45D7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</w:tr>
      <w:tr w:rsidR="00243602" w14:paraId="23295EB2" w14:textId="77777777" w:rsidTr="00E62CF4">
        <w:tc>
          <w:tcPr>
            <w:tcW w:w="1870" w:type="dxa"/>
          </w:tcPr>
          <w:p w14:paraId="500E4641" w14:textId="59132185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94</w:t>
            </w:r>
          </w:p>
        </w:tc>
        <w:tc>
          <w:tcPr>
            <w:tcW w:w="1870" w:type="dxa"/>
          </w:tcPr>
          <w:p w14:paraId="4EAA0FDE" w14:textId="4DF9D20B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24</w:t>
            </w:r>
          </w:p>
        </w:tc>
        <w:tc>
          <w:tcPr>
            <w:tcW w:w="1870" w:type="dxa"/>
          </w:tcPr>
          <w:p w14:paraId="6D2F92D5" w14:textId="03FBCAF7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11</w:t>
            </w:r>
          </w:p>
        </w:tc>
        <w:tc>
          <w:tcPr>
            <w:tcW w:w="1870" w:type="dxa"/>
          </w:tcPr>
          <w:p w14:paraId="5520F7C1" w14:textId="6DA60679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22</w:t>
            </w:r>
          </w:p>
        </w:tc>
        <w:tc>
          <w:tcPr>
            <w:tcW w:w="1870" w:type="dxa"/>
          </w:tcPr>
          <w:p w14:paraId="6CCD830C" w14:textId="15533843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</w:tr>
      <w:tr w:rsidR="00243602" w14:paraId="061A7D16" w14:textId="77777777" w:rsidTr="00E62CF4">
        <w:tc>
          <w:tcPr>
            <w:tcW w:w="1870" w:type="dxa"/>
          </w:tcPr>
          <w:p w14:paraId="0522858B" w14:textId="34A20FD3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64</w:t>
            </w:r>
          </w:p>
        </w:tc>
        <w:tc>
          <w:tcPr>
            <w:tcW w:w="1870" w:type="dxa"/>
          </w:tcPr>
          <w:p w14:paraId="1869E5CA" w14:textId="4845CEF2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199</w:t>
            </w:r>
          </w:p>
        </w:tc>
        <w:tc>
          <w:tcPr>
            <w:tcW w:w="1870" w:type="dxa"/>
          </w:tcPr>
          <w:p w14:paraId="31A12404" w14:textId="3920E3B8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197</w:t>
            </w:r>
          </w:p>
        </w:tc>
        <w:tc>
          <w:tcPr>
            <w:tcW w:w="1870" w:type="dxa"/>
          </w:tcPr>
          <w:p w14:paraId="0DEF78AF" w14:textId="3DCCE076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285</w:t>
            </w:r>
          </w:p>
        </w:tc>
        <w:tc>
          <w:tcPr>
            <w:tcW w:w="1870" w:type="dxa"/>
          </w:tcPr>
          <w:p w14:paraId="36F59323" w14:textId="77CBE7CE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174</w:t>
            </w:r>
          </w:p>
        </w:tc>
      </w:tr>
      <w:tr w:rsidR="00243602" w14:paraId="5B261817" w14:textId="77777777" w:rsidTr="00E62CF4">
        <w:tc>
          <w:tcPr>
            <w:tcW w:w="1870" w:type="dxa"/>
          </w:tcPr>
          <w:p w14:paraId="413D6087" w14:textId="6488BAFA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</w:t>
            </w:r>
          </w:p>
        </w:tc>
        <w:tc>
          <w:tcPr>
            <w:tcW w:w="1870" w:type="dxa"/>
          </w:tcPr>
          <w:p w14:paraId="6AACE2F9" w14:textId="6C79ED72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213</w:t>
            </w:r>
          </w:p>
        </w:tc>
        <w:tc>
          <w:tcPr>
            <w:tcW w:w="1870" w:type="dxa"/>
          </w:tcPr>
          <w:p w14:paraId="058C52B0" w14:textId="1C972C72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221</w:t>
            </w:r>
          </w:p>
        </w:tc>
        <w:tc>
          <w:tcPr>
            <w:tcW w:w="1870" w:type="dxa"/>
          </w:tcPr>
          <w:p w14:paraId="734CD073" w14:textId="6E90D8F8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159</w:t>
            </w:r>
          </w:p>
        </w:tc>
        <w:tc>
          <w:tcPr>
            <w:tcW w:w="1870" w:type="dxa"/>
          </w:tcPr>
          <w:p w14:paraId="64E5B38D" w14:textId="45E08DD7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308</w:t>
            </w:r>
          </w:p>
        </w:tc>
      </w:tr>
      <w:tr w:rsidR="00243602" w14:paraId="7CE7BCFF" w14:textId="77777777" w:rsidTr="00E62CF4">
        <w:tc>
          <w:tcPr>
            <w:tcW w:w="1870" w:type="dxa"/>
          </w:tcPr>
          <w:p w14:paraId="5F770B76" w14:textId="52AE52BC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  <w:tc>
          <w:tcPr>
            <w:tcW w:w="1870" w:type="dxa"/>
          </w:tcPr>
          <w:p w14:paraId="74FF974A" w14:textId="04A8EA24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  <w:tc>
          <w:tcPr>
            <w:tcW w:w="1870" w:type="dxa"/>
          </w:tcPr>
          <w:p w14:paraId="0C5BE188" w14:textId="5F2B1382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  <w:tc>
          <w:tcPr>
            <w:tcW w:w="1870" w:type="dxa"/>
          </w:tcPr>
          <w:p w14:paraId="3BE7C465" w14:textId="1298576B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  <w:tc>
          <w:tcPr>
            <w:tcW w:w="1870" w:type="dxa"/>
          </w:tcPr>
          <w:p w14:paraId="4566340D" w14:textId="795E5AA4" w:rsidR="00243602" w:rsidRDefault="00243602" w:rsidP="00243602">
            <w:pPr>
              <w:jc w:val="center"/>
              <w:rPr>
                <w:lang w:val="el-GR"/>
              </w:rPr>
            </w:pPr>
            <w:r w:rsidRPr="006F50EC">
              <w:t>0</w:t>
            </w:r>
          </w:p>
        </w:tc>
      </w:tr>
    </w:tbl>
    <w:p w14:paraId="70F0120F" w14:textId="474FB0F1" w:rsidR="003D5D49" w:rsidRDefault="003D5D49" w:rsidP="00243602">
      <w:pPr>
        <w:jc w:val="center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623C2E" w14:paraId="6770F09B" w14:textId="77777777" w:rsidTr="00243602">
        <w:tc>
          <w:tcPr>
            <w:tcW w:w="1525" w:type="dxa"/>
            <w:shd w:val="clear" w:color="auto" w:fill="C9C9C9" w:themeFill="accent3" w:themeFillTint="99"/>
            <w:vAlign w:val="center"/>
          </w:tcPr>
          <w:p w14:paraId="2911D5EA" w14:textId="705D40C3" w:rsidR="00623C2E" w:rsidRPr="00243602" w:rsidRDefault="00623C2E" w:rsidP="00243602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OA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2C48299B" w14:textId="42B93726" w:rsidR="00623C2E" w:rsidRPr="00623C2E" w:rsidRDefault="00623C2E" w:rsidP="00243602">
            <w:pPr>
              <w:tabs>
                <w:tab w:val="left" w:pos="1370"/>
              </w:tabs>
              <w:jc w:val="center"/>
            </w:pPr>
            <w:r>
              <w:t>0.2991</w:t>
            </w:r>
          </w:p>
        </w:tc>
      </w:tr>
    </w:tbl>
    <w:p w14:paraId="3687A94F" w14:textId="130513DB" w:rsidR="003D5D49" w:rsidRDefault="003D5D49" w:rsidP="0024360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23C2E" w14:paraId="70852BE3" w14:textId="77777777" w:rsidTr="00243602">
        <w:tc>
          <w:tcPr>
            <w:tcW w:w="1558" w:type="dxa"/>
            <w:shd w:val="clear" w:color="auto" w:fill="C9C9C9" w:themeFill="accent3" w:themeFillTint="99"/>
            <w:vAlign w:val="center"/>
          </w:tcPr>
          <w:p w14:paraId="04DCD6B8" w14:textId="50A78CB1" w:rsidR="00623C2E" w:rsidRDefault="00623C2E" w:rsidP="00243602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272610FC" w14:textId="5F53E65F" w:rsidR="00623C2E" w:rsidRPr="00243602" w:rsidRDefault="00243602" w:rsidP="00243602">
            <w:pPr>
              <w:jc w:val="center"/>
            </w:pPr>
            <w:r>
              <w:t>0.6581</w:t>
            </w:r>
          </w:p>
        </w:tc>
        <w:tc>
          <w:tcPr>
            <w:tcW w:w="1558" w:type="dxa"/>
            <w:vAlign w:val="center"/>
          </w:tcPr>
          <w:p w14:paraId="7A66599A" w14:textId="193ADE15" w:rsidR="00623C2E" w:rsidRPr="00243602" w:rsidRDefault="00243602" w:rsidP="00243602">
            <w:pPr>
              <w:jc w:val="center"/>
            </w:pPr>
            <w:r>
              <w:t>0.0531</w:t>
            </w:r>
          </w:p>
        </w:tc>
        <w:tc>
          <w:tcPr>
            <w:tcW w:w="1558" w:type="dxa"/>
            <w:vAlign w:val="center"/>
          </w:tcPr>
          <w:p w14:paraId="438862C7" w14:textId="18D82235" w:rsidR="00623C2E" w:rsidRPr="00243602" w:rsidRDefault="00243602" w:rsidP="00243602">
            <w:pPr>
              <w:jc w:val="center"/>
            </w:pPr>
            <w:r>
              <w:t>0.4581</w:t>
            </w:r>
          </w:p>
        </w:tc>
        <w:tc>
          <w:tcPr>
            <w:tcW w:w="1559" w:type="dxa"/>
            <w:vAlign w:val="center"/>
          </w:tcPr>
          <w:p w14:paraId="6242539E" w14:textId="48668640" w:rsidR="00623C2E" w:rsidRPr="00243602" w:rsidRDefault="00243602" w:rsidP="00243602">
            <w:pPr>
              <w:jc w:val="center"/>
            </w:pPr>
            <w:r>
              <w:t>0.3412</w:t>
            </w:r>
          </w:p>
        </w:tc>
        <w:tc>
          <w:tcPr>
            <w:tcW w:w="1559" w:type="dxa"/>
            <w:vAlign w:val="center"/>
          </w:tcPr>
          <w:p w14:paraId="258EC0BF" w14:textId="20391B1F" w:rsidR="00623C2E" w:rsidRPr="00243602" w:rsidRDefault="00243602" w:rsidP="00243602">
            <w:pPr>
              <w:jc w:val="center"/>
            </w:pPr>
            <w:r>
              <w:t>0</w:t>
            </w:r>
          </w:p>
        </w:tc>
      </w:tr>
    </w:tbl>
    <w:p w14:paraId="28CD8B7C" w14:textId="26ACBC43" w:rsidR="003D5D49" w:rsidRDefault="003D5D49" w:rsidP="00243602">
      <w:pPr>
        <w:jc w:val="center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23C2E" w14:paraId="4163E163" w14:textId="77777777" w:rsidTr="00243602">
        <w:tc>
          <w:tcPr>
            <w:tcW w:w="1558" w:type="dxa"/>
            <w:shd w:val="clear" w:color="auto" w:fill="C9C9C9" w:themeFill="accent3" w:themeFillTint="99"/>
            <w:vAlign w:val="center"/>
          </w:tcPr>
          <w:p w14:paraId="764143A7" w14:textId="201CA96A" w:rsidR="00623C2E" w:rsidRDefault="00623C2E" w:rsidP="00243602">
            <w:pPr>
              <w:jc w:val="center"/>
              <w:rPr>
                <w:lang w:val="el-GR"/>
              </w:rPr>
            </w:pPr>
            <m:oMathPara>
              <m:oMath>
                <m:r>
                  <w:rPr>
                    <w:rFonts w:ascii="Cambria Math" w:hAnsi="Cambria Math"/>
                  </w:rPr>
                  <m:t>UA</m:t>
                </m:r>
              </m:oMath>
            </m:oMathPara>
          </w:p>
        </w:tc>
        <w:tc>
          <w:tcPr>
            <w:tcW w:w="1558" w:type="dxa"/>
            <w:vAlign w:val="center"/>
          </w:tcPr>
          <w:p w14:paraId="40CD4631" w14:textId="6CA32164" w:rsidR="00623C2E" w:rsidRPr="00243602" w:rsidRDefault="00243602" w:rsidP="00243602">
            <w:pPr>
              <w:jc w:val="center"/>
            </w:pPr>
            <w:r>
              <w:t>0.9477</w:t>
            </w:r>
          </w:p>
        </w:tc>
        <w:tc>
          <w:tcPr>
            <w:tcW w:w="1558" w:type="dxa"/>
            <w:vAlign w:val="center"/>
          </w:tcPr>
          <w:p w14:paraId="1E0AAEA1" w14:textId="036FEFCF" w:rsidR="00623C2E" w:rsidRPr="00243602" w:rsidRDefault="00243602" w:rsidP="00243602">
            <w:pPr>
              <w:jc w:val="center"/>
            </w:pPr>
            <w:r>
              <w:t>0.1589</w:t>
            </w:r>
          </w:p>
        </w:tc>
        <w:tc>
          <w:tcPr>
            <w:tcW w:w="1558" w:type="dxa"/>
            <w:vAlign w:val="center"/>
          </w:tcPr>
          <w:p w14:paraId="1ADA0E63" w14:textId="6D10C078" w:rsidR="00623C2E" w:rsidRPr="00243602" w:rsidRDefault="00243602" w:rsidP="00243602">
            <w:pPr>
              <w:jc w:val="center"/>
            </w:pPr>
            <w:r>
              <w:t>0.2144</w:t>
            </w:r>
          </w:p>
        </w:tc>
        <w:tc>
          <w:tcPr>
            <w:tcW w:w="1559" w:type="dxa"/>
            <w:vAlign w:val="center"/>
          </w:tcPr>
          <w:p w14:paraId="3A66B2C6" w14:textId="7F52587E" w:rsidR="00623C2E" w:rsidRPr="00243602" w:rsidRDefault="00243602" w:rsidP="00243602">
            <w:pPr>
              <w:jc w:val="center"/>
            </w:pPr>
            <w:r>
              <w:t>0.1761</w:t>
            </w:r>
          </w:p>
        </w:tc>
        <w:tc>
          <w:tcPr>
            <w:tcW w:w="1559" w:type="dxa"/>
            <w:vAlign w:val="center"/>
          </w:tcPr>
          <w:p w14:paraId="10E5225C" w14:textId="7C8D292E" w:rsidR="00623C2E" w:rsidRPr="00243602" w:rsidRDefault="00243602" w:rsidP="00243602">
            <w:pPr>
              <w:jc w:val="center"/>
            </w:pPr>
            <w:proofErr w:type="spellStart"/>
            <w:r>
              <w:t>NaN</w:t>
            </w:r>
            <w:proofErr w:type="spellEnd"/>
          </w:p>
        </w:tc>
      </w:tr>
    </w:tbl>
    <w:p w14:paraId="4BBF1C8C" w14:textId="77850D02" w:rsidR="00623C2E" w:rsidRDefault="00623C2E" w:rsidP="00243602">
      <w:pPr>
        <w:jc w:val="center"/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623C2E" w14:paraId="7963B075" w14:textId="77777777" w:rsidTr="00243602">
        <w:tc>
          <w:tcPr>
            <w:tcW w:w="1525" w:type="dxa"/>
            <w:shd w:val="clear" w:color="auto" w:fill="C9C9C9" w:themeFill="accent3" w:themeFillTint="99"/>
            <w:vAlign w:val="center"/>
          </w:tcPr>
          <w:p w14:paraId="522316C0" w14:textId="6179EABB" w:rsidR="00623C2E" w:rsidRDefault="00623C2E" w:rsidP="00243602">
            <w:pPr>
              <w:jc w:val="center"/>
              <w:rPr>
                <w:lang w:val="el-GR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620" w:type="dxa"/>
            <w:vAlign w:val="center"/>
          </w:tcPr>
          <w:p w14:paraId="272CB68B" w14:textId="70B092D9" w:rsidR="00623C2E" w:rsidRPr="00623C2E" w:rsidRDefault="00623C2E" w:rsidP="00243602">
            <w:pPr>
              <w:jc w:val="center"/>
            </w:pPr>
            <w:r>
              <w:t>0.1244</w:t>
            </w:r>
          </w:p>
        </w:tc>
      </w:tr>
    </w:tbl>
    <w:p w14:paraId="4650F957" w14:textId="33C83D51" w:rsidR="00623C2E" w:rsidRDefault="00623C2E" w:rsidP="00CF0A57">
      <w:pPr>
        <w:jc w:val="both"/>
        <w:rPr>
          <w:lang w:val="el-GR"/>
        </w:rPr>
      </w:pPr>
    </w:p>
    <w:p w14:paraId="23E50A18" w14:textId="77777777" w:rsidR="00243602" w:rsidRPr="00243602" w:rsidRDefault="00243602" w:rsidP="00CF0A57">
      <w:pPr>
        <w:jc w:val="both"/>
      </w:pPr>
    </w:p>
    <w:sectPr w:rsidR="00243602" w:rsidRPr="0024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E79F4"/>
    <w:multiLevelType w:val="hybridMultilevel"/>
    <w:tmpl w:val="D966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71"/>
    <w:rsid w:val="000B6171"/>
    <w:rsid w:val="00243602"/>
    <w:rsid w:val="002D20FF"/>
    <w:rsid w:val="00336CA9"/>
    <w:rsid w:val="00340F0C"/>
    <w:rsid w:val="003D5D49"/>
    <w:rsid w:val="00440586"/>
    <w:rsid w:val="004837E4"/>
    <w:rsid w:val="004C2532"/>
    <w:rsid w:val="00583134"/>
    <w:rsid w:val="00623C2E"/>
    <w:rsid w:val="00967D86"/>
    <w:rsid w:val="00A74F6C"/>
    <w:rsid w:val="00C66675"/>
    <w:rsid w:val="00CF0A57"/>
    <w:rsid w:val="00D550B8"/>
    <w:rsid w:val="00E5075D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957"/>
  <w15:chartTrackingRefBased/>
  <w15:docId w15:val="{54E343BC-46C8-4DE4-B6FC-EE736FE3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71"/>
    <w:pPr>
      <w:ind w:left="720"/>
      <w:contextualSpacing/>
    </w:pPr>
  </w:style>
  <w:style w:type="table" w:styleId="TableGrid">
    <w:name w:val="Table Grid"/>
    <w:basedOn w:val="TableNormal"/>
    <w:uiPriority w:val="39"/>
    <w:rsid w:val="004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kimifer 88</dc:creator>
  <cp:keywords/>
  <dc:description/>
  <cp:lastModifiedBy>kimifer 88</cp:lastModifiedBy>
  <cp:revision>3</cp:revision>
  <dcterms:created xsi:type="dcterms:W3CDTF">2021-03-07T08:42:00Z</dcterms:created>
  <dcterms:modified xsi:type="dcterms:W3CDTF">2021-03-07T19:19:00Z</dcterms:modified>
</cp:coreProperties>
</file>