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3011A" w14:textId="79C7CAAC" w:rsidR="001E4CB4" w:rsidRDefault="001E4CB4" w:rsidP="00975DE5">
      <w:pPr>
        <w:jc w:val="both"/>
        <w:rPr>
          <w:lang w:val="el-GR"/>
        </w:rPr>
      </w:pPr>
      <w:r>
        <w:rPr>
          <w:lang w:val="el-GR"/>
        </w:rPr>
        <w:t>Μέρος 1</w:t>
      </w:r>
    </w:p>
    <w:p w14:paraId="0569E694" w14:textId="221DB07F" w:rsidR="00C37FC5" w:rsidRDefault="00C37FC5" w:rsidP="00975DE5">
      <w:pPr>
        <w:jc w:val="both"/>
        <w:rPr>
          <w:lang w:val="el-GR"/>
        </w:rPr>
      </w:pPr>
      <w:r>
        <w:rPr>
          <w:lang w:val="el-GR"/>
        </w:rPr>
        <w:t xml:space="preserve">Το επιλεγμένο </w:t>
      </w:r>
      <w:r w:rsidRPr="00C37FC5">
        <w:rPr>
          <w:lang w:val="el-GR"/>
        </w:rPr>
        <w:t xml:space="preserve">σύνολο δεδομένων της </w:t>
      </w:r>
      <w:r w:rsidRPr="00C37FC5">
        <w:t>NASA</w:t>
      </w:r>
      <w:r w:rsidRPr="00C37FC5">
        <w:rPr>
          <w:lang w:val="el-GR"/>
        </w:rPr>
        <w:t xml:space="preserve"> περιλαμβάνει </w:t>
      </w:r>
      <w:r>
        <w:rPr>
          <w:lang w:val="el-GR"/>
        </w:rPr>
        <w:t>αεροτομές</w:t>
      </w:r>
      <w:r w:rsidRPr="00C37FC5">
        <w:rPr>
          <w:lang w:val="el-GR"/>
        </w:rPr>
        <w:t xml:space="preserve"> διαφορετικού μεγέθους </w:t>
      </w:r>
      <w:r w:rsidRPr="00C37FC5">
        <w:t>NACA</w:t>
      </w:r>
      <w:r w:rsidRPr="00C37FC5">
        <w:rPr>
          <w:lang w:val="el-GR"/>
        </w:rPr>
        <w:t xml:space="preserve"> 0012 σε διάφορες ταχύτητες σήραγγας αέρα και γωνίες επίθεσης. Η </w:t>
      </w:r>
      <w:r>
        <w:rPr>
          <w:lang w:val="el-GR"/>
        </w:rPr>
        <w:t>επιφάνεια</w:t>
      </w:r>
      <w:r w:rsidRPr="00C37FC5">
        <w:rPr>
          <w:lang w:val="el-GR"/>
        </w:rPr>
        <w:t xml:space="preserve"> τ</w:t>
      </w:r>
      <w:r>
        <w:rPr>
          <w:lang w:val="el-GR"/>
        </w:rPr>
        <w:t>ης</w:t>
      </w:r>
      <w:r w:rsidRPr="00C37FC5">
        <w:rPr>
          <w:lang w:val="el-GR"/>
        </w:rPr>
        <w:t xml:space="preserve"> αεροτομή</w:t>
      </w:r>
      <w:r>
        <w:rPr>
          <w:lang w:val="el-GR"/>
        </w:rPr>
        <w:t>ς</w:t>
      </w:r>
      <w:r w:rsidRPr="00C37FC5">
        <w:rPr>
          <w:lang w:val="el-GR"/>
        </w:rPr>
        <w:t xml:space="preserve"> και η θέση του παρατηρητή ήταν τα ίδια σε όλα τα πειράματα.</w:t>
      </w:r>
      <w:r>
        <w:rPr>
          <w:lang w:val="el-GR"/>
        </w:rPr>
        <w:t xml:space="preserve"> Περιλαμβάνει 1503 δείγματα και</w:t>
      </w:r>
      <w:r w:rsidR="00121EBC">
        <w:rPr>
          <w:lang w:val="el-GR"/>
        </w:rPr>
        <w:t xml:space="preserve"> κάθε ένα από αυτά εμφανίζει</w:t>
      </w:r>
      <w:r>
        <w:rPr>
          <w:lang w:val="el-GR"/>
        </w:rPr>
        <w:t xml:space="preserve"> τα ακόλουθα 6 χαρακτηριστικά: </w:t>
      </w:r>
    </w:p>
    <w:p w14:paraId="26897D38" w14:textId="77777777" w:rsidR="00C37FC5" w:rsidRDefault="00C37FC5" w:rsidP="00975DE5">
      <w:pPr>
        <w:jc w:val="both"/>
        <w:rPr>
          <w:lang w:val="el-GR"/>
        </w:rPr>
      </w:pPr>
      <w:r w:rsidRPr="00C37FC5">
        <w:rPr>
          <w:lang w:val="el-GR"/>
        </w:rPr>
        <w:t>Αυτό το πρόβλημα έχει τις ακόλουθες εισόδους:</w:t>
      </w:r>
    </w:p>
    <w:p w14:paraId="09F71C31" w14:textId="77777777" w:rsidR="00C37FC5" w:rsidRDefault="00C37FC5" w:rsidP="00975DE5">
      <w:pPr>
        <w:pStyle w:val="ListParagraph"/>
        <w:numPr>
          <w:ilvl w:val="0"/>
          <w:numId w:val="1"/>
        </w:numPr>
        <w:jc w:val="both"/>
        <w:rPr>
          <w:lang w:val="el-GR"/>
        </w:rPr>
      </w:pPr>
      <w:r w:rsidRPr="00C37FC5">
        <w:rPr>
          <w:lang w:val="el-GR"/>
        </w:rPr>
        <w:t xml:space="preserve">Συχνότητα, σε Hertz. </w:t>
      </w:r>
    </w:p>
    <w:p w14:paraId="12A6C57A" w14:textId="77777777" w:rsidR="00C37FC5" w:rsidRDefault="00C37FC5" w:rsidP="00975DE5">
      <w:pPr>
        <w:pStyle w:val="ListParagraph"/>
        <w:numPr>
          <w:ilvl w:val="0"/>
          <w:numId w:val="1"/>
        </w:numPr>
        <w:jc w:val="both"/>
        <w:rPr>
          <w:lang w:val="el-GR"/>
        </w:rPr>
      </w:pPr>
      <w:r w:rsidRPr="00C37FC5">
        <w:rPr>
          <w:lang w:val="el-GR"/>
        </w:rPr>
        <w:t xml:space="preserve">Γωνία επίθεσης, σε μοίρες. </w:t>
      </w:r>
    </w:p>
    <w:p w14:paraId="4D3E6939" w14:textId="77777777" w:rsidR="00C37FC5" w:rsidRDefault="00C37FC5" w:rsidP="00975DE5">
      <w:pPr>
        <w:pStyle w:val="ListParagraph"/>
        <w:numPr>
          <w:ilvl w:val="0"/>
          <w:numId w:val="1"/>
        </w:numPr>
        <w:jc w:val="both"/>
        <w:rPr>
          <w:lang w:val="el-GR"/>
        </w:rPr>
      </w:pPr>
      <w:r w:rsidRPr="00C37FC5">
        <w:rPr>
          <w:lang w:val="el-GR"/>
        </w:rPr>
        <w:t xml:space="preserve">Μήκος χορδής, σε μέτρα. </w:t>
      </w:r>
    </w:p>
    <w:p w14:paraId="2E4A7CC9" w14:textId="77777777" w:rsidR="00C37FC5" w:rsidRDefault="00C37FC5" w:rsidP="00975DE5">
      <w:pPr>
        <w:pStyle w:val="ListParagraph"/>
        <w:numPr>
          <w:ilvl w:val="0"/>
          <w:numId w:val="1"/>
        </w:numPr>
        <w:jc w:val="both"/>
        <w:rPr>
          <w:lang w:val="el-GR"/>
        </w:rPr>
      </w:pPr>
      <w:r w:rsidRPr="00C37FC5">
        <w:rPr>
          <w:lang w:val="el-GR"/>
        </w:rPr>
        <w:t xml:space="preserve">Ταχύτητα ελεύθερης ροής, σε μέτρα ανά δευτερόλεπτο. </w:t>
      </w:r>
    </w:p>
    <w:p w14:paraId="4ADA065E" w14:textId="6E578306" w:rsidR="00C37FC5" w:rsidRPr="00C37FC5" w:rsidRDefault="00C37FC5" w:rsidP="00975DE5">
      <w:pPr>
        <w:pStyle w:val="ListParagraph"/>
        <w:numPr>
          <w:ilvl w:val="0"/>
          <w:numId w:val="1"/>
        </w:numPr>
        <w:jc w:val="both"/>
        <w:rPr>
          <w:lang w:val="el-GR"/>
        </w:rPr>
      </w:pPr>
      <w:r w:rsidRPr="00C37FC5">
        <w:rPr>
          <w:lang w:val="el-GR"/>
        </w:rPr>
        <w:t>Πάχος μετατόπισης πλευρικής αναρρόφησης, σε μέτρα.</w:t>
      </w:r>
    </w:p>
    <w:p w14:paraId="693BC8E4" w14:textId="77777777" w:rsidR="00C37FC5" w:rsidRDefault="00C37FC5" w:rsidP="00975DE5">
      <w:pPr>
        <w:jc w:val="both"/>
        <w:rPr>
          <w:lang w:val="el-GR"/>
        </w:rPr>
      </w:pPr>
      <w:r w:rsidRPr="00C37FC5">
        <w:rPr>
          <w:lang w:val="el-GR"/>
        </w:rPr>
        <w:t>Η μόνη έξοδος είναι:</w:t>
      </w:r>
    </w:p>
    <w:p w14:paraId="61332181" w14:textId="26FD94A2" w:rsidR="00C37FC5" w:rsidRPr="00C37FC5" w:rsidRDefault="00C37FC5" w:rsidP="00975DE5">
      <w:pPr>
        <w:pStyle w:val="ListParagraph"/>
        <w:numPr>
          <w:ilvl w:val="0"/>
          <w:numId w:val="2"/>
        </w:numPr>
        <w:jc w:val="both"/>
        <w:rPr>
          <w:lang w:val="el-GR"/>
        </w:rPr>
      </w:pPr>
      <w:r w:rsidRPr="00C37FC5">
        <w:rPr>
          <w:lang w:val="el-GR"/>
        </w:rPr>
        <w:t>Κλίμακα στάθμης ηχητικής πίεσης, σε ντεσιμπέλ</w:t>
      </w:r>
    </w:p>
    <w:p w14:paraId="1A7B8BBA" w14:textId="41E55EC3" w:rsidR="00C64DDA" w:rsidRDefault="001E4CB4" w:rsidP="00975DE5">
      <w:pPr>
        <w:jc w:val="both"/>
        <w:rPr>
          <w:lang w:val="el-GR"/>
        </w:rPr>
      </w:pPr>
      <w:bookmarkStart w:id="0" w:name="_Hlk66006748"/>
      <w:r>
        <w:rPr>
          <w:lang w:val="el-GR"/>
        </w:rPr>
        <w:t xml:space="preserve">Μετά την αναδιάταξη του συνόλου δεδομένων με τυχαίο τρόπο και το διαμερισμό του σε μη επικαλυπτόμενα σύνολα εκπαίδευσης, επικύρωσης και ελέγχου, όπως ορίζει η εκφώνηση της εργασίας, δημιουργούνται τα τέσσερα μοντέλα </w:t>
      </w:r>
      <w:r>
        <w:t>TSK</w:t>
      </w:r>
      <w:r w:rsidRPr="001E4CB4">
        <w:rPr>
          <w:lang w:val="el-GR"/>
        </w:rPr>
        <w:t xml:space="preserve"> </w:t>
      </w:r>
      <w:r>
        <w:rPr>
          <w:lang w:val="el-GR"/>
        </w:rPr>
        <w:t xml:space="preserve">που ζητούνται. </w:t>
      </w:r>
      <w:bookmarkStart w:id="1" w:name="_Hlk66023773"/>
      <w:r>
        <w:rPr>
          <w:lang w:val="el-GR"/>
        </w:rPr>
        <w:t xml:space="preserve">Μετά την εκπαίδευση των μοντέλων με τη χρήση μια υβριδικής μεθόδου, κατά την οποία οι παράμετροι των συναρτήσεων συμμετοχής και της πολυωνυμικής συνάρτησης βελτιστοποιούνται με τις μεθόδους του </w:t>
      </w:r>
      <w:r>
        <w:t>back</w:t>
      </w:r>
      <w:r w:rsidRPr="001E4CB4">
        <w:rPr>
          <w:lang w:val="el-GR"/>
        </w:rPr>
        <w:t xml:space="preserve"> </w:t>
      </w:r>
      <w:r>
        <w:t>propagation</w:t>
      </w:r>
      <w:r w:rsidRPr="001E4CB4">
        <w:rPr>
          <w:lang w:val="el-GR"/>
        </w:rPr>
        <w:t xml:space="preserve"> </w:t>
      </w:r>
      <w:r>
        <w:rPr>
          <w:lang w:val="el-GR"/>
        </w:rPr>
        <w:t xml:space="preserve">και των ελαχίστων τετραγώνων εξόδου αντίστοιχα, παρουσιάζονται οι συναρτήσεις συμμετοχής </w:t>
      </w:r>
      <w:r w:rsidR="00C37FC5">
        <w:rPr>
          <w:lang w:val="el-GR"/>
        </w:rPr>
        <w:t xml:space="preserve">των εισόδων </w:t>
      </w:r>
      <w:r>
        <w:rPr>
          <w:lang w:val="el-GR"/>
        </w:rPr>
        <w:t>που προέκυψαν στα παρακάτω σχήματα</w:t>
      </w:r>
      <w:bookmarkEnd w:id="0"/>
      <w:bookmarkEnd w:id="1"/>
      <w:r w:rsidR="00C95F5B">
        <w:rPr>
          <w:noProof/>
          <w:lang w:val="el-GR"/>
        </w:rPr>
        <w:drawing>
          <wp:anchor distT="0" distB="0" distL="114300" distR="114300" simplePos="0" relativeHeight="251658240" behindDoc="0" locked="0" layoutInCell="1" allowOverlap="1" wp14:anchorId="3908E4A8" wp14:editId="28C8FED8">
            <wp:simplePos x="914400" y="5202555"/>
            <wp:positionH relativeFrom="margin">
              <wp:align>center</wp:align>
            </wp:positionH>
            <wp:positionV relativeFrom="margin">
              <wp:align>bottom</wp:align>
            </wp:positionV>
            <wp:extent cx="4878070" cy="3657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4878070" cy="3657600"/>
                    </a:xfrm>
                    <a:prstGeom prst="rect">
                      <a:avLst/>
                    </a:prstGeom>
                  </pic:spPr>
                </pic:pic>
              </a:graphicData>
            </a:graphic>
          </wp:anchor>
        </w:drawing>
      </w:r>
      <w:r w:rsidR="00C95F5B">
        <w:rPr>
          <w:lang w:val="el-GR"/>
        </w:rPr>
        <w:t>.</w:t>
      </w:r>
    </w:p>
    <w:p w14:paraId="36AFC1C1" w14:textId="6D566C4F" w:rsidR="001E4CB4" w:rsidRDefault="003D7211" w:rsidP="00C95F5B">
      <w:pPr>
        <w:jc w:val="center"/>
        <w:rPr>
          <w:lang w:val="el-GR"/>
        </w:rPr>
      </w:pPr>
      <w:r>
        <w:rPr>
          <w:noProof/>
          <w:lang w:val="el-GR"/>
        </w:rPr>
        <w:lastRenderedPageBreak/>
        <w:drawing>
          <wp:inline distT="0" distB="0" distL="0" distR="0" wp14:anchorId="236A92D9" wp14:editId="4CF385C7">
            <wp:extent cx="4878659"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878659" cy="3657600"/>
                    </a:xfrm>
                    <a:prstGeom prst="rect">
                      <a:avLst/>
                    </a:prstGeom>
                  </pic:spPr>
                </pic:pic>
              </a:graphicData>
            </a:graphic>
          </wp:inline>
        </w:drawing>
      </w:r>
      <w:r>
        <w:rPr>
          <w:noProof/>
          <w:lang w:val="el-GR"/>
        </w:rPr>
        <w:drawing>
          <wp:inline distT="0" distB="0" distL="0" distR="0" wp14:anchorId="5BFF0727" wp14:editId="2A0DF6D4">
            <wp:extent cx="4878659"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878659" cy="3657600"/>
                    </a:xfrm>
                    <a:prstGeom prst="rect">
                      <a:avLst/>
                    </a:prstGeom>
                  </pic:spPr>
                </pic:pic>
              </a:graphicData>
            </a:graphic>
          </wp:inline>
        </w:drawing>
      </w:r>
      <w:r>
        <w:rPr>
          <w:noProof/>
          <w:lang w:val="el-GR"/>
        </w:rPr>
        <w:drawing>
          <wp:inline distT="0" distB="0" distL="0" distR="0" wp14:anchorId="164244A9" wp14:editId="2DBFE816">
            <wp:extent cx="4878659"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878659" cy="3657600"/>
                    </a:xfrm>
                    <a:prstGeom prst="rect">
                      <a:avLst/>
                    </a:prstGeom>
                  </pic:spPr>
                </pic:pic>
              </a:graphicData>
            </a:graphic>
          </wp:inline>
        </w:drawing>
      </w:r>
    </w:p>
    <w:p w14:paraId="558DD66E" w14:textId="523332CE" w:rsidR="00B30CA2" w:rsidRDefault="00B30CA2" w:rsidP="00B30CA2">
      <w:pPr>
        <w:jc w:val="both"/>
        <w:rPr>
          <w:noProof/>
          <w:lang w:val="el-GR"/>
        </w:rPr>
      </w:pPr>
      <w:r>
        <w:rPr>
          <w:noProof/>
          <w:lang w:val="el-GR"/>
        </w:rPr>
        <w:drawing>
          <wp:anchor distT="0" distB="0" distL="114300" distR="114300" simplePos="0" relativeHeight="251660288" behindDoc="0" locked="0" layoutInCell="1" allowOverlap="1" wp14:anchorId="74551DF7" wp14:editId="4F104564">
            <wp:simplePos x="0" y="0"/>
            <wp:positionH relativeFrom="margin">
              <wp:posOffset>306705</wp:posOffset>
            </wp:positionH>
            <wp:positionV relativeFrom="margin">
              <wp:posOffset>4340225</wp:posOffset>
            </wp:positionV>
            <wp:extent cx="5162188" cy="3657600"/>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2188" cy="3657600"/>
                    </a:xfrm>
                    <a:prstGeom prst="rect">
                      <a:avLst/>
                    </a:prstGeom>
                  </pic:spPr>
                </pic:pic>
              </a:graphicData>
            </a:graphic>
            <wp14:sizeRelH relativeFrom="margin">
              <wp14:pctWidth>0</wp14:pctWidth>
            </wp14:sizeRelH>
            <wp14:sizeRelV relativeFrom="margin">
              <wp14:pctHeight>0</wp14:pctHeight>
            </wp14:sizeRelV>
          </wp:anchor>
        </w:drawing>
      </w:r>
      <w:r w:rsidR="00F47DEC">
        <w:rPr>
          <w:lang w:val="el-GR"/>
        </w:rPr>
        <w:t>Παρακάτω παρουσιάζονται επίσης οι καμπύλες εκμάθησης και τα σφάλματα πρόβλεψης των τεσσάρων μοντέλων.</w:t>
      </w:r>
      <w:r w:rsidR="00C95F5B" w:rsidRPr="00C95F5B">
        <w:rPr>
          <w:noProof/>
          <w:lang w:val="el-GR"/>
        </w:rPr>
        <w:t xml:space="preserve"> </w:t>
      </w:r>
    </w:p>
    <w:p w14:paraId="104C39AC" w14:textId="7776045E" w:rsidR="00F47DEC" w:rsidRDefault="00B30CA2" w:rsidP="00B30CA2">
      <w:pPr>
        <w:jc w:val="both"/>
        <w:rPr>
          <w:lang w:val="el-GR"/>
        </w:rPr>
      </w:pPr>
      <w:r>
        <w:rPr>
          <w:noProof/>
          <w:lang w:val="el-GR"/>
        </w:rPr>
        <w:drawing>
          <wp:anchor distT="0" distB="0" distL="114300" distR="114300" simplePos="0" relativeHeight="251659264" behindDoc="0" locked="0" layoutInCell="1" allowOverlap="1" wp14:anchorId="3E0C8B64" wp14:editId="027D3179">
            <wp:simplePos x="0" y="0"/>
            <wp:positionH relativeFrom="margin">
              <wp:align>center</wp:align>
            </wp:positionH>
            <wp:positionV relativeFrom="margin">
              <wp:align>top</wp:align>
            </wp:positionV>
            <wp:extent cx="5333365" cy="3998595"/>
            <wp:effectExtent l="0" t="0" r="63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333365" cy="3998595"/>
                    </a:xfrm>
                    <a:prstGeom prst="rect">
                      <a:avLst/>
                    </a:prstGeom>
                  </pic:spPr>
                </pic:pic>
              </a:graphicData>
            </a:graphic>
          </wp:anchor>
        </w:drawing>
      </w:r>
    </w:p>
    <w:p w14:paraId="68B5FB1E" w14:textId="286F9860" w:rsidR="004F2444" w:rsidRDefault="00F47DEC" w:rsidP="00975DE5">
      <w:pPr>
        <w:jc w:val="both"/>
        <w:rPr>
          <w:lang w:val="el-GR"/>
        </w:rPr>
      </w:pPr>
      <w:r>
        <w:rPr>
          <w:lang w:val="el-GR"/>
        </w:rPr>
        <w:t xml:space="preserve">Μετά το πέρας της διαδικασίας εκπαίδευσης και επικύρωσης, χρησιμοποιούμε τον τελευταίο διαμερισμό του συνόλου δεδομένων για τον έλεγχο της απόδοσης των μοντέλων που παράχθηκαν. Για κάθε ένα από αυτά τα μοντέλα προκύπτουν από το </w:t>
      </w:r>
      <w:r>
        <w:t>testing</w:t>
      </w:r>
      <w:r w:rsidRPr="00F47DEC">
        <w:rPr>
          <w:lang w:val="el-GR"/>
        </w:rPr>
        <w:t xml:space="preserve"> </w:t>
      </w:r>
      <w:r>
        <w:rPr>
          <w:lang w:val="el-GR"/>
        </w:rPr>
        <w:t>οι ζητούμενες παράμετροι εκτίμησης σφάλματος ως δείκτες απόδοσης. Τα αποτελέσματα παρουσιάζονται στον παρακάτω πίνακα.</w:t>
      </w:r>
    </w:p>
    <w:tbl>
      <w:tblPr>
        <w:tblStyle w:val="TableGrid"/>
        <w:tblW w:w="0" w:type="auto"/>
        <w:jc w:val="center"/>
        <w:tblLook w:val="04A0" w:firstRow="1" w:lastRow="0" w:firstColumn="1" w:lastColumn="0" w:noHBand="0" w:noVBand="1"/>
      </w:tblPr>
      <w:tblGrid>
        <w:gridCol w:w="1659"/>
        <w:gridCol w:w="1659"/>
        <w:gridCol w:w="1659"/>
        <w:gridCol w:w="1659"/>
        <w:gridCol w:w="1660"/>
      </w:tblGrid>
      <w:tr w:rsidR="00643ECF" w14:paraId="28C531C7" w14:textId="77777777" w:rsidTr="00643ECF">
        <w:trPr>
          <w:jc w:val="center"/>
        </w:trPr>
        <w:tc>
          <w:tcPr>
            <w:tcW w:w="1659" w:type="dxa"/>
            <w:tcBorders>
              <w:top w:val="nil"/>
              <w:left w:val="nil"/>
              <w:bottom w:val="single" w:sz="4" w:space="0" w:color="auto"/>
              <w:right w:val="nil"/>
            </w:tcBorders>
            <w:shd w:val="clear" w:color="auto" w:fill="FFFFFF" w:themeFill="background1"/>
          </w:tcPr>
          <w:p w14:paraId="2DF4514B" w14:textId="77777777" w:rsidR="00643ECF" w:rsidRPr="00054AD5" w:rsidRDefault="00643ECF" w:rsidP="00777093">
            <w:pPr>
              <w:jc w:val="center"/>
              <w:rPr>
                <w:iCs/>
              </w:rPr>
            </w:pPr>
          </w:p>
        </w:tc>
        <w:tc>
          <w:tcPr>
            <w:tcW w:w="1659" w:type="dxa"/>
            <w:tcBorders>
              <w:left w:val="nil"/>
            </w:tcBorders>
            <w:shd w:val="clear" w:color="auto" w:fill="C9C9C9" w:themeFill="accent3" w:themeFillTint="99"/>
          </w:tcPr>
          <w:p w14:paraId="10DF636B" w14:textId="77777777" w:rsidR="00643ECF" w:rsidRPr="00054AD5" w:rsidRDefault="00643ECF" w:rsidP="00777093">
            <w:pPr>
              <w:jc w:val="center"/>
              <w:rPr>
                <w:b/>
                <w:bCs/>
                <w:iCs/>
                <w:lang w:val="en-US"/>
              </w:rPr>
            </w:pPr>
            <m:oMathPara>
              <m:oMath>
                <m:r>
                  <m:rPr>
                    <m:sty m:val="bi"/>
                  </m:rPr>
                  <w:rPr>
                    <w:rFonts w:ascii="Cambria Math" w:hAnsi="Cambria Math"/>
                    <w:lang w:val="en-US"/>
                  </w:rPr>
                  <m:t>RMSE</m:t>
                </m:r>
              </m:oMath>
            </m:oMathPara>
          </w:p>
        </w:tc>
        <w:tc>
          <w:tcPr>
            <w:tcW w:w="1659" w:type="dxa"/>
            <w:shd w:val="clear" w:color="auto" w:fill="C9C9C9" w:themeFill="accent3" w:themeFillTint="99"/>
          </w:tcPr>
          <w:p w14:paraId="64F5CA0C" w14:textId="77777777" w:rsidR="00643ECF" w:rsidRPr="00054AD5" w:rsidRDefault="00643ECF" w:rsidP="00777093">
            <w:pPr>
              <w:jc w:val="center"/>
              <w:rPr>
                <w:b/>
                <w:bCs/>
                <w:iCs/>
                <w:lang w:val="en-US"/>
              </w:rPr>
            </w:pPr>
            <m:oMathPara>
              <m:oMath>
                <m:r>
                  <m:rPr>
                    <m:sty m:val="bi"/>
                  </m:rPr>
                  <w:rPr>
                    <w:rFonts w:ascii="Cambria Math" w:hAnsi="Cambria Math"/>
                    <w:lang w:val="en-US"/>
                  </w:rPr>
                  <m:t>NMSE</m:t>
                </m:r>
              </m:oMath>
            </m:oMathPara>
          </w:p>
        </w:tc>
        <w:tc>
          <w:tcPr>
            <w:tcW w:w="1659" w:type="dxa"/>
            <w:shd w:val="clear" w:color="auto" w:fill="C9C9C9" w:themeFill="accent3" w:themeFillTint="99"/>
          </w:tcPr>
          <w:p w14:paraId="445527D1" w14:textId="77777777" w:rsidR="00643ECF" w:rsidRPr="00054AD5" w:rsidRDefault="00643ECF" w:rsidP="00777093">
            <w:pPr>
              <w:jc w:val="center"/>
              <w:rPr>
                <w:b/>
                <w:bCs/>
                <w:iCs/>
                <w:lang w:val="en-US"/>
              </w:rPr>
            </w:pPr>
            <m:oMathPara>
              <m:oMath>
                <m:r>
                  <m:rPr>
                    <m:sty m:val="bi"/>
                  </m:rPr>
                  <w:rPr>
                    <w:rFonts w:ascii="Cambria Math" w:hAnsi="Cambria Math"/>
                    <w:lang w:val="en-US"/>
                  </w:rPr>
                  <m:t>NDEI</m:t>
                </m:r>
              </m:oMath>
            </m:oMathPara>
          </w:p>
        </w:tc>
        <w:tc>
          <w:tcPr>
            <w:tcW w:w="1660" w:type="dxa"/>
            <w:shd w:val="clear" w:color="auto" w:fill="C9C9C9" w:themeFill="accent3" w:themeFillTint="99"/>
          </w:tcPr>
          <w:p w14:paraId="11E567A0" w14:textId="77777777" w:rsidR="00643ECF" w:rsidRPr="00054AD5" w:rsidRDefault="00C6265D" w:rsidP="00777093">
            <w:pPr>
              <w:jc w:val="center"/>
              <w:rPr>
                <w:b/>
                <w:bCs/>
                <w:iCs/>
                <w:lang w:val="en-US"/>
              </w:rPr>
            </w:pPr>
            <m:oMathPara>
              <m:oMath>
                <m:sSup>
                  <m:sSupPr>
                    <m:ctrlPr>
                      <w:rPr>
                        <w:rFonts w:ascii="Cambria Math" w:hAnsi="Cambria Math"/>
                        <w:b/>
                        <w:bCs/>
                        <w:i/>
                        <w:iCs/>
                        <w:lang w:val="en-US"/>
                      </w:rPr>
                    </m:ctrlPr>
                  </m:sSupPr>
                  <m:e>
                    <m:r>
                      <m:rPr>
                        <m:sty m:val="bi"/>
                      </m:rPr>
                      <w:rPr>
                        <w:rFonts w:ascii="Cambria Math" w:hAnsi="Cambria Math"/>
                        <w:lang w:val="en-US"/>
                      </w:rPr>
                      <m:t>R</m:t>
                    </m:r>
                  </m:e>
                  <m:sup>
                    <m:r>
                      <m:rPr>
                        <m:sty m:val="bi"/>
                      </m:rPr>
                      <w:rPr>
                        <w:rFonts w:ascii="Cambria Math" w:hAnsi="Cambria Math"/>
                        <w:lang w:val="en-US"/>
                      </w:rPr>
                      <m:t>2</m:t>
                    </m:r>
                  </m:sup>
                </m:sSup>
              </m:oMath>
            </m:oMathPara>
          </w:p>
        </w:tc>
      </w:tr>
      <w:tr w:rsidR="00643ECF" w:rsidRPr="00643ECF" w14:paraId="5650A30D" w14:textId="77777777" w:rsidTr="00643ECF">
        <w:trPr>
          <w:jc w:val="center"/>
        </w:trPr>
        <w:tc>
          <w:tcPr>
            <w:tcW w:w="1659" w:type="dxa"/>
            <w:tcBorders>
              <w:top w:val="single" w:sz="4" w:space="0" w:color="auto"/>
            </w:tcBorders>
            <w:shd w:val="clear" w:color="auto" w:fill="C9C9C9" w:themeFill="accent3" w:themeFillTint="99"/>
          </w:tcPr>
          <w:p w14:paraId="3013722A" w14:textId="77777777" w:rsidR="00643ECF" w:rsidRPr="00054AD5" w:rsidRDefault="00643ECF" w:rsidP="00777093">
            <w:pPr>
              <w:jc w:val="center"/>
              <w:rPr>
                <w:b/>
                <w:bCs/>
                <w:iCs/>
                <w:lang w:val="en-US"/>
              </w:rPr>
            </w:pPr>
            <w:r w:rsidRPr="00054AD5">
              <w:rPr>
                <w:b/>
                <w:bCs/>
                <w:iCs/>
                <w:lang w:val="en-US"/>
              </w:rPr>
              <w:t>TSK model 1</w:t>
            </w:r>
          </w:p>
        </w:tc>
        <w:tc>
          <w:tcPr>
            <w:tcW w:w="1659" w:type="dxa"/>
          </w:tcPr>
          <w:p w14:paraId="750F8B0C" w14:textId="585F3212" w:rsidR="00643ECF" w:rsidRPr="00054AD5" w:rsidRDefault="00643ECF" w:rsidP="00777093">
            <w:pPr>
              <w:jc w:val="center"/>
              <w:rPr>
                <w:iCs/>
                <w:lang w:val="en-US"/>
              </w:rPr>
            </w:pPr>
            <m:oMathPara>
              <m:oMath>
                <m:r>
                  <w:rPr>
                    <w:rFonts w:ascii="Cambria Math" w:hAnsi="Cambria Math"/>
                    <w:lang w:val="en-US"/>
                  </w:rPr>
                  <m:t>5.028</m:t>
                </m:r>
              </m:oMath>
            </m:oMathPara>
          </w:p>
        </w:tc>
        <w:tc>
          <w:tcPr>
            <w:tcW w:w="1659" w:type="dxa"/>
          </w:tcPr>
          <w:p w14:paraId="70564ABC" w14:textId="63B3D6BB" w:rsidR="00643ECF" w:rsidRPr="00054AD5" w:rsidRDefault="00643ECF" w:rsidP="00777093">
            <w:pPr>
              <w:jc w:val="center"/>
              <w:rPr>
                <w:iCs/>
              </w:rPr>
            </w:pPr>
            <m:oMathPara>
              <m:oMath>
                <m:r>
                  <w:rPr>
                    <w:rFonts w:ascii="Cambria Math" w:hAnsi="Cambria Math"/>
                    <w:lang w:val="en-US"/>
                  </w:rPr>
                  <m:t>0.0016</m:t>
                </m:r>
              </m:oMath>
            </m:oMathPara>
          </w:p>
        </w:tc>
        <w:tc>
          <w:tcPr>
            <w:tcW w:w="1659" w:type="dxa"/>
          </w:tcPr>
          <w:p w14:paraId="397E0668" w14:textId="2E9B41C6" w:rsidR="00643ECF" w:rsidRPr="00387D9A" w:rsidRDefault="00643ECF" w:rsidP="00777093">
            <w:pPr>
              <w:jc w:val="center"/>
              <w:rPr>
                <w:iCs/>
                <w:lang w:val="en-US"/>
              </w:rPr>
            </w:pPr>
            <m:oMathPara>
              <m:oMath>
                <m:r>
                  <w:rPr>
                    <w:rFonts w:ascii="Cambria Math" w:hAnsi="Cambria Math"/>
                    <w:lang w:val="en-US"/>
                  </w:rPr>
                  <m:t>0.0401</m:t>
                </m:r>
              </m:oMath>
            </m:oMathPara>
          </w:p>
        </w:tc>
        <w:tc>
          <w:tcPr>
            <w:tcW w:w="1660" w:type="dxa"/>
          </w:tcPr>
          <w:p w14:paraId="32C8A437" w14:textId="197F3AA4" w:rsidR="00643ECF" w:rsidRPr="00387D9A" w:rsidRDefault="00643ECF" w:rsidP="00777093">
            <w:pPr>
              <w:jc w:val="center"/>
              <w:rPr>
                <w:iCs/>
                <w:lang w:val="en-US"/>
              </w:rPr>
            </w:pPr>
            <m:oMathPara>
              <m:oMath>
                <m:r>
                  <w:rPr>
                    <w:rFonts w:ascii="Cambria Math" w:hAnsi="Cambria Math"/>
                    <w:lang w:val="en-US"/>
                  </w:rPr>
                  <m:t>0.9984</m:t>
                </m:r>
              </m:oMath>
            </m:oMathPara>
          </w:p>
        </w:tc>
      </w:tr>
      <w:tr w:rsidR="00643ECF" w14:paraId="00ECAC0E" w14:textId="77777777" w:rsidTr="00643ECF">
        <w:trPr>
          <w:jc w:val="center"/>
        </w:trPr>
        <w:tc>
          <w:tcPr>
            <w:tcW w:w="1659" w:type="dxa"/>
            <w:shd w:val="clear" w:color="auto" w:fill="C9C9C9" w:themeFill="accent3" w:themeFillTint="99"/>
          </w:tcPr>
          <w:p w14:paraId="6E8C1817" w14:textId="77777777" w:rsidR="00643ECF" w:rsidRPr="00054AD5" w:rsidRDefault="00643ECF" w:rsidP="00777093">
            <w:pPr>
              <w:jc w:val="center"/>
              <w:rPr>
                <w:b/>
                <w:bCs/>
                <w:iCs/>
                <w:lang w:val="en-US"/>
              </w:rPr>
            </w:pPr>
            <w:r w:rsidRPr="00054AD5">
              <w:rPr>
                <w:b/>
                <w:bCs/>
                <w:iCs/>
                <w:lang w:val="en-US"/>
              </w:rPr>
              <w:t>TSK model 2</w:t>
            </w:r>
          </w:p>
        </w:tc>
        <w:tc>
          <w:tcPr>
            <w:tcW w:w="1659" w:type="dxa"/>
          </w:tcPr>
          <w:p w14:paraId="0F85198D" w14:textId="45DBF109" w:rsidR="00643ECF" w:rsidRPr="00054AD5" w:rsidRDefault="00643ECF" w:rsidP="00777093">
            <w:pPr>
              <w:jc w:val="center"/>
              <w:rPr>
                <w:iCs/>
              </w:rPr>
            </w:pPr>
            <m:oMathPara>
              <m:oMath>
                <m:r>
                  <w:rPr>
                    <w:rFonts w:ascii="Cambria Math" w:hAnsi="Cambria Math"/>
                    <w:lang w:val="en-US"/>
                  </w:rPr>
                  <m:t>13.6315</m:t>
                </m:r>
              </m:oMath>
            </m:oMathPara>
          </w:p>
        </w:tc>
        <w:tc>
          <w:tcPr>
            <w:tcW w:w="1659" w:type="dxa"/>
          </w:tcPr>
          <w:p w14:paraId="0031FEFB" w14:textId="54E8FE0C" w:rsidR="00643ECF" w:rsidRPr="00054AD5" w:rsidRDefault="00643ECF" w:rsidP="00777093">
            <w:pPr>
              <w:jc w:val="center"/>
              <w:rPr>
                <w:iCs/>
              </w:rPr>
            </w:pPr>
            <m:oMathPara>
              <m:oMath>
                <m:r>
                  <w:rPr>
                    <w:rFonts w:ascii="Cambria Math" w:hAnsi="Cambria Math"/>
                    <w:lang w:val="en-US"/>
                  </w:rPr>
                  <m:t>0.0118</m:t>
                </m:r>
              </m:oMath>
            </m:oMathPara>
          </w:p>
        </w:tc>
        <w:tc>
          <w:tcPr>
            <w:tcW w:w="1659" w:type="dxa"/>
          </w:tcPr>
          <w:p w14:paraId="190FA4F9" w14:textId="1AE1C505" w:rsidR="00643ECF" w:rsidRPr="00054AD5" w:rsidRDefault="00643ECF" w:rsidP="00777093">
            <w:pPr>
              <w:jc w:val="center"/>
              <w:rPr>
                <w:iCs/>
              </w:rPr>
            </w:pPr>
            <m:oMathPara>
              <m:oMath>
                <m:r>
                  <w:rPr>
                    <w:rFonts w:ascii="Cambria Math" w:hAnsi="Cambria Math"/>
                    <w:lang w:val="en-US"/>
                  </w:rPr>
                  <m:t>0.1088</m:t>
                </m:r>
              </m:oMath>
            </m:oMathPara>
          </w:p>
        </w:tc>
        <w:tc>
          <w:tcPr>
            <w:tcW w:w="1660" w:type="dxa"/>
          </w:tcPr>
          <w:p w14:paraId="0838AA5F" w14:textId="5DD7C8B3" w:rsidR="00643ECF" w:rsidRPr="00054AD5" w:rsidRDefault="00643ECF" w:rsidP="00777093">
            <w:pPr>
              <w:jc w:val="center"/>
              <w:rPr>
                <w:iCs/>
              </w:rPr>
            </w:pPr>
            <m:oMathPara>
              <m:oMath>
                <m:r>
                  <w:rPr>
                    <w:rFonts w:ascii="Cambria Math" w:hAnsi="Cambria Math"/>
                    <w:lang w:val="en-US"/>
                  </w:rPr>
                  <m:t>0.9882</m:t>
                </m:r>
              </m:oMath>
            </m:oMathPara>
          </w:p>
        </w:tc>
      </w:tr>
      <w:tr w:rsidR="00643ECF" w14:paraId="2C82FA5E" w14:textId="77777777" w:rsidTr="00643ECF">
        <w:trPr>
          <w:jc w:val="center"/>
        </w:trPr>
        <w:tc>
          <w:tcPr>
            <w:tcW w:w="1659" w:type="dxa"/>
            <w:shd w:val="clear" w:color="auto" w:fill="C9C9C9" w:themeFill="accent3" w:themeFillTint="99"/>
          </w:tcPr>
          <w:p w14:paraId="12913AD6" w14:textId="77777777" w:rsidR="00643ECF" w:rsidRPr="00054AD5" w:rsidRDefault="00643ECF" w:rsidP="00777093">
            <w:pPr>
              <w:jc w:val="center"/>
              <w:rPr>
                <w:b/>
                <w:bCs/>
                <w:iCs/>
                <w:lang w:val="en-US"/>
              </w:rPr>
            </w:pPr>
            <w:r w:rsidRPr="00054AD5">
              <w:rPr>
                <w:b/>
                <w:bCs/>
                <w:iCs/>
                <w:lang w:val="en-US"/>
              </w:rPr>
              <w:t>TSK model 3</w:t>
            </w:r>
          </w:p>
        </w:tc>
        <w:tc>
          <w:tcPr>
            <w:tcW w:w="1659" w:type="dxa"/>
          </w:tcPr>
          <w:p w14:paraId="688ACDAF" w14:textId="54F4FE0C" w:rsidR="00643ECF" w:rsidRPr="00054AD5" w:rsidRDefault="00643ECF" w:rsidP="00777093">
            <w:pPr>
              <w:jc w:val="center"/>
              <w:rPr>
                <w:iCs/>
              </w:rPr>
            </w:pPr>
            <m:oMathPara>
              <m:oMath>
                <m:r>
                  <w:rPr>
                    <w:rFonts w:ascii="Cambria Math" w:hAnsi="Cambria Math"/>
                    <w:lang w:val="en-US"/>
                  </w:rPr>
                  <m:t>4.3292</m:t>
                </m:r>
              </m:oMath>
            </m:oMathPara>
          </w:p>
        </w:tc>
        <w:tc>
          <w:tcPr>
            <w:tcW w:w="1659" w:type="dxa"/>
          </w:tcPr>
          <w:p w14:paraId="300194FA" w14:textId="3235E188" w:rsidR="00643ECF" w:rsidRPr="00054AD5" w:rsidRDefault="00643ECF" w:rsidP="00777093">
            <w:pPr>
              <w:jc w:val="center"/>
              <w:rPr>
                <w:iCs/>
              </w:rPr>
            </w:pPr>
            <m:oMathPara>
              <m:oMath>
                <m:r>
                  <w:rPr>
                    <w:rFonts w:ascii="Cambria Math" w:hAnsi="Cambria Math"/>
                    <w:lang w:val="en-US"/>
                  </w:rPr>
                  <m:t>0.0012</m:t>
                </m:r>
              </m:oMath>
            </m:oMathPara>
          </w:p>
        </w:tc>
        <w:tc>
          <w:tcPr>
            <w:tcW w:w="1659" w:type="dxa"/>
          </w:tcPr>
          <w:p w14:paraId="47BCF963" w14:textId="1CB32DB2" w:rsidR="00643ECF" w:rsidRPr="00054AD5" w:rsidRDefault="00643ECF" w:rsidP="00777093">
            <w:pPr>
              <w:jc w:val="center"/>
              <w:rPr>
                <w:iCs/>
              </w:rPr>
            </w:pPr>
            <m:oMathPara>
              <m:oMath>
                <m:r>
                  <w:rPr>
                    <w:rFonts w:ascii="Cambria Math" w:hAnsi="Cambria Math"/>
                    <w:lang w:val="en-US"/>
                  </w:rPr>
                  <m:t>0.0346</m:t>
                </m:r>
              </m:oMath>
            </m:oMathPara>
          </w:p>
        </w:tc>
        <w:tc>
          <w:tcPr>
            <w:tcW w:w="1660" w:type="dxa"/>
          </w:tcPr>
          <w:p w14:paraId="37B81824" w14:textId="4E98BD21" w:rsidR="00643ECF" w:rsidRPr="00054AD5" w:rsidRDefault="00643ECF" w:rsidP="00777093">
            <w:pPr>
              <w:jc w:val="center"/>
              <w:rPr>
                <w:iCs/>
              </w:rPr>
            </w:pPr>
            <m:oMathPara>
              <m:oMath>
                <m:r>
                  <w:rPr>
                    <w:rFonts w:ascii="Cambria Math" w:hAnsi="Cambria Math"/>
                    <w:lang w:val="en-US"/>
                  </w:rPr>
                  <m:t>0.9988</m:t>
                </m:r>
              </m:oMath>
            </m:oMathPara>
          </w:p>
        </w:tc>
      </w:tr>
      <w:tr w:rsidR="00643ECF" w:rsidRPr="00E14439" w14:paraId="170D9C4D" w14:textId="77777777" w:rsidTr="00643ECF">
        <w:trPr>
          <w:jc w:val="center"/>
        </w:trPr>
        <w:tc>
          <w:tcPr>
            <w:tcW w:w="1659" w:type="dxa"/>
            <w:shd w:val="clear" w:color="auto" w:fill="C9C9C9" w:themeFill="accent3" w:themeFillTint="99"/>
          </w:tcPr>
          <w:p w14:paraId="37CBA118" w14:textId="77777777" w:rsidR="00643ECF" w:rsidRPr="00054AD5" w:rsidRDefault="00643ECF" w:rsidP="00777093">
            <w:pPr>
              <w:jc w:val="center"/>
              <w:rPr>
                <w:b/>
                <w:bCs/>
                <w:iCs/>
                <w:lang w:val="en-US"/>
              </w:rPr>
            </w:pPr>
            <w:r w:rsidRPr="00054AD5">
              <w:rPr>
                <w:b/>
                <w:bCs/>
                <w:iCs/>
                <w:lang w:val="en-US"/>
              </w:rPr>
              <w:t>TSK model 4</w:t>
            </w:r>
          </w:p>
        </w:tc>
        <w:tc>
          <w:tcPr>
            <w:tcW w:w="1659" w:type="dxa"/>
          </w:tcPr>
          <w:p w14:paraId="19EFF15C" w14:textId="534E27AE" w:rsidR="00643ECF" w:rsidRPr="00054AD5" w:rsidRDefault="00643ECF" w:rsidP="00777093">
            <w:pPr>
              <w:jc w:val="center"/>
              <w:rPr>
                <w:iCs/>
              </w:rPr>
            </w:pPr>
            <m:oMathPara>
              <m:oMath>
                <m:r>
                  <w:rPr>
                    <w:rFonts w:ascii="Cambria Math" w:hAnsi="Cambria Math"/>
                    <w:lang w:val="en-US"/>
                  </w:rPr>
                  <m:t>3043.3</m:t>
                </m:r>
              </m:oMath>
            </m:oMathPara>
          </w:p>
        </w:tc>
        <w:tc>
          <w:tcPr>
            <w:tcW w:w="1659" w:type="dxa"/>
          </w:tcPr>
          <w:p w14:paraId="250B0F85" w14:textId="6AE2D38A" w:rsidR="00643ECF" w:rsidRPr="00054AD5" w:rsidRDefault="00643ECF" w:rsidP="00777093">
            <w:pPr>
              <w:jc w:val="center"/>
              <w:rPr>
                <w:iCs/>
              </w:rPr>
            </w:pPr>
            <m:oMathPara>
              <m:oMath>
                <m:r>
                  <w:rPr>
                    <w:rFonts w:ascii="Cambria Math" w:hAnsi="Cambria Math"/>
                    <w:lang w:val="en-US"/>
                  </w:rPr>
                  <m:t>590.054</m:t>
                </m:r>
              </m:oMath>
            </m:oMathPara>
          </w:p>
        </w:tc>
        <w:tc>
          <w:tcPr>
            <w:tcW w:w="1659" w:type="dxa"/>
          </w:tcPr>
          <w:p w14:paraId="345F2487" w14:textId="2D3E2E79" w:rsidR="00643ECF" w:rsidRPr="00054AD5" w:rsidRDefault="00643ECF" w:rsidP="00777093">
            <w:pPr>
              <w:jc w:val="center"/>
              <w:rPr>
                <w:iCs/>
              </w:rPr>
            </w:pPr>
            <m:oMathPara>
              <m:oMath>
                <m:r>
                  <w:rPr>
                    <w:rFonts w:ascii="Cambria Math" w:hAnsi="Cambria Math"/>
                    <w:lang w:val="en-US"/>
                  </w:rPr>
                  <m:t>24.291</m:t>
                </m:r>
              </m:oMath>
            </m:oMathPara>
          </w:p>
        </w:tc>
        <w:tc>
          <w:tcPr>
            <w:tcW w:w="1660" w:type="dxa"/>
          </w:tcPr>
          <w:p w14:paraId="41092642" w14:textId="4950EC8A" w:rsidR="00643ECF" w:rsidRPr="00054AD5" w:rsidRDefault="00643ECF" w:rsidP="00777093">
            <w:pPr>
              <w:keepNext/>
              <w:jc w:val="center"/>
              <w:rPr>
                <w:iCs/>
              </w:rPr>
            </w:pPr>
            <m:oMathPara>
              <m:oMath>
                <m:r>
                  <w:rPr>
                    <w:rFonts w:ascii="Cambria Math" w:hAnsi="Cambria Math"/>
                    <w:lang w:val="en-US"/>
                  </w:rPr>
                  <m:t>-589.054</m:t>
                </m:r>
              </m:oMath>
            </m:oMathPara>
          </w:p>
        </w:tc>
      </w:tr>
    </w:tbl>
    <w:p w14:paraId="4C84B390" w14:textId="77777777" w:rsidR="00643ECF" w:rsidRDefault="00643ECF" w:rsidP="00975DE5">
      <w:pPr>
        <w:jc w:val="both"/>
        <w:rPr>
          <w:highlight w:val="yellow"/>
          <w:lang w:val="el-GR"/>
        </w:rPr>
      </w:pPr>
    </w:p>
    <w:p w14:paraId="48CC082A" w14:textId="77777777" w:rsidR="00C6265D" w:rsidRDefault="00C6265D" w:rsidP="00975DE5">
      <w:pPr>
        <w:jc w:val="both"/>
        <w:rPr>
          <w:lang w:val="el-GR"/>
        </w:rPr>
      </w:pPr>
      <w:bookmarkStart w:id="2" w:name="_Hlk66038336"/>
    </w:p>
    <w:p w14:paraId="093D12A2" w14:textId="77777777" w:rsidR="00C6265D" w:rsidRDefault="00C6265D" w:rsidP="00975DE5">
      <w:pPr>
        <w:jc w:val="both"/>
        <w:rPr>
          <w:lang w:val="el-GR"/>
        </w:rPr>
      </w:pPr>
    </w:p>
    <w:p w14:paraId="3C9BDCC3" w14:textId="77777777" w:rsidR="00C6265D" w:rsidRDefault="00C6265D" w:rsidP="00975DE5">
      <w:pPr>
        <w:jc w:val="both"/>
        <w:rPr>
          <w:lang w:val="el-GR"/>
        </w:rPr>
      </w:pPr>
    </w:p>
    <w:p w14:paraId="033D9284" w14:textId="77777777" w:rsidR="00C6265D" w:rsidRDefault="00C6265D" w:rsidP="00975DE5">
      <w:pPr>
        <w:jc w:val="both"/>
        <w:rPr>
          <w:lang w:val="el-GR"/>
        </w:rPr>
      </w:pPr>
    </w:p>
    <w:p w14:paraId="382DA90A" w14:textId="77777777" w:rsidR="00C6265D" w:rsidRDefault="00C6265D" w:rsidP="00975DE5">
      <w:pPr>
        <w:jc w:val="both"/>
        <w:rPr>
          <w:lang w:val="el-GR"/>
        </w:rPr>
      </w:pPr>
    </w:p>
    <w:p w14:paraId="772490E8" w14:textId="77777777" w:rsidR="00C6265D" w:rsidRDefault="00C6265D" w:rsidP="00975DE5">
      <w:pPr>
        <w:jc w:val="both"/>
        <w:rPr>
          <w:lang w:val="el-GR"/>
        </w:rPr>
      </w:pPr>
    </w:p>
    <w:p w14:paraId="08B4178B" w14:textId="77777777" w:rsidR="00C6265D" w:rsidRDefault="00C6265D" w:rsidP="00975DE5">
      <w:pPr>
        <w:jc w:val="both"/>
        <w:rPr>
          <w:lang w:val="el-GR"/>
        </w:rPr>
      </w:pPr>
    </w:p>
    <w:p w14:paraId="31016956" w14:textId="7FF7EFEE" w:rsidR="00F47DEC" w:rsidRDefault="00F47DEC" w:rsidP="00975DE5">
      <w:pPr>
        <w:jc w:val="both"/>
        <w:rPr>
          <w:lang w:val="el-GR"/>
        </w:rPr>
      </w:pPr>
      <w:r>
        <w:rPr>
          <w:lang w:val="el-GR"/>
        </w:rPr>
        <w:t>Μέρος 2</w:t>
      </w:r>
    </w:p>
    <w:p w14:paraId="4DDACAC9" w14:textId="5E2577F7" w:rsidR="00975DE5" w:rsidRDefault="00FB69ED" w:rsidP="00975DE5">
      <w:pPr>
        <w:jc w:val="both"/>
        <w:rPr>
          <w:lang w:val="el-GR"/>
        </w:rPr>
      </w:pPr>
      <w:r>
        <w:rPr>
          <w:lang w:val="el-GR"/>
        </w:rPr>
        <w:t xml:space="preserve">Το επιλεγμένο σύνολο δεδομένων είναι το </w:t>
      </w:r>
      <w:r>
        <w:t>Superconductivity</w:t>
      </w:r>
      <w:r w:rsidRPr="00FB69ED">
        <w:rPr>
          <w:lang w:val="el-GR"/>
        </w:rPr>
        <w:t xml:space="preserve"> </w:t>
      </w:r>
      <w:r>
        <w:t>dataset</w:t>
      </w:r>
      <w:r w:rsidRPr="00FB69ED">
        <w:rPr>
          <w:lang w:val="el-GR"/>
        </w:rPr>
        <w:t xml:space="preserve">, </w:t>
      </w:r>
      <w:r>
        <w:rPr>
          <w:lang w:val="el-GR"/>
        </w:rPr>
        <w:t xml:space="preserve">το οποίο περιλαμβάνει 21263 δείγματα, καθένα από τα οποία περιγράφεται από 81 χαρακτηριστικά. Λόγω της μεγάλης </w:t>
      </w:r>
      <w:proofErr w:type="spellStart"/>
      <w:r>
        <w:rPr>
          <w:lang w:val="el-GR"/>
        </w:rPr>
        <w:t>διαστασημότητας</w:t>
      </w:r>
      <w:proofErr w:type="spellEnd"/>
      <w:r>
        <w:rPr>
          <w:lang w:val="el-GR"/>
        </w:rPr>
        <w:t xml:space="preserve"> του συνόλου δεδομένων. αρχικά εφαρμόζεται ο αλγόριθμος </w:t>
      </w:r>
      <w:r>
        <w:t>Relief</w:t>
      </w:r>
      <w:r w:rsidRPr="00FB69ED">
        <w:rPr>
          <w:lang w:val="el-GR"/>
        </w:rPr>
        <w:t xml:space="preserve"> </w:t>
      </w:r>
      <w:r>
        <w:rPr>
          <w:lang w:val="el-GR"/>
        </w:rPr>
        <w:t>για την βέλτιστη ταξινόμηση των χαρακτηριστικών, ώστε όταν στη συνέχεια να επιλεγεί μόνο ένας συγκεκριμένος αριθμός χαρακτηριστικών, να χρησιμοποιηθούν εκείνα τα χαρακτηριστικά που συμβάλλουν περισσότερο στην εξαγωγή χρήσιμων συμπερασμάτων.</w:t>
      </w:r>
      <w:r w:rsidR="00975DE5">
        <w:rPr>
          <w:lang w:val="el-GR"/>
        </w:rPr>
        <w:t xml:space="preserve"> </w:t>
      </w:r>
    </w:p>
    <w:p w14:paraId="37C6C421" w14:textId="2ED5513E" w:rsidR="00975DE5" w:rsidRDefault="00975DE5" w:rsidP="00975DE5">
      <w:pPr>
        <w:jc w:val="both"/>
        <w:rPr>
          <w:lang w:val="el-GR"/>
        </w:rPr>
      </w:pPr>
      <w:r>
        <w:rPr>
          <w:lang w:val="el-GR"/>
        </w:rPr>
        <w:t xml:space="preserve">Πέραν του αριθμού των χαρακτηριστικών που θα επιλεγούν, η δεύτερη ανεξάρτητη μεταβλητή του συγκεκριμένου προβλήματος </w:t>
      </w:r>
      <w:proofErr w:type="spellStart"/>
      <w:r>
        <w:rPr>
          <w:lang w:val="el-GR"/>
        </w:rPr>
        <w:t>μοντελοποίησης</w:t>
      </w:r>
      <w:proofErr w:type="spellEnd"/>
      <w:r>
        <w:rPr>
          <w:lang w:val="el-GR"/>
        </w:rPr>
        <w:t xml:space="preserve"> είναι</w:t>
      </w:r>
      <w:r w:rsidRPr="00975DE5">
        <w:rPr>
          <w:lang w:val="el-GR"/>
        </w:rPr>
        <w:t xml:space="preserve"> </w:t>
      </w:r>
      <w:r>
        <w:rPr>
          <w:lang w:val="el-GR"/>
        </w:rPr>
        <w:t xml:space="preserve">η ακτίνα των </w:t>
      </w:r>
      <w:r>
        <w:t>clusters</w:t>
      </w:r>
      <w:r w:rsidRPr="00975DE5">
        <w:rPr>
          <w:lang w:val="el-GR"/>
        </w:rPr>
        <w:t xml:space="preserve"> </w:t>
      </w:r>
      <w:r>
        <w:rPr>
          <w:lang w:val="el-GR"/>
        </w:rPr>
        <w:t>που θα προκύψουν, κάτι που επηρεάζει καθοριστικά και το πλήθος των συναρτήσεων συμμετοχής για το κάθε μοντέλο.</w:t>
      </w:r>
      <w:r w:rsidR="00FB69ED">
        <w:rPr>
          <w:lang w:val="el-GR"/>
        </w:rPr>
        <w:t xml:space="preserve"> </w:t>
      </w:r>
    </w:p>
    <w:p w14:paraId="296AEBF7" w14:textId="5DA255E9" w:rsidR="00F47DEC" w:rsidRDefault="00FB69ED" w:rsidP="00975DE5">
      <w:pPr>
        <w:jc w:val="both"/>
        <w:rPr>
          <w:lang w:val="el-GR"/>
        </w:rPr>
      </w:pPr>
      <w:r>
        <w:rPr>
          <w:lang w:val="el-GR"/>
        </w:rPr>
        <w:t xml:space="preserve">Παράλληλα, γίνεται εφαρμογή </w:t>
      </w:r>
      <w:r>
        <w:t>subtractive</w:t>
      </w:r>
      <w:r w:rsidRPr="00FB69ED">
        <w:rPr>
          <w:lang w:val="el-GR"/>
        </w:rPr>
        <w:t xml:space="preserve"> </w:t>
      </w:r>
      <w:r>
        <w:t>clustering</w:t>
      </w:r>
      <w:r w:rsidRPr="00FB69ED">
        <w:rPr>
          <w:lang w:val="el-GR"/>
        </w:rPr>
        <w:t xml:space="preserve"> </w:t>
      </w:r>
      <w:r>
        <w:rPr>
          <w:lang w:val="el-GR"/>
        </w:rPr>
        <w:t xml:space="preserve">ως μέθοδος ομαδοποίησης για τη δημιουργία των </w:t>
      </w:r>
      <w:r>
        <w:t>IF</w:t>
      </w:r>
      <w:r w:rsidRPr="00FB69ED">
        <w:rPr>
          <w:lang w:val="el-GR"/>
        </w:rPr>
        <w:t>-</w:t>
      </w:r>
      <w:r>
        <w:t>THEN</w:t>
      </w:r>
      <w:r w:rsidRPr="00FB69ED">
        <w:rPr>
          <w:lang w:val="el-GR"/>
        </w:rPr>
        <w:t xml:space="preserve"> </w:t>
      </w:r>
      <w:r>
        <w:rPr>
          <w:lang w:val="el-GR"/>
        </w:rPr>
        <w:t>κανόνων.</w:t>
      </w:r>
    </w:p>
    <w:p w14:paraId="06D9E155" w14:textId="00C4C642" w:rsidR="002F0B88" w:rsidRDefault="00FB69ED" w:rsidP="002F0B88">
      <w:pPr>
        <w:jc w:val="both"/>
        <w:rPr>
          <w:lang w:val="el-GR"/>
        </w:rPr>
      </w:pPr>
      <w:r>
        <w:rPr>
          <w:lang w:val="el-GR"/>
        </w:rPr>
        <w:t xml:space="preserve">Στη συνέχεια εφαρμόζεται </w:t>
      </w:r>
      <w:proofErr w:type="spellStart"/>
      <w:r>
        <w:rPr>
          <w:lang w:val="el-GR"/>
        </w:rPr>
        <w:t>πενταπτυχής</w:t>
      </w:r>
      <w:proofErr w:type="spellEnd"/>
      <w:r>
        <w:rPr>
          <w:lang w:val="el-GR"/>
        </w:rPr>
        <w:t xml:space="preserve"> διασταυρωμένη επικύρωση σε κάθε φορά τυχαία διαχωρισμένα σύνολα εκπαίδευσης και επαλήθευσης για </w:t>
      </w:r>
      <w:r w:rsidR="00DF118C">
        <w:rPr>
          <w:lang w:val="el-GR"/>
        </w:rPr>
        <w:t>κάθε ένα από τα πλήθη κανόνων βάσης</w:t>
      </w:r>
      <w:r w:rsidRPr="00FB69ED">
        <w:rPr>
          <w:lang w:val="el-GR"/>
        </w:rPr>
        <w:t xml:space="preserve"> </w:t>
      </w:r>
      <w:r>
        <w:rPr>
          <w:lang w:val="el-GR"/>
        </w:rPr>
        <w:t>που έχουν επιλεγεί.</w:t>
      </w:r>
      <w:r w:rsidR="00975DE5">
        <w:rPr>
          <w:lang w:val="el-GR"/>
        </w:rPr>
        <w:t xml:space="preserve"> Τα μοντέλα που προκύπτουν στη συνέχεια χρησιμοποιούν τη μέθοδο </w:t>
      </w:r>
      <w:r w:rsidR="00975DE5">
        <w:t>Fuzzy</w:t>
      </w:r>
      <w:r w:rsidR="00975DE5" w:rsidRPr="00975DE5">
        <w:rPr>
          <w:lang w:val="el-GR"/>
        </w:rPr>
        <w:t xml:space="preserve"> </w:t>
      </w:r>
      <w:r w:rsidR="00975DE5">
        <w:t>C</w:t>
      </w:r>
      <w:r w:rsidR="00975DE5" w:rsidRPr="00975DE5">
        <w:rPr>
          <w:lang w:val="el-GR"/>
        </w:rPr>
        <w:t>-</w:t>
      </w:r>
      <w:r w:rsidR="00975DE5">
        <w:t>means</w:t>
      </w:r>
      <w:r w:rsidR="00975DE5" w:rsidRPr="00975DE5">
        <w:rPr>
          <w:lang w:val="el-GR"/>
        </w:rPr>
        <w:t xml:space="preserve"> </w:t>
      </w:r>
      <w:r w:rsidR="00975DE5">
        <w:rPr>
          <w:lang w:val="el-GR"/>
        </w:rPr>
        <w:t>για να ομαδοποιήσουν τα δεδομένα. Τα αποτελέσματα των μέσων όρων σφαλμάτων που προκύπτουν για τους συνδυασμούς των ανεξάρτητων μεταβλητών που επιλέξαμε παρουσιάζονται στον παρακάτω πίνακα.</w:t>
      </w:r>
    </w:p>
    <w:tbl>
      <w:tblPr>
        <w:tblStyle w:val="TableGrid"/>
        <w:tblW w:w="0" w:type="auto"/>
        <w:jc w:val="center"/>
        <w:tblLook w:val="04A0" w:firstRow="1" w:lastRow="0" w:firstColumn="1" w:lastColumn="0" w:noHBand="0" w:noVBand="1"/>
      </w:tblPr>
      <w:tblGrid>
        <w:gridCol w:w="965"/>
        <w:gridCol w:w="1382"/>
        <w:gridCol w:w="1383"/>
        <w:gridCol w:w="1383"/>
        <w:gridCol w:w="1383"/>
        <w:gridCol w:w="1383"/>
      </w:tblGrid>
      <w:tr w:rsidR="002F0B88" w14:paraId="6A74E83F" w14:textId="77777777" w:rsidTr="00DF118C">
        <w:trPr>
          <w:trHeight w:val="548"/>
          <w:jc w:val="center"/>
        </w:trPr>
        <w:tc>
          <w:tcPr>
            <w:tcW w:w="2347" w:type="dxa"/>
            <w:gridSpan w:val="2"/>
            <w:vMerge w:val="restart"/>
            <w:tcBorders>
              <w:top w:val="single" w:sz="4" w:space="0" w:color="auto"/>
              <w:left w:val="single" w:sz="4" w:space="0" w:color="auto"/>
              <w:right w:val="single" w:sz="4" w:space="0" w:color="auto"/>
              <w:tl2br w:val="single" w:sz="4" w:space="0" w:color="auto"/>
            </w:tcBorders>
            <w:shd w:val="clear" w:color="auto" w:fill="C9C9C9" w:themeFill="accent3" w:themeFillTint="99"/>
          </w:tcPr>
          <w:p w14:paraId="5BB44953" w14:textId="47D11D4E" w:rsidR="002F0B88" w:rsidRPr="00121EBC" w:rsidRDefault="002F0B88" w:rsidP="002F0B88">
            <w:pPr>
              <w:jc w:val="center"/>
              <w:rPr>
                <w:b/>
                <w:bCs/>
              </w:rPr>
            </w:pPr>
            <w:bookmarkStart w:id="3" w:name="_Hlk66038455"/>
            <w:bookmarkEnd w:id="2"/>
          </w:p>
        </w:tc>
        <w:tc>
          <w:tcPr>
            <w:tcW w:w="5532" w:type="dxa"/>
            <w:gridSpan w:val="4"/>
            <w:tcBorders>
              <w:left w:val="single" w:sz="4" w:space="0" w:color="auto"/>
            </w:tcBorders>
            <w:shd w:val="clear" w:color="auto" w:fill="C9C9C9" w:themeFill="accent3" w:themeFillTint="99"/>
            <w:vAlign w:val="center"/>
          </w:tcPr>
          <w:p w14:paraId="4BED5223" w14:textId="48AFDD8E" w:rsidR="002F0B88" w:rsidRDefault="002F0B88" w:rsidP="002F0B88">
            <w:pPr>
              <w:jc w:val="center"/>
              <w:rPr>
                <w:lang w:val="en-US"/>
              </w:rPr>
            </w:pPr>
            <w:r>
              <w:rPr>
                <w:b/>
                <w:bCs/>
                <w:lang w:val="en-US"/>
              </w:rPr>
              <w:t>N</w:t>
            </w:r>
            <w:r w:rsidRPr="00D811B6">
              <w:rPr>
                <w:b/>
                <w:bCs/>
                <w:lang w:val="en-US"/>
              </w:rPr>
              <w:t xml:space="preserve">umber of </w:t>
            </w:r>
            <w:r>
              <w:rPr>
                <w:b/>
                <w:bCs/>
                <w:lang w:val="en-US"/>
              </w:rPr>
              <w:t>F</w:t>
            </w:r>
            <w:r w:rsidRPr="00D811B6">
              <w:rPr>
                <w:b/>
                <w:bCs/>
                <w:lang w:val="en-US"/>
              </w:rPr>
              <w:t>eatures</w:t>
            </w:r>
          </w:p>
        </w:tc>
      </w:tr>
      <w:tr w:rsidR="002F0B88" w14:paraId="30CE9E07" w14:textId="77777777" w:rsidTr="00DF118C">
        <w:trPr>
          <w:trHeight w:val="548"/>
          <w:jc w:val="center"/>
        </w:trPr>
        <w:tc>
          <w:tcPr>
            <w:tcW w:w="2347" w:type="dxa"/>
            <w:gridSpan w:val="2"/>
            <w:vMerge/>
            <w:tcBorders>
              <w:left w:val="single" w:sz="4" w:space="0" w:color="auto"/>
              <w:bottom w:val="single" w:sz="4" w:space="0" w:color="auto"/>
              <w:right w:val="single" w:sz="4" w:space="0" w:color="auto"/>
              <w:tl2br w:val="single" w:sz="4" w:space="0" w:color="auto"/>
            </w:tcBorders>
            <w:shd w:val="clear" w:color="auto" w:fill="C9C9C9" w:themeFill="accent3" w:themeFillTint="99"/>
          </w:tcPr>
          <w:p w14:paraId="3875C99F" w14:textId="7EDC04FC" w:rsidR="002F0B88" w:rsidRPr="008555B2" w:rsidRDefault="002F0B88" w:rsidP="002F0B88">
            <w:pPr>
              <w:jc w:val="center"/>
              <w:rPr>
                <w:b/>
                <w:bCs/>
              </w:rPr>
            </w:pPr>
          </w:p>
        </w:tc>
        <w:tc>
          <w:tcPr>
            <w:tcW w:w="1383" w:type="dxa"/>
            <w:tcBorders>
              <w:left w:val="single" w:sz="4" w:space="0" w:color="auto"/>
            </w:tcBorders>
            <w:shd w:val="clear" w:color="auto" w:fill="C9C9C9" w:themeFill="accent3" w:themeFillTint="99"/>
            <w:vAlign w:val="center"/>
          </w:tcPr>
          <w:p w14:paraId="19C4A7F7" w14:textId="2D3F02D8" w:rsidR="002F0B88" w:rsidRDefault="002F0B88" w:rsidP="002F0B88">
            <w:pPr>
              <w:jc w:val="center"/>
              <w:rPr>
                <w:rFonts w:ascii="Calibri" w:eastAsia="Calibri" w:hAnsi="Calibri" w:cs="Times New Roman"/>
              </w:rPr>
            </w:pPr>
            <m:oMathPara>
              <m:oMath>
                <m:r>
                  <w:rPr>
                    <w:rFonts w:ascii="Cambria Math" w:hAnsi="Cambria Math"/>
                    <w:lang w:val="en-US"/>
                  </w:rPr>
                  <m:t>3</m:t>
                </m:r>
              </m:oMath>
            </m:oMathPara>
          </w:p>
        </w:tc>
        <w:tc>
          <w:tcPr>
            <w:tcW w:w="1383" w:type="dxa"/>
            <w:shd w:val="clear" w:color="auto" w:fill="C9C9C9" w:themeFill="accent3" w:themeFillTint="99"/>
            <w:vAlign w:val="center"/>
          </w:tcPr>
          <w:p w14:paraId="286C61FC" w14:textId="655CD23D" w:rsidR="002F0B88" w:rsidRDefault="002F0B88" w:rsidP="002F0B88">
            <w:pPr>
              <w:jc w:val="center"/>
              <w:rPr>
                <w:rFonts w:ascii="Calibri" w:eastAsia="Calibri" w:hAnsi="Calibri" w:cs="Times New Roman"/>
              </w:rPr>
            </w:pPr>
            <m:oMathPara>
              <m:oMath>
                <m:r>
                  <w:rPr>
                    <w:rFonts w:ascii="Cambria Math" w:hAnsi="Cambria Math"/>
                    <w:lang w:val="en-US"/>
                  </w:rPr>
                  <m:t>6</m:t>
                </m:r>
              </m:oMath>
            </m:oMathPara>
          </w:p>
        </w:tc>
        <w:tc>
          <w:tcPr>
            <w:tcW w:w="1383" w:type="dxa"/>
            <w:shd w:val="clear" w:color="auto" w:fill="C9C9C9" w:themeFill="accent3" w:themeFillTint="99"/>
            <w:vAlign w:val="center"/>
          </w:tcPr>
          <w:p w14:paraId="60F7BD50" w14:textId="34FA49B9" w:rsidR="002F0B88" w:rsidRDefault="002F0B88" w:rsidP="002F0B88">
            <w:pPr>
              <w:jc w:val="center"/>
              <w:rPr>
                <w:rFonts w:ascii="Calibri" w:eastAsia="Calibri" w:hAnsi="Calibri" w:cs="Times New Roman"/>
              </w:rPr>
            </w:pPr>
            <m:oMathPara>
              <m:oMath>
                <m:r>
                  <w:rPr>
                    <w:rFonts w:ascii="Cambria Math" w:hAnsi="Cambria Math"/>
                    <w:lang w:val="en-US"/>
                  </w:rPr>
                  <m:t>9</m:t>
                </m:r>
              </m:oMath>
            </m:oMathPara>
          </w:p>
        </w:tc>
        <w:tc>
          <w:tcPr>
            <w:tcW w:w="1383" w:type="dxa"/>
            <w:shd w:val="clear" w:color="auto" w:fill="C9C9C9" w:themeFill="accent3" w:themeFillTint="99"/>
            <w:vAlign w:val="center"/>
          </w:tcPr>
          <w:p w14:paraId="1B268BD1" w14:textId="00EB16B4" w:rsidR="002F0B88" w:rsidRDefault="002F0B88" w:rsidP="002F0B88">
            <w:pPr>
              <w:jc w:val="center"/>
              <w:rPr>
                <w:rFonts w:ascii="Calibri" w:eastAsia="Calibri" w:hAnsi="Calibri" w:cs="Times New Roman"/>
              </w:rPr>
            </w:pPr>
            <m:oMathPara>
              <m:oMath>
                <m:r>
                  <w:rPr>
                    <w:rFonts w:ascii="Cambria Math" w:hAnsi="Cambria Math"/>
                    <w:lang w:val="en-US"/>
                  </w:rPr>
                  <m:t>12</m:t>
                </m:r>
              </m:oMath>
            </m:oMathPara>
          </w:p>
        </w:tc>
      </w:tr>
      <w:tr w:rsidR="002F0B88" w14:paraId="6F3F9400" w14:textId="77777777" w:rsidTr="00DF118C">
        <w:trPr>
          <w:jc w:val="center"/>
        </w:trPr>
        <w:tc>
          <w:tcPr>
            <w:tcW w:w="965" w:type="dxa"/>
            <w:vMerge w:val="restart"/>
            <w:tcBorders>
              <w:top w:val="single" w:sz="4" w:space="0" w:color="auto"/>
            </w:tcBorders>
            <w:shd w:val="clear" w:color="auto" w:fill="C9C9C9" w:themeFill="accent3" w:themeFillTint="99"/>
            <w:vAlign w:val="center"/>
          </w:tcPr>
          <w:p w14:paraId="2B211575" w14:textId="6225E5E6" w:rsidR="002F0B88" w:rsidRPr="002F0B88" w:rsidRDefault="00294E5C" w:rsidP="002F0B88">
            <w:pPr>
              <w:jc w:val="center"/>
              <w:rPr>
                <w:rFonts w:ascii="Calibri" w:eastAsia="Calibri" w:hAnsi="Calibri" w:cs="Times New Roman"/>
                <w:b/>
                <w:bCs/>
                <w:lang w:val="en-US"/>
              </w:rPr>
            </w:pPr>
            <w:r>
              <w:rPr>
                <w:rFonts w:ascii="Calibri" w:eastAsia="Calibri" w:hAnsi="Calibri" w:cs="Times New Roman"/>
                <w:b/>
                <w:bCs/>
                <w:lang w:val="en-US"/>
              </w:rPr>
              <w:t>Number of Rules</w:t>
            </w:r>
          </w:p>
        </w:tc>
        <w:tc>
          <w:tcPr>
            <w:tcW w:w="1382" w:type="dxa"/>
            <w:tcBorders>
              <w:top w:val="single" w:sz="4" w:space="0" w:color="auto"/>
            </w:tcBorders>
            <w:shd w:val="clear" w:color="auto" w:fill="C9C9C9" w:themeFill="accent3" w:themeFillTint="99"/>
          </w:tcPr>
          <w:p w14:paraId="21FEA96E" w14:textId="08E3EDA9" w:rsidR="002F0B88" w:rsidRDefault="002F0B88" w:rsidP="002F0B88">
            <w:pPr>
              <w:jc w:val="center"/>
              <w:rPr>
                <w:lang w:val="en-US"/>
              </w:rPr>
            </w:pPr>
            <m:oMathPara>
              <m:oMath>
                <m:r>
                  <w:rPr>
                    <w:rFonts w:ascii="Cambria Math" w:hAnsi="Cambria Math"/>
                    <w:lang w:val="en-US"/>
                  </w:rPr>
                  <m:t>3</m:t>
                </m:r>
              </m:oMath>
            </m:oMathPara>
          </w:p>
        </w:tc>
        <w:tc>
          <w:tcPr>
            <w:tcW w:w="1383" w:type="dxa"/>
          </w:tcPr>
          <w:p w14:paraId="41B6B40E" w14:textId="3B678F23" w:rsidR="002F0B88" w:rsidRDefault="002F0B88" w:rsidP="002F0B88">
            <w:pPr>
              <w:jc w:val="center"/>
              <w:rPr>
                <w:lang w:val="en-US"/>
              </w:rPr>
            </w:pPr>
            <m:oMathPara>
              <m:oMath>
                <m:r>
                  <w:rPr>
                    <w:rFonts w:ascii="Cambria Math" w:hAnsi="Cambria Math"/>
                    <w:lang w:val="en-US"/>
                  </w:rPr>
                  <m:t>21.375</m:t>
                </m:r>
              </m:oMath>
            </m:oMathPara>
          </w:p>
        </w:tc>
        <w:tc>
          <w:tcPr>
            <w:tcW w:w="1383" w:type="dxa"/>
          </w:tcPr>
          <w:p w14:paraId="192667C9" w14:textId="4AA571E5" w:rsidR="002F0B88" w:rsidRPr="002F0B88" w:rsidRDefault="002F0B88" w:rsidP="002F0B88">
            <w:pPr>
              <w:jc w:val="center"/>
              <w:rPr>
                <w:i/>
                <w:lang w:val="en-US"/>
              </w:rPr>
            </w:pPr>
            <m:oMathPara>
              <m:oMath>
                <m:r>
                  <w:rPr>
                    <w:rFonts w:ascii="Cambria Math" w:hAnsi="Cambria Math"/>
                    <w:lang w:val="en-US"/>
                  </w:rPr>
                  <m:t>19.1654</m:t>
                </m:r>
              </m:oMath>
            </m:oMathPara>
          </w:p>
        </w:tc>
        <w:tc>
          <w:tcPr>
            <w:tcW w:w="1383" w:type="dxa"/>
          </w:tcPr>
          <w:p w14:paraId="716856AB" w14:textId="05C613F4" w:rsidR="002F0B88" w:rsidRDefault="002F0B88" w:rsidP="002F0B88">
            <w:pPr>
              <w:jc w:val="center"/>
              <w:rPr>
                <w:lang w:val="en-US"/>
              </w:rPr>
            </w:pPr>
            <m:oMathPara>
              <m:oMath>
                <m:r>
                  <w:rPr>
                    <w:rFonts w:ascii="Cambria Math" w:hAnsi="Cambria Math"/>
                    <w:lang w:val="en-US"/>
                  </w:rPr>
                  <m:t>18.6624</m:t>
                </m:r>
              </m:oMath>
            </m:oMathPara>
          </w:p>
        </w:tc>
        <w:tc>
          <w:tcPr>
            <w:tcW w:w="1383" w:type="dxa"/>
          </w:tcPr>
          <w:p w14:paraId="4AD1D75B" w14:textId="67E80D67" w:rsidR="002F0B88" w:rsidRDefault="002F0B88" w:rsidP="002F0B88">
            <w:pPr>
              <w:jc w:val="center"/>
              <w:rPr>
                <w:lang w:val="en-US"/>
              </w:rPr>
            </w:pPr>
            <m:oMathPara>
              <m:oMath>
                <m:r>
                  <w:rPr>
                    <w:rFonts w:ascii="Cambria Math" w:hAnsi="Cambria Math"/>
                    <w:lang w:val="en-US"/>
                  </w:rPr>
                  <m:t>18.2147</m:t>
                </m:r>
              </m:oMath>
            </m:oMathPara>
          </w:p>
        </w:tc>
      </w:tr>
      <w:tr w:rsidR="002F0B88" w:rsidRPr="008555B2" w14:paraId="7748C2FD" w14:textId="77777777" w:rsidTr="00DF118C">
        <w:trPr>
          <w:jc w:val="center"/>
        </w:trPr>
        <w:tc>
          <w:tcPr>
            <w:tcW w:w="965" w:type="dxa"/>
            <w:vMerge/>
            <w:shd w:val="clear" w:color="auto" w:fill="C9C9C9" w:themeFill="accent3" w:themeFillTint="99"/>
          </w:tcPr>
          <w:p w14:paraId="6983B729" w14:textId="77777777" w:rsidR="002F0B88" w:rsidRDefault="002F0B88" w:rsidP="002F0B88">
            <w:pPr>
              <w:jc w:val="center"/>
              <w:rPr>
                <w:rFonts w:ascii="Calibri" w:eastAsia="Calibri" w:hAnsi="Calibri" w:cs="Times New Roman"/>
              </w:rPr>
            </w:pPr>
          </w:p>
        </w:tc>
        <w:tc>
          <w:tcPr>
            <w:tcW w:w="1382" w:type="dxa"/>
            <w:shd w:val="clear" w:color="auto" w:fill="C9C9C9" w:themeFill="accent3" w:themeFillTint="99"/>
          </w:tcPr>
          <w:p w14:paraId="751DAAF3" w14:textId="2F40F1A9" w:rsidR="002F0B88" w:rsidRDefault="002F0B88" w:rsidP="002F0B88">
            <w:pPr>
              <w:jc w:val="center"/>
              <w:rPr>
                <w:lang w:val="en-US"/>
              </w:rPr>
            </w:pPr>
            <m:oMathPara>
              <m:oMath>
                <m:r>
                  <w:rPr>
                    <w:rFonts w:ascii="Cambria Math" w:hAnsi="Cambria Math"/>
                    <w:lang w:val="en-US"/>
                  </w:rPr>
                  <m:t>6</m:t>
                </m:r>
              </m:oMath>
            </m:oMathPara>
          </w:p>
        </w:tc>
        <w:tc>
          <w:tcPr>
            <w:tcW w:w="1383" w:type="dxa"/>
          </w:tcPr>
          <w:p w14:paraId="0E341C4C" w14:textId="67C77E97" w:rsidR="002F0B88" w:rsidRDefault="002F0B88" w:rsidP="002F0B88">
            <w:pPr>
              <w:jc w:val="center"/>
              <w:rPr>
                <w:lang w:val="en-US"/>
              </w:rPr>
            </w:pPr>
            <m:oMathPara>
              <m:oMath>
                <m:r>
                  <w:rPr>
                    <w:rFonts w:ascii="Cambria Math" w:hAnsi="Cambria Math"/>
                    <w:lang w:val="en-US"/>
                  </w:rPr>
                  <m:t>20.644</m:t>
                </m:r>
              </m:oMath>
            </m:oMathPara>
          </w:p>
        </w:tc>
        <w:tc>
          <w:tcPr>
            <w:tcW w:w="1383" w:type="dxa"/>
          </w:tcPr>
          <w:p w14:paraId="002E585E" w14:textId="7A09EF3F" w:rsidR="002F0B88" w:rsidRDefault="002F0B88" w:rsidP="002F0B88">
            <w:pPr>
              <w:jc w:val="center"/>
              <w:rPr>
                <w:lang w:val="en-US"/>
              </w:rPr>
            </w:pPr>
            <m:oMathPara>
              <m:oMath>
                <m:r>
                  <w:rPr>
                    <w:rFonts w:ascii="Cambria Math" w:hAnsi="Cambria Math"/>
                    <w:lang w:val="en-US"/>
                  </w:rPr>
                  <m:t>18.0647</m:t>
                </m:r>
              </m:oMath>
            </m:oMathPara>
          </w:p>
        </w:tc>
        <w:tc>
          <w:tcPr>
            <w:tcW w:w="1383" w:type="dxa"/>
          </w:tcPr>
          <w:p w14:paraId="0D00CFF0" w14:textId="05CFE856" w:rsidR="002F0B88" w:rsidRDefault="002F0B88" w:rsidP="002F0B88">
            <w:pPr>
              <w:jc w:val="center"/>
              <w:rPr>
                <w:lang w:val="en-US"/>
              </w:rPr>
            </w:pPr>
            <m:oMathPara>
              <m:oMath>
                <m:r>
                  <w:rPr>
                    <w:rFonts w:ascii="Cambria Math" w:hAnsi="Cambria Math"/>
                    <w:lang w:val="en-US"/>
                  </w:rPr>
                  <m:t>18.1218</m:t>
                </m:r>
              </m:oMath>
            </m:oMathPara>
          </w:p>
        </w:tc>
        <w:tc>
          <w:tcPr>
            <w:tcW w:w="1383" w:type="dxa"/>
          </w:tcPr>
          <w:p w14:paraId="7335F018" w14:textId="09468B1C" w:rsidR="002F0B88" w:rsidRPr="008555B2" w:rsidRDefault="002F0B88" w:rsidP="002F0B88">
            <w:pPr>
              <w:jc w:val="center"/>
            </w:pPr>
            <m:oMathPara>
              <m:oMath>
                <m:r>
                  <w:rPr>
                    <w:rFonts w:ascii="Cambria Math" w:hAnsi="Cambria Math"/>
                    <w:lang w:val="en-US"/>
                  </w:rPr>
                  <m:t>17.3649</m:t>
                </m:r>
              </m:oMath>
            </m:oMathPara>
          </w:p>
        </w:tc>
      </w:tr>
      <w:tr w:rsidR="002F0B88" w14:paraId="3947872A" w14:textId="77777777" w:rsidTr="00DF118C">
        <w:trPr>
          <w:jc w:val="center"/>
        </w:trPr>
        <w:tc>
          <w:tcPr>
            <w:tcW w:w="965" w:type="dxa"/>
            <w:vMerge/>
            <w:shd w:val="clear" w:color="auto" w:fill="C9C9C9" w:themeFill="accent3" w:themeFillTint="99"/>
          </w:tcPr>
          <w:p w14:paraId="643D1C77" w14:textId="77777777" w:rsidR="002F0B88" w:rsidRDefault="002F0B88" w:rsidP="002F0B88">
            <w:pPr>
              <w:jc w:val="center"/>
              <w:rPr>
                <w:rFonts w:ascii="Calibri" w:eastAsia="Calibri" w:hAnsi="Calibri" w:cs="Times New Roman"/>
              </w:rPr>
            </w:pPr>
          </w:p>
        </w:tc>
        <w:tc>
          <w:tcPr>
            <w:tcW w:w="1382" w:type="dxa"/>
            <w:shd w:val="clear" w:color="auto" w:fill="C9C9C9" w:themeFill="accent3" w:themeFillTint="99"/>
          </w:tcPr>
          <w:p w14:paraId="3D6D65C3" w14:textId="7D1686C5" w:rsidR="002F0B88" w:rsidRDefault="002F0B88" w:rsidP="002F0B88">
            <w:pPr>
              <w:jc w:val="center"/>
              <w:rPr>
                <w:lang w:val="en-US"/>
              </w:rPr>
            </w:pPr>
            <m:oMathPara>
              <m:oMath>
                <m:r>
                  <w:rPr>
                    <w:rFonts w:ascii="Cambria Math" w:hAnsi="Cambria Math"/>
                    <w:lang w:val="en-US"/>
                  </w:rPr>
                  <m:t>9</m:t>
                </m:r>
              </m:oMath>
            </m:oMathPara>
          </w:p>
        </w:tc>
        <w:tc>
          <w:tcPr>
            <w:tcW w:w="1383" w:type="dxa"/>
          </w:tcPr>
          <w:p w14:paraId="28E5BB70" w14:textId="03706156" w:rsidR="002F0B88" w:rsidRDefault="002F0B88" w:rsidP="002F0B88">
            <w:pPr>
              <w:jc w:val="center"/>
              <w:rPr>
                <w:lang w:val="en-US"/>
              </w:rPr>
            </w:pPr>
            <m:oMathPara>
              <m:oMath>
                <m:r>
                  <w:rPr>
                    <w:rFonts w:ascii="Cambria Math" w:hAnsi="Cambria Math"/>
                    <w:lang w:val="en-US"/>
                  </w:rPr>
                  <m:t>19.994</m:t>
                </m:r>
              </m:oMath>
            </m:oMathPara>
          </w:p>
        </w:tc>
        <w:tc>
          <w:tcPr>
            <w:tcW w:w="1383" w:type="dxa"/>
          </w:tcPr>
          <w:p w14:paraId="10548A1D" w14:textId="0260B504" w:rsidR="002F0B88" w:rsidRDefault="002F0B88" w:rsidP="002F0B88">
            <w:pPr>
              <w:jc w:val="center"/>
              <w:rPr>
                <w:lang w:val="en-US"/>
              </w:rPr>
            </w:pPr>
            <m:oMathPara>
              <m:oMath>
                <m:r>
                  <w:rPr>
                    <w:rFonts w:ascii="Cambria Math" w:hAnsi="Cambria Math"/>
                    <w:lang w:val="en-US"/>
                  </w:rPr>
                  <m:t>17.2127</m:t>
                </m:r>
              </m:oMath>
            </m:oMathPara>
          </w:p>
        </w:tc>
        <w:tc>
          <w:tcPr>
            <w:tcW w:w="1383" w:type="dxa"/>
          </w:tcPr>
          <w:p w14:paraId="16432685" w14:textId="5F82AC5C" w:rsidR="002F0B88" w:rsidRDefault="002F0B88" w:rsidP="002F0B88">
            <w:pPr>
              <w:jc w:val="center"/>
              <w:rPr>
                <w:lang w:val="en-US"/>
              </w:rPr>
            </w:pPr>
            <m:oMathPara>
              <m:oMath>
                <m:r>
                  <w:rPr>
                    <w:rFonts w:ascii="Cambria Math" w:hAnsi="Cambria Math"/>
                    <w:lang w:val="en-US"/>
                  </w:rPr>
                  <m:t>17.6854</m:t>
                </m:r>
              </m:oMath>
            </m:oMathPara>
          </w:p>
        </w:tc>
        <w:tc>
          <w:tcPr>
            <w:tcW w:w="1383" w:type="dxa"/>
          </w:tcPr>
          <w:p w14:paraId="292987B2" w14:textId="13E05AA8" w:rsidR="002F0B88" w:rsidRDefault="002F0B88" w:rsidP="002F0B88">
            <w:pPr>
              <w:jc w:val="center"/>
              <w:rPr>
                <w:lang w:val="en-US"/>
              </w:rPr>
            </w:pPr>
            <m:oMathPara>
              <m:oMath>
                <m:r>
                  <w:rPr>
                    <w:rFonts w:ascii="Cambria Math" w:hAnsi="Cambria Math"/>
                    <w:lang w:val="en-US"/>
                  </w:rPr>
                  <m:t>17.1611</m:t>
                </m:r>
              </m:oMath>
            </m:oMathPara>
          </w:p>
        </w:tc>
      </w:tr>
      <w:tr w:rsidR="002F0B88" w14:paraId="74DE7886" w14:textId="77777777" w:rsidTr="00DF118C">
        <w:trPr>
          <w:jc w:val="center"/>
        </w:trPr>
        <w:tc>
          <w:tcPr>
            <w:tcW w:w="965" w:type="dxa"/>
            <w:vMerge/>
            <w:shd w:val="clear" w:color="auto" w:fill="C9C9C9" w:themeFill="accent3" w:themeFillTint="99"/>
          </w:tcPr>
          <w:p w14:paraId="3A8AFF8E" w14:textId="77777777" w:rsidR="002F0B88" w:rsidRDefault="002F0B88" w:rsidP="00777093">
            <w:pPr>
              <w:jc w:val="center"/>
              <w:rPr>
                <w:rFonts w:ascii="Calibri" w:eastAsia="Calibri" w:hAnsi="Calibri" w:cs="Times New Roman"/>
              </w:rPr>
            </w:pPr>
          </w:p>
        </w:tc>
        <w:tc>
          <w:tcPr>
            <w:tcW w:w="1382" w:type="dxa"/>
            <w:shd w:val="clear" w:color="auto" w:fill="C9C9C9" w:themeFill="accent3" w:themeFillTint="99"/>
          </w:tcPr>
          <w:p w14:paraId="08192563" w14:textId="1779E676" w:rsidR="002F0B88" w:rsidRDefault="002F0B88" w:rsidP="00777093">
            <w:pPr>
              <w:jc w:val="center"/>
              <w:rPr>
                <w:lang w:val="en-US"/>
              </w:rPr>
            </w:pPr>
            <m:oMathPara>
              <m:oMath>
                <m:r>
                  <w:rPr>
                    <w:rFonts w:ascii="Cambria Math" w:hAnsi="Cambria Math"/>
                    <w:lang w:val="en-US"/>
                  </w:rPr>
                  <m:t>12</m:t>
                </m:r>
              </m:oMath>
            </m:oMathPara>
          </w:p>
        </w:tc>
        <w:tc>
          <w:tcPr>
            <w:tcW w:w="1383" w:type="dxa"/>
          </w:tcPr>
          <w:p w14:paraId="47BBF33F" w14:textId="7ACD4E3D" w:rsidR="002F0B88" w:rsidRDefault="002F0B88" w:rsidP="00777093">
            <w:pPr>
              <w:jc w:val="center"/>
              <w:rPr>
                <w:lang w:val="en-US"/>
              </w:rPr>
            </w:pPr>
            <m:oMathPara>
              <m:oMath>
                <m:r>
                  <w:rPr>
                    <w:rFonts w:ascii="Cambria Math" w:hAnsi="Cambria Math"/>
                    <w:lang w:val="en-US"/>
                  </w:rPr>
                  <m:t>19.6074</m:t>
                </m:r>
              </m:oMath>
            </m:oMathPara>
          </w:p>
        </w:tc>
        <w:tc>
          <w:tcPr>
            <w:tcW w:w="1383" w:type="dxa"/>
            <w:shd w:val="clear" w:color="auto" w:fill="C5E0B3" w:themeFill="accent6" w:themeFillTint="66"/>
          </w:tcPr>
          <w:p w14:paraId="106F9F24" w14:textId="1516E2B6" w:rsidR="002F0B88" w:rsidRDefault="002F0B88" w:rsidP="00777093">
            <w:pPr>
              <w:jc w:val="center"/>
              <w:rPr>
                <w:lang w:val="en-US"/>
              </w:rPr>
            </w:pPr>
            <m:oMathPara>
              <m:oMath>
                <m:r>
                  <w:rPr>
                    <w:rFonts w:ascii="Cambria Math" w:hAnsi="Cambria Math"/>
                    <w:lang w:val="en-US"/>
                  </w:rPr>
                  <m:t>16.7443</m:t>
                </m:r>
              </m:oMath>
            </m:oMathPara>
          </w:p>
        </w:tc>
        <w:tc>
          <w:tcPr>
            <w:tcW w:w="1383" w:type="dxa"/>
          </w:tcPr>
          <w:p w14:paraId="2538E718" w14:textId="552C71BF" w:rsidR="002F0B88" w:rsidRPr="008555B2" w:rsidRDefault="002F0B88" w:rsidP="00777093">
            <w:pPr>
              <w:jc w:val="center"/>
            </w:pPr>
            <m:oMathPara>
              <m:oMath>
                <m:r>
                  <w:rPr>
                    <w:rFonts w:ascii="Cambria Math" w:hAnsi="Cambria Math"/>
                    <w:color w:val="000000" w:themeColor="text1"/>
                    <w:lang w:val="en-US"/>
                  </w:rPr>
                  <m:t>17.1812</m:t>
                </m:r>
              </m:oMath>
            </m:oMathPara>
          </w:p>
        </w:tc>
        <w:tc>
          <w:tcPr>
            <w:tcW w:w="1383" w:type="dxa"/>
          </w:tcPr>
          <w:p w14:paraId="13065458" w14:textId="5B127EDD" w:rsidR="002F0B88" w:rsidRDefault="002F0B88" w:rsidP="00777093">
            <w:pPr>
              <w:jc w:val="center"/>
              <w:rPr>
                <w:lang w:val="en-US"/>
              </w:rPr>
            </w:pPr>
            <m:oMathPara>
              <m:oMath>
                <m:r>
                  <w:rPr>
                    <w:rFonts w:ascii="Cambria Math" w:hAnsi="Cambria Math"/>
                    <w:lang w:val="en-US"/>
                  </w:rPr>
                  <m:t>16.8894</m:t>
                </m:r>
              </m:oMath>
            </m:oMathPara>
          </w:p>
        </w:tc>
      </w:tr>
      <w:tr w:rsidR="002F0B88" w:rsidRPr="00382B2E" w14:paraId="0B8E9456" w14:textId="77777777" w:rsidTr="00DF118C">
        <w:trPr>
          <w:trHeight w:val="242"/>
          <w:jc w:val="center"/>
        </w:trPr>
        <w:tc>
          <w:tcPr>
            <w:tcW w:w="965" w:type="dxa"/>
            <w:vMerge/>
            <w:shd w:val="clear" w:color="auto" w:fill="C9C9C9" w:themeFill="accent3" w:themeFillTint="99"/>
          </w:tcPr>
          <w:p w14:paraId="5BDA31C5" w14:textId="77777777" w:rsidR="002F0B88" w:rsidRDefault="002F0B88" w:rsidP="00777093">
            <w:pPr>
              <w:jc w:val="center"/>
              <w:rPr>
                <w:rFonts w:ascii="Calibri" w:eastAsia="Calibri" w:hAnsi="Calibri" w:cs="Times New Roman"/>
              </w:rPr>
            </w:pPr>
          </w:p>
        </w:tc>
        <w:tc>
          <w:tcPr>
            <w:tcW w:w="1382" w:type="dxa"/>
            <w:shd w:val="clear" w:color="auto" w:fill="C9C9C9" w:themeFill="accent3" w:themeFillTint="99"/>
          </w:tcPr>
          <w:p w14:paraId="15C2B49A" w14:textId="017AB764" w:rsidR="002F0B88" w:rsidRDefault="002F0B88" w:rsidP="00777093">
            <w:pPr>
              <w:jc w:val="center"/>
              <w:rPr>
                <w:lang w:val="en-US"/>
              </w:rPr>
            </w:pPr>
            <m:oMathPara>
              <m:oMath>
                <m:r>
                  <w:rPr>
                    <w:rFonts w:ascii="Cambria Math" w:hAnsi="Cambria Math"/>
                    <w:lang w:val="en-US"/>
                  </w:rPr>
                  <m:t>15</m:t>
                </m:r>
              </m:oMath>
            </m:oMathPara>
          </w:p>
        </w:tc>
        <w:tc>
          <w:tcPr>
            <w:tcW w:w="1383" w:type="dxa"/>
          </w:tcPr>
          <w:p w14:paraId="69973E9A" w14:textId="1DBD21E8" w:rsidR="002F0B88" w:rsidRDefault="002F0B88" w:rsidP="00777093">
            <w:pPr>
              <w:jc w:val="center"/>
              <w:rPr>
                <w:lang w:val="en-US"/>
              </w:rPr>
            </w:pPr>
            <m:oMathPara>
              <m:oMath>
                <m:r>
                  <w:rPr>
                    <w:rFonts w:ascii="Cambria Math" w:hAnsi="Cambria Math"/>
                    <w:lang w:val="en-US"/>
                  </w:rPr>
                  <m:t>19.7408</m:t>
                </m:r>
              </m:oMath>
            </m:oMathPara>
          </w:p>
        </w:tc>
        <w:tc>
          <w:tcPr>
            <w:tcW w:w="1383" w:type="dxa"/>
          </w:tcPr>
          <w:p w14:paraId="6A497ECC" w14:textId="452D0AD8" w:rsidR="002F0B88" w:rsidRDefault="002F0B88" w:rsidP="00777093">
            <w:pPr>
              <w:jc w:val="center"/>
              <w:rPr>
                <w:lang w:val="en-US"/>
              </w:rPr>
            </w:pPr>
            <m:oMathPara>
              <m:oMath>
                <m:r>
                  <w:rPr>
                    <w:rFonts w:ascii="Cambria Math" w:hAnsi="Cambria Math"/>
                    <w:lang w:val="en-US"/>
                  </w:rPr>
                  <m:t>16.8718</m:t>
                </m:r>
              </m:oMath>
            </m:oMathPara>
          </w:p>
        </w:tc>
        <w:tc>
          <w:tcPr>
            <w:tcW w:w="1383" w:type="dxa"/>
          </w:tcPr>
          <w:p w14:paraId="209244AF" w14:textId="7E5651D9" w:rsidR="002F0B88" w:rsidRDefault="002F0B88" w:rsidP="00777093">
            <w:pPr>
              <w:jc w:val="center"/>
              <w:rPr>
                <w:lang w:val="en-US"/>
              </w:rPr>
            </w:pPr>
            <m:oMathPara>
              <m:oMath>
                <m:r>
                  <w:rPr>
                    <w:rFonts w:ascii="Cambria Math" w:hAnsi="Cambria Math"/>
                    <w:lang w:val="en-US"/>
                  </w:rPr>
                  <m:t>17.2482</m:t>
                </m:r>
              </m:oMath>
            </m:oMathPara>
          </w:p>
        </w:tc>
        <w:tc>
          <w:tcPr>
            <w:tcW w:w="1383" w:type="dxa"/>
          </w:tcPr>
          <w:p w14:paraId="2661A89F" w14:textId="0A9ABE7A" w:rsidR="002F0B88" w:rsidRPr="00382B2E" w:rsidRDefault="002F0B88" w:rsidP="00777093">
            <w:pPr>
              <w:keepNext/>
              <w:jc w:val="center"/>
              <w:rPr>
                <w:i/>
                <w:color w:val="FF0000"/>
                <w:lang w:val="en-US"/>
              </w:rPr>
            </w:pPr>
            <m:oMathPara>
              <m:oMath>
                <m:r>
                  <w:rPr>
                    <w:rFonts w:ascii="Cambria Math" w:hAnsi="Cambria Math"/>
                    <w:color w:val="000000" w:themeColor="text1"/>
                    <w:lang w:val="en-US"/>
                  </w:rPr>
                  <m:t>16.8379</m:t>
                </m:r>
              </m:oMath>
            </m:oMathPara>
          </w:p>
        </w:tc>
      </w:tr>
      <w:bookmarkEnd w:id="3"/>
    </w:tbl>
    <w:p w14:paraId="5AFC3483" w14:textId="284818E7" w:rsidR="00975DE5" w:rsidRDefault="00975DE5" w:rsidP="00975DE5">
      <w:pPr>
        <w:jc w:val="both"/>
        <w:rPr>
          <w:lang w:val="el-GR"/>
        </w:rPr>
      </w:pPr>
    </w:p>
    <w:p w14:paraId="48F7BC10" w14:textId="77777777" w:rsidR="004F2444" w:rsidRPr="004F2444" w:rsidRDefault="004F2444" w:rsidP="004F2444">
      <w:pPr>
        <w:jc w:val="both"/>
        <w:rPr>
          <w:lang w:val="el-GR"/>
        </w:rPr>
      </w:pPr>
      <w:r w:rsidRPr="004F2444">
        <w:rPr>
          <w:highlight w:val="yellow"/>
          <w:lang w:val="el-GR"/>
        </w:rPr>
        <w:t xml:space="preserve">Η βέλτιστη τιμή του παραπάνω πίνακα μπορεί να δίνει την αίσθηση ότι είναι μεγάλη τιμή, ωστόσο πρέπει να ληφθεί υπ’ </w:t>
      </w:r>
      <w:proofErr w:type="spellStart"/>
      <w:r w:rsidRPr="004F2444">
        <w:rPr>
          <w:highlight w:val="yellow"/>
          <w:lang w:val="el-GR"/>
        </w:rPr>
        <w:t>όψιν</w:t>
      </w:r>
      <w:proofErr w:type="spellEnd"/>
      <w:r w:rsidRPr="004F2444">
        <w:rPr>
          <w:highlight w:val="yellow"/>
          <w:lang w:val="el-GR"/>
        </w:rPr>
        <w:t xml:space="preserve"> ότι οι τιμές εξόδου κυμαίνονται περίπου στο διάστημα </w:t>
      </w:r>
      <m:oMath>
        <m:r>
          <w:rPr>
            <w:rFonts w:ascii="Cambria Math" w:hAnsi="Cambria Math"/>
            <w:highlight w:val="yellow"/>
            <w:lang w:val="el-GR"/>
          </w:rPr>
          <m:t>[0,160]</m:t>
        </m:r>
      </m:oMath>
      <w:r w:rsidRPr="004F2444">
        <w:rPr>
          <w:rFonts w:eastAsiaTheme="minorEastAsia"/>
          <w:highlight w:val="yellow"/>
          <w:lang w:val="el-GR"/>
        </w:rPr>
        <w:t>. Συνεπώς, το μέσο σφάλμα πενταπτυχούς διασταυρωμένης επικύρωσης δίνει μια μ</w:t>
      </w:r>
      <w:proofErr w:type="spellStart"/>
      <w:r w:rsidRPr="004F2444">
        <w:rPr>
          <w:rFonts w:eastAsiaTheme="minorEastAsia"/>
          <w:highlight w:val="yellow"/>
          <w:lang w:val="el-GR"/>
        </w:rPr>
        <w:t>ικρή</w:t>
      </w:r>
      <w:proofErr w:type="spellEnd"/>
      <w:r w:rsidRPr="004F2444">
        <w:rPr>
          <w:rFonts w:eastAsiaTheme="minorEastAsia"/>
          <w:highlight w:val="yellow"/>
          <w:lang w:val="el-GR"/>
        </w:rPr>
        <w:t xml:space="preserve"> απόκλιση </w:t>
      </w:r>
      <m:oMath>
        <m:r>
          <m:rPr>
            <m:sty m:val="bi"/>
          </m:rPr>
          <w:rPr>
            <w:rFonts w:ascii="Cambria Math" w:eastAsiaTheme="minorEastAsia" w:hAnsi="Cambria Math"/>
            <w:highlight w:val="yellow"/>
          </w:rPr>
          <m:t>8</m:t>
        </m:r>
        <m:r>
          <m:rPr>
            <m:sty m:val="bi"/>
          </m:rPr>
          <w:rPr>
            <w:rFonts w:ascii="Cambria Math" w:eastAsiaTheme="minorEastAsia" w:hAnsi="Cambria Math"/>
            <w:highlight w:val="yellow"/>
            <w:lang w:val="el-GR"/>
          </w:rPr>
          <m:t>%</m:t>
        </m:r>
      </m:oMath>
      <w:r w:rsidRPr="004F2444">
        <w:rPr>
          <w:rFonts w:eastAsiaTheme="minorEastAsia"/>
          <w:highlight w:val="yellow"/>
          <w:lang w:val="el-GR"/>
        </w:rPr>
        <w:t xml:space="preserve"> στις προβλέψεις.</w:t>
      </w:r>
    </w:p>
    <w:p w14:paraId="3A8E62DA" w14:textId="555F74F6" w:rsidR="00975DE5" w:rsidRDefault="00975DE5" w:rsidP="00975DE5">
      <w:pPr>
        <w:jc w:val="both"/>
        <w:rPr>
          <w:lang w:val="el-GR"/>
        </w:rPr>
      </w:pPr>
      <w:r>
        <w:rPr>
          <w:lang w:val="el-GR"/>
        </w:rPr>
        <w:t>Ο βέλτιστος συνδυασμός αριθμού χαρακτηριστικών και αριθμού συναρτήσεων συμμετοχής είναι εκείνος που επιφέρει το μικρότερο μέσο όρο σφάλματος. Από τον παραπάνω πίνακα είναι προφανές ότι ο συνδυασμός αυτός είναι ο [</w:t>
      </w:r>
      <w:r>
        <w:t>Number</w:t>
      </w:r>
      <w:r w:rsidRPr="00975DE5">
        <w:rPr>
          <w:lang w:val="el-GR"/>
        </w:rPr>
        <w:t xml:space="preserve"> </w:t>
      </w:r>
      <w:r>
        <w:t>of</w:t>
      </w:r>
      <w:r w:rsidRPr="00975DE5">
        <w:rPr>
          <w:lang w:val="el-GR"/>
        </w:rPr>
        <w:t xml:space="preserve"> </w:t>
      </w:r>
      <w:r>
        <w:t>features</w:t>
      </w:r>
      <w:r w:rsidRPr="00975DE5">
        <w:rPr>
          <w:lang w:val="el-GR"/>
        </w:rPr>
        <w:t xml:space="preserve">, </w:t>
      </w:r>
      <w:r w:rsidR="00C9265D">
        <w:t>Number</w:t>
      </w:r>
      <w:r w:rsidR="00C9265D" w:rsidRPr="00C9265D">
        <w:rPr>
          <w:lang w:val="el-GR"/>
        </w:rPr>
        <w:t xml:space="preserve"> </w:t>
      </w:r>
      <w:r w:rsidR="00C9265D">
        <w:t>of</w:t>
      </w:r>
      <w:r w:rsidR="00C9265D" w:rsidRPr="00C9265D">
        <w:rPr>
          <w:lang w:val="el-GR"/>
        </w:rPr>
        <w:t xml:space="preserve"> </w:t>
      </w:r>
      <w:r w:rsidR="00C9265D">
        <w:t>Rules</w:t>
      </w:r>
      <w:r>
        <w:rPr>
          <w:lang w:val="el-GR"/>
        </w:rPr>
        <w:t>]</w:t>
      </w:r>
      <w:r w:rsidRPr="00975DE5">
        <w:rPr>
          <w:lang w:val="el-GR"/>
        </w:rPr>
        <w:t xml:space="preserve"> = [</w:t>
      </w:r>
      <w:r w:rsidR="00C9265D" w:rsidRPr="00C9265D">
        <w:rPr>
          <w:lang w:val="el-GR"/>
        </w:rPr>
        <w:t>6,</w:t>
      </w:r>
      <w:r w:rsidR="00C9265D" w:rsidRPr="00C6265D">
        <w:rPr>
          <w:lang w:val="el-GR"/>
        </w:rPr>
        <w:t>12</w:t>
      </w:r>
      <w:r w:rsidRPr="00975DE5">
        <w:rPr>
          <w:lang w:val="el-GR"/>
        </w:rPr>
        <w:t>].</w:t>
      </w:r>
    </w:p>
    <w:p w14:paraId="22FDDCC2" w14:textId="684203F7" w:rsidR="00760A2E" w:rsidRDefault="00975DE5" w:rsidP="00975DE5">
      <w:pPr>
        <w:jc w:val="both"/>
        <w:rPr>
          <w:lang w:val="el-GR"/>
        </w:rPr>
      </w:pPr>
      <w:r>
        <w:rPr>
          <w:lang w:val="el-GR"/>
        </w:rPr>
        <w:t>Μετά την επιλογή των βέλτιστων παραμέτρων ακολουθεί η εκπαίδευση του μοντέλου</w:t>
      </w:r>
      <w:r w:rsidR="00760A2E">
        <w:rPr>
          <w:lang w:val="el-GR"/>
        </w:rPr>
        <w:t xml:space="preserve"> και προκύπτουν έτσι η καμπύλη εκμάθησης του μοντέλου, η σύγκριση πραγματικών τιμών και εκτιμήσεων, καθώς και η σύγκριση ορισμένων τυχαίων συναρτήσεων συμμετοχής πριν και μετά τη διαδικασία της εκπαίδευσης και αποτυπώνονται στα παρακάτω σχήματα.</w:t>
      </w:r>
    </w:p>
    <w:p w14:paraId="479F1430" w14:textId="088FB3EC" w:rsidR="00760A2E" w:rsidRDefault="003D7211" w:rsidP="00C95F5B">
      <w:pPr>
        <w:jc w:val="center"/>
        <w:rPr>
          <w:lang w:val="el-GR"/>
        </w:rPr>
      </w:pPr>
      <w:r>
        <w:rPr>
          <w:noProof/>
          <w:lang w:val="el-GR"/>
        </w:rPr>
        <w:drawing>
          <wp:inline distT="0" distB="0" distL="0" distR="0" wp14:anchorId="0BF627B9" wp14:editId="7D5EA684">
            <wp:extent cx="5333559" cy="399864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r>
        <w:rPr>
          <w:noProof/>
          <w:lang w:val="el-GR"/>
        </w:rPr>
        <w:drawing>
          <wp:inline distT="0" distB="0" distL="0" distR="0" wp14:anchorId="4327CD9E" wp14:editId="6907F67F">
            <wp:extent cx="5333559" cy="399864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r>
        <w:rPr>
          <w:noProof/>
          <w:lang w:val="el-GR"/>
        </w:rPr>
        <w:drawing>
          <wp:inline distT="0" distB="0" distL="0" distR="0" wp14:anchorId="207B0C05" wp14:editId="0BE49333">
            <wp:extent cx="5333559" cy="399864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0732EB5F" w14:textId="5A8CF543" w:rsidR="00760A2E" w:rsidRDefault="00760A2E" w:rsidP="00975DE5">
      <w:pPr>
        <w:jc w:val="both"/>
        <w:rPr>
          <w:lang w:val="el-GR"/>
        </w:rPr>
      </w:pPr>
      <w:r>
        <w:rPr>
          <w:lang w:val="el-GR"/>
        </w:rPr>
        <w:t>Μετά και τη διαδικασία επαλήθευσης μπορούμε να εκτιμήσουμε και τις κρίσιμες μετρικές σφάλματος του μοντέλου.</w:t>
      </w:r>
    </w:p>
    <w:tbl>
      <w:tblPr>
        <w:tblStyle w:val="TableGrid"/>
        <w:tblW w:w="0" w:type="auto"/>
        <w:jc w:val="center"/>
        <w:tblLook w:val="04A0" w:firstRow="1" w:lastRow="0" w:firstColumn="1" w:lastColumn="0" w:noHBand="0" w:noVBand="1"/>
      </w:tblPr>
      <w:tblGrid>
        <w:gridCol w:w="1089"/>
        <w:gridCol w:w="1089"/>
        <w:gridCol w:w="1090"/>
        <w:gridCol w:w="1090"/>
      </w:tblGrid>
      <w:tr w:rsidR="002F0B88" w14:paraId="218D2480" w14:textId="77777777" w:rsidTr="004F2444">
        <w:trPr>
          <w:trHeight w:val="264"/>
          <w:jc w:val="center"/>
        </w:trPr>
        <w:tc>
          <w:tcPr>
            <w:tcW w:w="1089" w:type="dxa"/>
            <w:shd w:val="clear" w:color="auto" w:fill="C9C9C9" w:themeFill="accent3" w:themeFillTint="99"/>
          </w:tcPr>
          <w:p w14:paraId="63FBF7AD" w14:textId="0263CEF0" w:rsidR="002F0B88" w:rsidRPr="004F2444" w:rsidRDefault="002F0B88" w:rsidP="00975DE5">
            <w:pPr>
              <w:jc w:val="both"/>
              <w:rPr>
                <w:b/>
                <w:bCs/>
              </w:rPr>
            </w:pPr>
            <m:oMathPara>
              <m:oMathParaPr>
                <m:jc m:val="center"/>
              </m:oMathParaPr>
              <m:oMath>
                <m:r>
                  <m:rPr>
                    <m:sty m:val="bi"/>
                  </m:rPr>
                  <w:rPr>
                    <w:rFonts w:ascii="Cambria Math" w:hAnsi="Cambria Math"/>
                  </w:rPr>
                  <m:t>RMSE</m:t>
                </m:r>
              </m:oMath>
            </m:oMathPara>
          </w:p>
        </w:tc>
        <w:tc>
          <w:tcPr>
            <w:tcW w:w="1089" w:type="dxa"/>
            <w:shd w:val="clear" w:color="auto" w:fill="C9C9C9" w:themeFill="accent3" w:themeFillTint="99"/>
          </w:tcPr>
          <w:p w14:paraId="54599398" w14:textId="784BD6DE" w:rsidR="002F0B88" w:rsidRPr="002F0B88" w:rsidRDefault="002F0B88" w:rsidP="00975DE5">
            <w:pPr>
              <w:jc w:val="both"/>
              <w:rPr>
                <w:b/>
                <w:bCs/>
              </w:rPr>
            </w:pPr>
            <m:oMathPara>
              <m:oMath>
                <m:r>
                  <m:rPr>
                    <m:sty m:val="bi"/>
                  </m:rPr>
                  <w:rPr>
                    <w:rFonts w:ascii="Cambria Math" w:hAnsi="Cambria Math"/>
                  </w:rPr>
                  <m:t>NMSE</m:t>
                </m:r>
              </m:oMath>
            </m:oMathPara>
          </w:p>
        </w:tc>
        <w:tc>
          <w:tcPr>
            <w:tcW w:w="1090" w:type="dxa"/>
            <w:shd w:val="clear" w:color="auto" w:fill="C9C9C9" w:themeFill="accent3" w:themeFillTint="99"/>
          </w:tcPr>
          <w:p w14:paraId="0B800FB4" w14:textId="70C8D788" w:rsidR="002F0B88" w:rsidRPr="002F0B88" w:rsidRDefault="002F0B88" w:rsidP="00975DE5">
            <w:pPr>
              <w:jc w:val="both"/>
              <w:rPr>
                <w:b/>
                <w:bCs/>
              </w:rPr>
            </w:pPr>
            <m:oMathPara>
              <m:oMath>
                <m:r>
                  <m:rPr>
                    <m:sty m:val="bi"/>
                  </m:rPr>
                  <w:rPr>
                    <w:rFonts w:ascii="Cambria Math" w:hAnsi="Cambria Math"/>
                  </w:rPr>
                  <m:t>NDEI</m:t>
                </m:r>
              </m:oMath>
            </m:oMathPara>
          </w:p>
        </w:tc>
        <w:tc>
          <w:tcPr>
            <w:tcW w:w="1090" w:type="dxa"/>
            <w:shd w:val="clear" w:color="auto" w:fill="C9C9C9" w:themeFill="accent3" w:themeFillTint="99"/>
          </w:tcPr>
          <w:p w14:paraId="4AE72BEE" w14:textId="51B97F8D" w:rsidR="002F0B88" w:rsidRPr="002F0B88" w:rsidRDefault="00C6265D" w:rsidP="00975DE5">
            <w:pPr>
              <w:jc w:val="both"/>
              <w:rPr>
                <w:b/>
                <w:bCs/>
              </w:rPr>
            </w:pPr>
            <m:oMathPara>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m:oMathPara>
          </w:p>
        </w:tc>
      </w:tr>
      <w:tr w:rsidR="002F0B88" w14:paraId="24AC5DCB" w14:textId="77777777" w:rsidTr="004F2444">
        <w:trPr>
          <w:trHeight w:val="246"/>
          <w:jc w:val="center"/>
        </w:trPr>
        <w:tc>
          <w:tcPr>
            <w:tcW w:w="1089" w:type="dxa"/>
          </w:tcPr>
          <w:p w14:paraId="3EBE1093" w14:textId="70EFF3DF" w:rsidR="002F0B88" w:rsidRDefault="002F0B88" w:rsidP="00975DE5">
            <w:pPr>
              <w:jc w:val="both"/>
            </w:pPr>
            <m:oMathPara>
              <m:oMath>
                <m:r>
                  <w:rPr>
                    <w:rFonts w:ascii="Cambria Math" w:hAnsi="Cambria Math"/>
                  </w:rPr>
                  <m:t>17.0039</m:t>
                </m:r>
              </m:oMath>
            </m:oMathPara>
          </w:p>
        </w:tc>
        <w:tc>
          <w:tcPr>
            <w:tcW w:w="1089" w:type="dxa"/>
          </w:tcPr>
          <w:p w14:paraId="1C8EBB95" w14:textId="5D442A1F" w:rsidR="002F0B88" w:rsidRDefault="002F0B88" w:rsidP="00975DE5">
            <w:pPr>
              <w:jc w:val="both"/>
            </w:pPr>
            <m:oMathPara>
              <m:oMath>
                <m:r>
                  <w:rPr>
                    <w:rFonts w:ascii="Cambria Math" w:eastAsiaTheme="minorEastAsia" w:hAnsi="Cambria Math"/>
                  </w:rPr>
                  <m:t>0.244</m:t>
                </m:r>
              </m:oMath>
            </m:oMathPara>
          </w:p>
        </w:tc>
        <w:tc>
          <w:tcPr>
            <w:tcW w:w="1090" w:type="dxa"/>
          </w:tcPr>
          <w:p w14:paraId="2ABF175A" w14:textId="025C1E8E" w:rsidR="002F0B88" w:rsidRDefault="002F0B88" w:rsidP="00975DE5">
            <w:pPr>
              <w:jc w:val="both"/>
            </w:pPr>
            <m:oMathPara>
              <m:oMath>
                <m:r>
                  <w:rPr>
                    <w:rFonts w:ascii="Cambria Math" w:eastAsiaTheme="minorEastAsia" w:hAnsi="Cambria Math"/>
                  </w:rPr>
                  <m:t>0.4939</m:t>
                </m:r>
              </m:oMath>
            </m:oMathPara>
          </w:p>
        </w:tc>
        <w:tc>
          <w:tcPr>
            <w:tcW w:w="1090" w:type="dxa"/>
          </w:tcPr>
          <w:p w14:paraId="7FEF9176" w14:textId="5337409B" w:rsidR="002F0B88" w:rsidRDefault="002F0B88" w:rsidP="00975DE5">
            <w:pPr>
              <w:jc w:val="both"/>
            </w:pPr>
            <m:oMathPara>
              <m:oMath>
                <m:r>
                  <w:rPr>
                    <w:rFonts w:ascii="Cambria Math" w:eastAsiaTheme="minorEastAsia" w:hAnsi="Cambria Math"/>
                  </w:rPr>
                  <m:t>0.756</m:t>
                </m:r>
              </m:oMath>
            </m:oMathPara>
          </w:p>
        </w:tc>
      </w:tr>
    </w:tbl>
    <w:p w14:paraId="6CA9F164" w14:textId="77777777" w:rsidR="002F0B88" w:rsidRDefault="002F0B88" w:rsidP="00975DE5">
      <w:pPr>
        <w:jc w:val="both"/>
        <w:rPr>
          <w:lang w:val="el-GR"/>
        </w:rPr>
      </w:pPr>
    </w:p>
    <w:p w14:paraId="478F34F4" w14:textId="688A4202" w:rsidR="00760A2E" w:rsidRPr="00760A2E" w:rsidRDefault="00760A2E" w:rsidP="00975DE5">
      <w:pPr>
        <w:jc w:val="both"/>
        <w:rPr>
          <w:lang w:val="el-GR"/>
        </w:rPr>
      </w:pPr>
      <w:r>
        <w:rPr>
          <w:lang w:val="el-GR"/>
        </w:rPr>
        <w:t xml:space="preserve">Η επιλογή </w:t>
      </w:r>
      <w:r>
        <w:t>grid</w:t>
      </w:r>
      <w:r w:rsidRPr="00760A2E">
        <w:rPr>
          <w:lang w:val="el-GR"/>
        </w:rPr>
        <w:t xml:space="preserve"> </w:t>
      </w:r>
      <w:r>
        <w:t>partitioning</w:t>
      </w:r>
      <w:r w:rsidRPr="00760A2E">
        <w:rPr>
          <w:lang w:val="el-GR"/>
        </w:rPr>
        <w:t xml:space="preserve"> </w:t>
      </w:r>
      <w:r>
        <w:rPr>
          <w:lang w:val="el-GR"/>
        </w:rPr>
        <w:t>με δύο ή τρία ασαφή σύνολα ανά είσοδο για το ίδιο πλήθος χαρακτηριστικών θα οδηγούσε σε εκθετικά μεγαλύτερο πλήθος κανόνων του ασαφούς συστήματος συμπερασμού, κάτι που θα έκανε τη διαδικασία εκπαίδευσης ενός μοντέλου υπερβολικά πολύπλοκη υπολογιστικά και κοστοβόρα χρονικά.</w:t>
      </w:r>
    </w:p>
    <w:sectPr w:rsidR="00760A2E" w:rsidRPr="0076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672B4"/>
    <w:multiLevelType w:val="hybridMultilevel"/>
    <w:tmpl w:val="629A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05062"/>
    <w:multiLevelType w:val="hybridMultilevel"/>
    <w:tmpl w:val="F2C87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0F"/>
    <w:rsid w:val="00121EBC"/>
    <w:rsid w:val="00146E99"/>
    <w:rsid w:val="00176549"/>
    <w:rsid w:val="001E4CB4"/>
    <w:rsid w:val="00282F0F"/>
    <w:rsid w:val="00294E5C"/>
    <w:rsid w:val="002E0F64"/>
    <w:rsid w:val="002F0B88"/>
    <w:rsid w:val="003D7211"/>
    <w:rsid w:val="004126FC"/>
    <w:rsid w:val="004F2444"/>
    <w:rsid w:val="00643ECF"/>
    <w:rsid w:val="00760A2E"/>
    <w:rsid w:val="00975DE5"/>
    <w:rsid w:val="00B30CA2"/>
    <w:rsid w:val="00C37FC5"/>
    <w:rsid w:val="00C6265D"/>
    <w:rsid w:val="00C64DDA"/>
    <w:rsid w:val="00C9265D"/>
    <w:rsid w:val="00C95F5B"/>
    <w:rsid w:val="00DF118C"/>
    <w:rsid w:val="00E86B43"/>
    <w:rsid w:val="00F47DEC"/>
    <w:rsid w:val="00FB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CAC0"/>
  <w15:chartTrackingRefBased/>
  <w15:docId w15:val="{F5B69689-2CA7-4782-9781-25B70FD2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C5"/>
    <w:pPr>
      <w:ind w:left="720"/>
      <w:contextualSpacing/>
    </w:pPr>
  </w:style>
  <w:style w:type="table" w:styleId="TableGrid">
    <w:name w:val="Table Grid"/>
    <w:basedOn w:val="TableNormal"/>
    <w:uiPriority w:val="39"/>
    <w:rsid w:val="00643ECF"/>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3ECF"/>
    <w:rPr>
      <w:sz w:val="16"/>
      <w:szCs w:val="16"/>
    </w:rPr>
  </w:style>
  <w:style w:type="paragraph" w:styleId="CommentText">
    <w:name w:val="annotation text"/>
    <w:basedOn w:val="Normal"/>
    <w:link w:val="CommentTextChar"/>
    <w:uiPriority w:val="99"/>
    <w:semiHidden/>
    <w:unhideWhenUsed/>
    <w:rsid w:val="00643ECF"/>
    <w:pPr>
      <w:spacing w:line="240" w:lineRule="auto"/>
    </w:pPr>
    <w:rPr>
      <w:sz w:val="20"/>
      <w:szCs w:val="20"/>
    </w:rPr>
  </w:style>
  <w:style w:type="character" w:customStyle="1" w:styleId="CommentTextChar">
    <w:name w:val="Comment Text Char"/>
    <w:basedOn w:val="DefaultParagraphFont"/>
    <w:link w:val="CommentText"/>
    <w:uiPriority w:val="99"/>
    <w:semiHidden/>
    <w:rsid w:val="00643ECF"/>
    <w:rPr>
      <w:sz w:val="20"/>
      <w:szCs w:val="20"/>
    </w:rPr>
  </w:style>
  <w:style w:type="paragraph" w:styleId="CommentSubject">
    <w:name w:val="annotation subject"/>
    <w:basedOn w:val="CommentText"/>
    <w:next w:val="CommentText"/>
    <w:link w:val="CommentSubjectChar"/>
    <w:uiPriority w:val="99"/>
    <w:semiHidden/>
    <w:unhideWhenUsed/>
    <w:rsid w:val="00643ECF"/>
    <w:rPr>
      <w:b/>
      <w:bCs/>
    </w:rPr>
  </w:style>
  <w:style w:type="character" w:customStyle="1" w:styleId="CommentSubjectChar">
    <w:name w:val="Comment Subject Char"/>
    <w:basedOn w:val="CommentTextChar"/>
    <w:link w:val="CommentSubject"/>
    <w:uiPriority w:val="99"/>
    <w:semiHidden/>
    <w:rsid w:val="00643ECF"/>
    <w:rPr>
      <w:b/>
      <w:bCs/>
      <w:sz w:val="20"/>
      <w:szCs w:val="20"/>
    </w:rPr>
  </w:style>
  <w:style w:type="character" w:styleId="PlaceholderText">
    <w:name w:val="Placeholder Text"/>
    <w:basedOn w:val="DefaultParagraphFont"/>
    <w:uiPriority w:val="99"/>
    <w:semiHidden/>
    <w:rsid w:val="002F0B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kimifer 88</dc:creator>
  <cp:keywords/>
  <dc:description/>
  <cp:lastModifiedBy>kimifer 88</cp:lastModifiedBy>
  <cp:revision>9</cp:revision>
  <dcterms:created xsi:type="dcterms:W3CDTF">2021-03-06T07:56:00Z</dcterms:created>
  <dcterms:modified xsi:type="dcterms:W3CDTF">2021-03-07T21:49:00Z</dcterms:modified>
</cp:coreProperties>
</file>