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120" w:after="80" w:line="240" w:lineRule="auto"/>
      </w:pPr>
      <w:r>
        <w:rPr>
          <w:rFonts w:ascii="Calibri" w:hAnsi="Calibri"/>
          <w:b/>
          <w:color w:val="16324F"/>
          <w:sz w:val="54"/>
        </w:rPr>
        <w:t>Layer 1 Adoption Readiness</w:t>
      </w:r>
    </w:p>
    <w:p>
      <w:pPr>
        <w:keepNext/>
        <w:spacing w:before="0" w:after="320" w:line="252" w:lineRule="auto"/>
      </w:pPr>
      <w:r>
        <w:rPr>
          <w:rFonts w:ascii="Calibri" w:hAnsi="Calibri"/>
          <w:color w:val="5F6B76"/>
          <w:sz w:val="28"/>
        </w:rPr>
        <w:t>Current release-candidate state and controlled team pilot plan</w:t>
      </w:r>
    </w:p>
    <w:p>
      <w:pPr>
        <w:keepNext w:val="0"/>
        <w:spacing w:before="0" w:after="40" w:line="240" w:lineRule="auto"/>
      </w:pPr>
      <w:r>
        <w:rPr>
          <w:rFonts w:ascii="Calibri" w:hAnsi="Calibri"/>
          <w:b/>
          <w:color w:val="1F2933"/>
          <w:sz w:val="21"/>
        </w:rPr>
        <w:t xml:space="preserve">Audience: </w:t>
      </w:r>
      <w:r>
        <w:rPr>
          <w:rFonts w:ascii="Calibri" w:hAnsi="Calibri"/>
          <w:color w:val="1F2933"/>
          <w:sz w:val="21"/>
        </w:rPr>
        <w:t>Agent-standard maintainers, engineering platform, security and pilot owners</w:t>
      </w:r>
    </w:p>
    <w:p>
      <w:pPr>
        <w:keepNext w:val="0"/>
        <w:spacing w:before="0" w:after="40" w:line="240" w:lineRule="auto"/>
      </w:pPr>
      <w:r>
        <w:rPr>
          <w:rFonts w:ascii="Calibri" w:hAnsi="Calibri"/>
          <w:b/>
          <w:color w:val="1F2933"/>
          <w:sz w:val="21"/>
        </w:rPr>
        <w:t xml:space="preserve">Assessment date: </w:t>
      </w:r>
      <w:r>
        <w:rPr>
          <w:rFonts w:ascii="Calibri" w:hAnsi="Calibri"/>
          <w:color w:val="1F2933"/>
          <w:sz w:val="21"/>
        </w:rPr>
        <w:t>August 31, 2026</w:t>
      </w:r>
    </w:p>
    <w:p>
      <w:pPr>
        <w:keepNext w:val="0"/>
        <w:spacing w:before="0" w:after="40" w:line="240" w:lineRule="auto"/>
      </w:pPr>
      <w:r>
        <w:rPr>
          <w:rFonts w:ascii="Calibri" w:hAnsi="Calibri"/>
          <w:b/>
          <w:color w:val="1F2933"/>
          <w:sz w:val="21"/>
        </w:rPr>
        <w:t xml:space="preserve">Target: </w:t>
      </w:r>
      <w:r>
        <w:rPr>
          <w:rFonts w:ascii="Calibri" w:hAnsi="Calibri"/>
          <w:color w:val="1F2933"/>
          <w:sz w:val="21"/>
        </w:rPr>
        <w:t>Authorize a controlled team pilot after final CI and immutable release approval</w:t>
      </w:r>
    </w:p>
    <w:p>
      <w:pPr>
        <w:keepNext w:val="0"/>
        <w:spacing w:before="0" w:after="40" w:line="240" w:lineRule="auto"/>
      </w:pPr>
      <w:r>
        <w:rPr>
          <w:rFonts w:ascii="Calibri" w:hAnsi="Calibri"/>
          <w:b/>
          <w:color w:val="1F2933"/>
          <w:sz w:val="21"/>
        </w:rPr>
        <w:t xml:space="preserve">Status: </w:t>
      </w:r>
      <w:r>
        <w:rPr>
          <w:rFonts w:ascii="Calibri" w:hAnsi="Calibri"/>
          <w:color w:val="1F2933"/>
          <w:sz w:val="21"/>
        </w:rPr>
        <w:t>Release candidate - technical gates pass; final release and pilot authorization remain</w:t>
      </w:r>
    </w:p>
    <w:p>
      <w:pPr>
        <w:keepNext w:val="0"/>
        <w:spacing w:before="160" w:after="280" w:line="240" w:lineRule="auto"/>
        <w:pBdr>
          <w:bottom w:val="single" w:sz="14" w:space="1" w:color="2E74B5"/>
        </w:pBdr>
      </w:pPr>
    </w:p>
    <w:p>
      <w:pPr>
        <w:keepNext w:val="0"/>
        <w:spacing w:before="80" w:after="200" w:line="269" w:lineRule="auto"/>
        <w:shd w:fill="FFF4D6"/>
        <w:pBdr>
          <w:left w:val="single" w:sz="18" w:space="8" w:color="A36B00"/>
        </w:pBdr>
      </w:pPr>
      <w:r>
        <w:rPr>
          <w:rFonts w:ascii="Calibri" w:hAnsi="Calibri"/>
          <w:b/>
          <w:color w:val="16324F"/>
          <w:sz w:val="22"/>
        </w:rPr>
        <w:t xml:space="preserve">Decision: </w:t>
      </w:r>
      <w:r>
        <w:rPr>
          <w:rFonts w:ascii="Calibri" w:hAnsi="Calibri"/>
          <w:color w:val="1F2933"/>
          <w:sz w:val="22"/>
        </w:rPr>
        <w:t>Layer 1 is technically ready for a limited, closely owned team pilot after the reviewed release candidate passes final Windows and Ubuntu CI and is published at one immutable commit. Enterprise-wide rollout remains a separate decision based on pilot evidence and authorized platform controls.</w:t>
      </w:r>
    </w:p>
    <w:p>
      <w:pPr>
        <w:pStyle w:val="Heading1"/>
      </w:pPr>
      <w:r>
        <w:t>Terminology boundary</w:t>
      </w:r>
    </w:p>
    <w:p>
      <w:pPr>
        <w:keepNext w:val="0"/>
        <w:spacing w:before="0" w:after="120" w:line="264" w:lineRule="auto"/>
      </w:pPr>
      <w:r>
        <w:rPr>
          <w:rFonts w:ascii="Calibri" w:hAnsi="Calibri"/>
          <w:color w:val="1F2933"/>
        </w:rPr>
        <w:t>In the six-layer architecture, Layer 1 means the enterprise baseline: the minimum organization-wide operating and control contract. This is different from the repository's AS-1 conformance level, which specifically describes canonical agent instructions and generated client entry points. The pilot should use these terms consistently.</w:t>
      </w:r>
    </w:p>
    <w:p>
      <w:pPr>
        <w:pStyle w:val="Heading1"/>
      </w:pPr>
      <w:r>
        <w:t>Current readiness summary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1100"/>
        <w:gridCol w:w="5460"/>
      </w:tblGrid>
      <w:tr>
        <w:trPr>
          <w:tblHeader w:val="true"/>
        </w:trPr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324F"/>
                <w:sz w:val="19"/>
              </w:rPr>
              <w:t>Capability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324F"/>
                <w:sz w:val="19"/>
              </w:rPr>
              <w:t>State</w:t>
            </w:r>
          </w:p>
        </w:tc>
        <w:tc>
          <w:tcPr>
            <w:tcW w:type="dxa" w:w="5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324F"/>
                <w:sz w:val="19"/>
              </w:rPr>
              <w:t>Assessment</w:t>
            </w:r>
          </w:p>
        </w:tc>
      </w:tr>
      <w:tr>
        <w:tc>
          <w:tcPr>
            <w:tcW w:type="dxa" w:w="280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Canonical operating instructions</w:t>
            </w:r>
          </w:p>
        </w:tc>
        <w:tc>
          <w:tcPr>
            <w:tcW w:type="dxa" w:w="1100"/>
            <w:shd w:fill="EAF3EC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/>
                <w:color w:val="1F2933"/>
                <w:sz w:val="18"/>
              </w:rPr>
              <w:t>Green</w:t>
            </w:r>
          </w:p>
        </w:tc>
        <w:tc>
          <w:tcPr>
            <w:tcW w:type="dxa" w:w="546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One .ruler source fans out to tracked agent entry points.</w:t>
            </w:r>
          </w:p>
        </w:tc>
      </w:tr>
      <w:tr>
        <w:tc>
          <w:tcPr>
            <w:tcW w:type="dxa" w:w="280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Deterministic quality and supply-chain controls</w:t>
            </w:r>
          </w:p>
        </w:tc>
        <w:tc>
          <w:tcPr>
            <w:tcW w:type="dxa" w:w="1100"/>
            <w:shd w:fill="EAF3EC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/>
                <w:color w:val="1F2933"/>
                <w:sz w:val="18"/>
              </w:rPr>
              <w:t>Green</w:t>
            </w:r>
          </w:p>
        </w:tc>
        <w:tc>
          <w:tcPr>
            <w:tcW w:type="dxa" w:w="546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Doctor, verification, DoD and SBOM checks are implemented and tested.</w:t>
            </w:r>
          </w:p>
        </w:tc>
      </w:tr>
      <w:tr>
        <w:tc>
          <w:tcPr>
            <w:tcW w:type="dxa" w:w="280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Provider-neutral core</w:t>
            </w:r>
          </w:p>
        </w:tc>
        <w:tc>
          <w:tcPr>
            <w:tcW w:type="dxa" w:w="1100"/>
            <w:shd w:fill="EAF3EC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/>
                <w:color w:val="1F2933"/>
                <w:sz w:val="18"/>
              </w:rPr>
              <w:t>Green</w:t>
            </w:r>
          </w:p>
        </w:tc>
        <w:tc>
          <w:tcPr>
            <w:tcW w:type="dxa" w:w="546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GitHub and Azure DevOps behavior is isolated behind adapters.</w:t>
            </w:r>
          </w:p>
        </w:tc>
      </w:tr>
      <w:tr>
        <w:tc>
          <w:tcPr>
            <w:tcW w:type="dxa" w:w="280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Configuration and profile contract</w:t>
            </w:r>
          </w:p>
        </w:tc>
        <w:tc>
          <w:tcPr>
            <w:tcW w:type="dxa" w:w="1100"/>
            <w:shd w:fill="EAF3EC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/>
                <w:color w:val="1F2933"/>
                <w:sz w:val="18"/>
              </w:rPr>
              <w:t>Green</w:t>
            </w:r>
          </w:p>
        </w:tc>
        <w:tc>
          <w:tcPr>
            <w:tcW w:type="dxa" w:w="546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Copier exposes supported stacks, architecture, workflow, provider and gate choices.</w:t>
            </w:r>
          </w:p>
        </w:tc>
      </w:tr>
      <w:tr>
        <w:tc>
          <w:tcPr>
            <w:tcW w:type="dxa" w:w="280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Immutable release distribution</w:t>
            </w:r>
          </w:p>
        </w:tc>
        <w:tc>
          <w:tcPr>
            <w:tcW w:type="dxa" w:w="1100"/>
            <w:shd w:fill="FFF4D6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/>
                <w:color w:val="1F2933"/>
                <w:sz w:val="18"/>
              </w:rPr>
              <w:t>Amber</w:t>
            </w:r>
          </w:p>
        </w:tc>
        <w:tc>
          <w:tcPr>
            <w:tcW w:type="dxa" w:w="546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Version 1.0.0 is prepared locally; distribution remains blocked until the reviewed commit passes final CI and receives an immutable release tag.</w:t>
            </w:r>
          </w:p>
        </w:tc>
      </w:tr>
      <w:tr>
        <w:tc>
          <w:tcPr>
            <w:tcW w:type="dxa" w:w="280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Organization policy wrapper</w:t>
            </w:r>
          </w:p>
        </w:tc>
        <w:tc>
          <w:tcPr>
            <w:tcW w:type="dxa" w:w="1100"/>
            <w:shd w:fill="FFF4D6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/>
                <w:color w:val="1F2933"/>
                <w:sz w:val="18"/>
              </w:rPr>
              <w:t>Amber</w:t>
            </w:r>
          </w:p>
        </w:tc>
        <w:tc>
          <w:tcPr>
            <w:tcW w:type="dxa" w:w="546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The technical pilot wrapper now pins policy to the approved revision and provides a support route; organization owners must still approve the cohort, data policy and escalation model.</w:t>
            </w:r>
          </w:p>
        </w:tc>
      </w:tr>
      <w:tr>
        <w:tc>
          <w:tcPr>
            <w:tcW w:type="dxa" w:w="280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Existing agent-rule adoption safety</w:t>
            </w:r>
          </w:p>
        </w:tc>
        <w:tc>
          <w:tcPr>
            <w:tcW w:type="dxa" w:w="1100"/>
            <w:shd w:fill="FFF4D6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/>
                <w:color w:val="1F2933"/>
                <w:sz w:val="18"/>
              </w:rPr>
              <w:t>Amber</w:t>
            </w:r>
          </w:p>
        </w:tc>
        <w:tc>
          <w:tcPr>
            <w:tcW w:type="dxa" w:w="546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Assessment inventories existing AGENTS.md, CLAUDE.md, .ruler and client-skill content and blocks unowned collisions before application.</w:t>
            </w:r>
          </w:p>
        </w:tc>
      </w:tr>
      <w:tr>
        <w:tc>
          <w:tcPr>
            <w:tcW w:type="dxa" w:w="280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Machine-readable control evidence</w:t>
            </w:r>
          </w:p>
        </w:tc>
        <w:tc>
          <w:tcPr>
            <w:tcW w:type="dxa" w:w="1100"/>
            <w:shd w:fill="FFF4D6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/>
                <w:color w:val="1F2933"/>
                <w:sz w:val="18"/>
              </w:rPr>
              <w:t>Amber</w:t>
            </w:r>
          </w:p>
        </w:tc>
        <w:tc>
          <w:tcPr>
            <w:tcW w:type="dxa" w:w="546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Stable Layer 1 controls, local verification evidence and revision-bound Azure audit evidence are defined; provider authorization remains separate.</w:t>
            </w:r>
          </w:p>
        </w:tc>
      </w:tr>
    </w:tbl>
    <w:p>
      <w:pPr>
        <w:keepNext w:val="0"/>
        <w:spacing w:before="0" w:after="80" w:line="240" w:lineRule="auto"/>
      </w:pPr>
    </w:p>
    <w:p>
      <w:r>
        <w:br w:type="page"/>
      </w:r>
    </w:p>
    <w:p>
      <w:pPr>
        <w:pStyle w:val="Heading1"/>
      </w:pPr>
      <w:r>
        <w:t>What is ready today</w:t>
      </w:r>
    </w:p>
    <w:p>
      <w:pPr>
        <w:keepNext w:val="0"/>
        <w:numPr>
          <w:ilvl w:val="0"/>
          <w:numId w:val="10"/>
        </w:numPr>
        <w:spacing w:before="0" w:after="160" w:line="280" w:lineRule="auto"/>
      </w:pPr>
      <w:r>
        <w:rPr>
          <w:rFonts w:ascii="Calibri" w:hAnsi="Calibri"/>
          <w:color w:val="1F2933"/>
        </w:rPr>
        <w:t>A clear operating loop and definition of done for agents working in participating repositories.</w:t>
      </w:r>
    </w:p>
    <w:p>
      <w:pPr>
        <w:keepNext w:val="0"/>
        <w:numPr>
          <w:ilvl w:val="0"/>
          <w:numId w:val="10"/>
        </w:numPr>
        <w:spacing w:before="0" w:after="160" w:line="280" w:lineRule="auto"/>
      </w:pPr>
      <w:r>
        <w:rPr>
          <w:rFonts w:ascii="Calibri" w:hAnsi="Calibri"/>
          <w:color w:val="1F2933"/>
        </w:rPr>
        <w:t>A manifest and schema that declare the selected project, governance, workflow, quality and supply-chain contract.</w:t>
      </w:r>
    </w:p>
    <w:p>
      <w:pPr>
        <w:keepNext w:val="0"/>
        <w:numPr>
          <w:ilvl w:val="0"/>
          <w:numId w:val="10"/>
        </w:numPr>
        <w:spacing w:before="0" w:after="160" w:line="280" w:lineRule="auto"/>
      </w:pPr>
      <w:r>
        <w:rPr>
          <w:rFonts w:ascii="Calibri" w:hAnsi="Calibri"/>
          <w:color w:val="1F2933"/>
        </w:rPr>
        <w:t>Strict local and CI verification, structured no-test waivers, and current CycloneDX or SPDX dependency evidence.</w:t>
      </w:r>
    </w:p>
    <w:p>
      <w:pPr>
        <w:keepNext w:val="0"/>
        <w:numPr>
          <w:ilvl w:val="0"/>
          <w:numId w:val="10"/>
        </w:numPr>
        <w:spacing w:before="0" w:after="160" w:line="280" w:lineRule="auto"/>
      </w:pPr>
      <w:r>
        <w:rPr>
          <w:rFonts w:ascii="Calibri" w:hAnsi="Calibri"/>
          <w:color w:val="1F2933"/>
        </w:rPr>
        <w:t>Version-pinned bootstrap dependencies, SHA-pinned GitHub Actions, and immutable Azure central-template support.</w:t>
      </w:r>
    </w:p>
    <w:p>
      <w:pPr>
        <w:keepNext w:val="0"/>
        <w:numPr>
          <w:ilvl w:val="0"/>
          <w:numId w:val="10"/>
        </w:numPr>
        <w:spacing w:before="0" w:after="160" w:line="280" w:lineRule="auto"/>
      </w:pPr>
      <w:r>
        <w:rPr>
          <w:rFonts w:ascii="Calibri" w:hAnsi="Calibri"/>
          <w:color w:val="1F2933"/>
        </w:rPr>
        <w:t>Transactional staging, dry-run plans, rollback backups and fail-closed package-manager checks.</w:t>
      </w:r>
    </w:p>
    <w:p>
      <w:pPr>
        <w:keepNext w:val="0"/>
        <w:numPr>
          <w:ilvl w:val="0"/>
          <w:numId w:val="10"/>
        </w:numPr>
        <w:spacing w:before="0" w:after="160" w:line="280" w:lineRule="auto"/>
      </w:pPr>
      <w:r>
        <w:rPr>
          <w:rFonts w:ascii="Calibri" w:hAnsi="Calibri"/>
          <w:color w:val="1F2933"/>
        </w:rPr>
        <w:t>A full render matrix covering supported stacks, modes, providers and Azure pipeline variants.</w:t>
      </w:r>
    </w:p>
    <w:p>
      <w:pPr>
        <w:pStyle w:val="Heading2"/>
      </w:pPr>
      <w:r>
        <w:t>Pilot value enabled by the foundation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324F"/>
                <w:sz w:val="19"/>
              </w:rPr>
              <w:t>Value area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324F"/>
                <w:sz w:val="19"/>
              </w:rPr>
              <w:t>Capability available for the pilot</w:t>
            </w:r>
          </w:p>
        </w:tc>
      </w:tr>
      <w:tr>
        <w:tc>
          <w:tcPr>
            <w:tcW w:type="dxa" w:w="220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Security assurance</w:t>
            </w:r>
          </w:p>
        </w:tc>
        <w:tc>
          <w:tcPr>
            <w:tcW w:type="dxa" w:w="716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Pinned external dependencies and current SBOM evidence provide a reviewable software-supply-chain baseline.</w:t>
            </w:r>
          </w:p>
        </w:tc>
      </w:tr>
      <w:tr>
        <w:tc>
          <w:tcPr>
            <w:tcW w:type="dxa" w:w="220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Quality assurance</w:t>
            </w:r>
          </w:p>
        </w:tc>
        <w:tc>
          <w:tcPr>
            <w:tcW w:type="dxa" w:w="716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Doctor, verification and definition-of-done checks give teams one repeatable completion path.</w:t>
            </w:r>
          </w:p>
        </w:tc>
      </w:tr>
      <w:tr>
        <w:tc>
          <w:tcPr>
            <w:tcW w:type="dxa" w:w="220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Delivery efficiency</w:t>
            </w:r>
          </w:p>
        </w:tc>
        <w:tc>
          <w:tcPr>
            <w:tcW w:type="dxa" w:w="716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Configurable rendering, dry-run planning, transactional apply and rollback reduce setup and recovery effort.</w:t>
            </w:r>
          </w:p>
        </w:tc>
      </w:tr>
      <w:tr>
        <w:tc>
          <w:tcPr>
            <w:tcW w:type="dxa" w:w="220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Portfolio governance</w:t>
            </w:r>
          </w:p>
        </w:tc>
        <w:tc>
          <w:tcPr>
            <w:tcW w:type="dxa" w:w="716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A shared manifest, control vocabulary and provider adapters make repository outcomes easier to compare.</w:t>
            </w:r>
          </w:p>
        </w:tc>
      </w:tr>
    </w:tbl>
    <w:p>
      <w:pPr>
        <w:keepNext w:val="0"/>
        <w:spacing w:before="0" w:after="80" w:line="240" w:lineRule="auto"/>
      </w:pPr>
    </w:p>
    <w:p>
      <w:pPr>
        <w:keepNext w:val="0"/>
        <w:spacing w:before="80" w:after="200" w:line="269" w:lineRule="auto"/>
        <w:shd w:fill="E8EEF5"/>
        <w:pBdr>
          <w:left w:val="single" w:sz="18" w:space="8" w:color="2E74B5"/>
        </w:pBdr>
      </w:pPr>
      <w:r>
        <w:rPr>
          <w:rFonts w:ascii="Calibri" w:hAnsi="Calibri"/>
          <w:b/>
          <w:color w:val="16324F"/>
          <w:sz w:val="22"/>
        </w:rPr>
        <w:t xml:space="preserve">Pilot use: </w:t>
      </w:r>
      <w:r>
        <w:rPr>
          <w:rFonts w:ascii="Calibri" w:hAnsi="Calibri"/>
          <w:color w:val="1F2933"/>
          <w:sz w:val="22"/>
        </w:rPr>
        <w:t>Use these capabilities as the technical foundation. The release closeout checklist on the following page separates implemented safeguards from the remaining release and organization approvals.</w:t>
      </w:r>
    </w:p>
    <w:p>
      <w:r>
        <w:br w:type="page"/>
      </w:r>
    </w:p>
    <w:p>
      <w:pPr>
        <w:pStyle w:val="Heading1"/>
      </w:pPr>
      <w:r>
        <w:t>Release closeout checklist</w:t>
      </w:r>
    </w:p>
    <w:p>
      <w:pPr>
        <w:keepNext w:val="0"/>
        <w:spacing w:before="0" w:after="120" w:line="264" w:lineRule="auto"/>
      </w:pPr>
      <w:r>
        <w:rPr>
          <w:rFonts w:ascii="Calibri" w:hAnsi="Calibri"/>
          <w:color w:val="1F2933"/>
        </w:rPr>
        <w:t>Technical safeguards are implemented unless marked otherwise. Until final release and pilot authorization are complete, repository activity remains assessment and reviewed dry-run only.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700"/>
        <w:gridCol w:w="1900"/>
        <w:gridCol w:w="3300"/>
        <w:gridCol w:w="3460"/>
      </w:tblGrid>
      <w:tr>
        <w:trPr>
          <w:tblHeader w:val="true"/>
        </w:trPr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324F"/>
                <w:sz w:val="19"/>
              </w:rPr>
              <w:t>Gate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324F"/>
                <w:sz w:val="19"/>
              </w:rPr>
              <w:t>State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324F"/>
                <w:sz w:val="19"/>
              </w:rPr>
              <w:t>Closeout action</w:t>
            </w:r>
          </w:p>
        </w:tc>
        <w:tc>
          <w:tcPr>
            <w:tcW w:type="dxa" w:w="3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324F"/>
                <w:sz w:val="19"/>
              </w:rPr>
              <w:t>Acceptance test</w:t>
            </w:r>
          </w:p>
        </w:tc>
      </w:tr>
      <w:tr>
        <w:tc>
          <w:tcPr>
            <w:tcW w:type="dxa" w:w="70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CORE-1</w:t>
            </w:r>
          </w:p>
        </w:tc>
        <w:tc>
          <w:tcPr>
            <w:tcW w:type="dxa" w:w="190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Final immutable release pending</w:t>
            </w:r>
          </w:p>
        </w:tc>
        <w:tc>
          <w:tcPr>
            <w:tcW w:type="dxa" w:w="330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Merge the reviewed 1.0.0 release candidate, pass Windows and Ubuntu CI, and tag the final full commit. Pilot commands pin both package and template to that revision.</w:t>
            </w:r>
          </w:p>
        </w:tc>
        <w:tc>
          <w:tcPr>
            <w:tcW w:type="dxa" w:w="346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A clean repository can install the exact release twice and produce identical governed outputs.</w:t>
            </w:r>
          </w:p>
        </w:tc>
      </w:tr>
      <w:tr>
        <w:tc>
          <w:tcPr>
            <w:tcW w:type="dxa" w:w="70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CORE-2</w:t>
            </w:r>
          </w:p>
        </w:tc>
        <w:tc>
          <w:tcPr>
            <w:tcW w:type="dxa" w:w="190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Implemented: Layer 1 control contract</w:t>
            </w:r>
          </w:p>
        </w:tc>
        <w:tc>
          <w:tcPr>
            <w:tcW w:type="dxa" w:w="330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Confirm the published catalog remains aligned with the final release commit and evidence note.</w:t>
            </w:r>
          </w:p>
        </w:tc>
        <w:tc>
          <w:tcPr>
            <w:tcW w:type="dxa" w:w="346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Every Layer 1 claim maps to a control ID and a named evidence source.</w:t>
            </w:r>
          </w:p>
        </w:tc>
      </w:tr>
      <w:tr>
        <w:tc>
          <w:tcPr>
            <w:tcW w:type="dxa" w:w="70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PILOT-1</w:t>
            </w:r>
          </w:p>
        </w:tc>
        <w:tc>
          <w:tcPr>
            <w:tcW w:type="dxa" w:w="190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Implemented: technical pilot wrapper</w:t>
            </w:r>
          </w:p>
        </w:tc>
        <w:tc>
          <w:tcPr>
            <w:tcW w:type="dxa" w:w="330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The wrapper pins policy and support to the approved revision. Organization owners approve the cohort, data-handling policy, identities and escalation route before use.</w:t>
            </w:r>
          </w:p>
        </w:tc>
        <w:tc>
          <w:tcPr>
            <w:tcW w:type="dxa" w:w="346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Pilot teams receive one approved command and one accountable support path.</w:t>
            </w:r>
          </w:p>
        </w:tc>
      </w:tr>
      <w:tr>
        <w:tc>
          <w:tcPr>
            <w:tcW w:type="dxa" w:w="70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SAFE-1</w:t>
            </w:r>
          </w:p>
        </w:tc>
        <w:tc>
          <w:tcPr>
            <w:tcW w:type="dxa" w:w="190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Implemented: existing instruction protection</w:t>
            </w:r>
          </w:p>
        </w:tc>
        <w:tc>
          <w:tcPr>
            <w:tcW w:type="dxa" w:w="330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Keep collision and preservation regression tests green for root/nested agent instructions, Ruler sources and client skills.</w:t>
            </w:r>
          </w:p>
        </w:tc>
        <w:tc>
          <w:tcPr>
            <w:tcW w:type="dxa" w:w="346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A fixture with existing agent rules is preserved and the installer fails safely with an actionable report.</w:t>
            </w:r>
          </w:p>
        </w:tc>
      </w:tr>
      <w:tr>
        <w:tc>
          <w:tcPr>
            <w:tcW w:type="dxa" w:w="70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SAFE-2</w:t>
            </w:r>
          </w:p>
        </w:tc>
        <w:tc>
          <w:tcPr>
            <w:tcW w:type="dxa" w:w="190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Implemented: explicit adoption decisions</w:t>
            </w:r>
          </w:p>
        </w:tc>
        <w:tc>
          <w:tcPr>
            <w:tcW w:type="dxa" w:w="330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Keep architecture and ownership as explicit blockers before application while allowing non-mutating assessment.</w:t>
            </w:r>
          </w:p>
        </w:tc>
        <w:tc>
          <w:tcPr>
            <w:tcW w:type="dxa" w:w="346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Adoption without an architecture decision cannot proceed beyond dry-run.</w:t>
            </w:r>
          </w:p>
        </w:tc>
      </w:tr>
      <w:tr>
        <w:tc>
          <w:tcPr>
            <w:tcW w:type="dxa" w:w="70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PILOT-2</w:t>
            </w:r>
          </w:p>
        </w:tc>
        <w:tc>
          <w:tcPr>
            <w:tcW w:type="dxa" w:w="190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Implemented: support boundary documented</w:t>
            </w:r>
          </w:p>
        </w:tc>
        <w:tc>
          <w:tcPr>
            <w:tcW w:type="dxa" w:w="330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Pilot owners select only repositories inside the documented Windows/Ubuntu, npm/uv, stack and provider boundary.</w:t>
            </w:r>
          </w:p>
        </w:tc>
        <w:tc>
          <w:tcPr>
            <w:tcW w:type="dxa" w:w="346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A repository owner can determine eligibility before invoking the installer.</w:t>
            </w:r>
          </w:p>
        </w:tc>
      </w:tr>
      <w:tr>
        <w:tc>
          <w:tcPr>
            <w:tcW w:type="dxa" w:w="70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CORE-3</w:t>
            </w:r>
          </w:p>
        </w:tc>
        <w:tc>
          <w:tcPr>
            <w:tcW w:type="dxa" w:w="190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In progress: final release evidence</w:t>
            </w:r>
          </w:p>
        </w:tc>
        <w:tc>
          <w:tcPr>
            <w:tcW w:type="dxa" w:w="330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Rerun source tests, all renders, update round trips and recovery checks on the final immutable commit and attach both CI host results.</w:t>
            </w:r>
          </w:p>
        </w:tc>
        <w:tc>
          <w:tcPr>
            <w:tcW w:type="dxa" w:w="346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The evidence package records passing checks, known limitations and a tested recovery procedure.</w:t>
            </w:r>
          </w:p>
        </w:tc>
      </w:tr>
      <w:tr>
        <w:tc>
          <w:tcPr>
            <w:tcW w:type="dxa" w:w="70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GOV-1</w:t>
            </w:r>
          </w:p>
        </w:tc>
        <w:tc>
          <w:tcPr>
            <w:tcW w:type="dxa" w:w="190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Implemented: truthful conformance states</w:t>
            </w:r>
          </w:p>
        </w:tc>
        <w:tc>
          <w:tcPr>
            <w:tcW w:type="dxa" w:w="330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Continue to report local, target and remote status separately; only authorized provider evidence can move a repository to conformant.</w:t>
            </w:r>
          </w:p>
        </w:tc>
        <w:tc>
          <w:tcPr>
            <w:tcW w:type="dxa" w:w="346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Pilot communications and manifests use the same state definitions.</w:t>
            </w:r>
          </w:p>
        </w:tc>
      </w:tr>
      <w:tr>
        <w:tc>
          <w:tcPr>
            <w:tcW w:type="dxa" w:w="70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PILOT-3</w:t>
            </w:r>
          </w:p>
        </w:tc>
        <w:tc>
          <w:tcPr>
            <w:tcW w:type="dxa" w:w="190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Organization approval required</w:t>
            </w:r>
          </w:p>
        </w:tc>
        <w:tc>
          <w:tcPr>
            <w:tcW w:type="dxa" w:w="330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The pilot sponsor records the approved cohort, release owner, security reviewer, recovery authority, support route and change window.</w:t>
            </w:r>
          </w:p>
        </w:tc>
        <w:tc>
          <w:tcPr>
            <w:tcW w:type="dxa" w:w="346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Every pilot repository has named accountable contacts before installation.</w:t>
            </w:r>
          </w:p>
        </w:tc>
      </w:tr>
    </w:tbl>
    <w:p>
      <w:pPr>
        <w:keepNext w:val="0"/>
        <w:spacing w:before="0" w:after="80" w:line="240" w:lineRule="auto"/>
      </w:pPr>
    </w:p>
    <w:p>
      <w:r>
        <w:br w:type="page"/>
      </w:r>
    </w:p>
    <w:p>
      <w:pPr>
        <w:pStyle w:val="Heading1"/>
      </w:pPr>
      <w:r>
        <w:t>Layer 1 control boundary to publish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3400"/>
        <w:gridCol w:w="2500"/>
        <w:gridCol w:w="1660"/>
      </w:tblGrid>
      <w:tr>
        <w:trPr>
          <w:tblHeader w:val="true"/>
        </w:trP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324F"/>
                <w:sz w:val="19"/>
              </w:rPr>
              <w:t>Control family</w:t>
            </w:r>
          </w:p>
        </w:tc>
        <w:tc>
          <w:tcPr>
            <w:tcW w:type="dxa" w:w="3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324F"/>
                <w:sz w:val="19"/>
              </w:rPr>
              <w:t>Minimum outcome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324F"/>
                <w:sz w:val="19"/>
              </w:rPr>
              <w:t>Evidence</w:t>
            </w:r>
          </w:p>
        </w:tc>
        <w:tc>
          <w:tcPr>
            <w:tcW w:type="dxa" w:w="1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324F"/>
                <w:sz w:val="19"/>
              </w:rPr>
              <w:t>Policy class</w:t>
            </w:r>
          </w:p>
        </w:tc>
      </w:tr>
      <w:tr>
        <w:tc>
          <w:tcPr>
            <w:tcW w:type="dxa" w:w="180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Instruction governance</w:t>
            </w:r>
          </w:p>
        </w:tc>
        <w:tc>
          <w:tcPr>
            <w:tcW w:type="dxa" w:w="340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One canonical tracked source; generated client outputs; declared supported clients.</w:t>
            </w:r>
          </w:p>
        </w:tc>
        <w:tc>
          <w:tcPr>
            <w:tcW w:type="dxa" w:w="250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AS-AGENT-001, doctor, source/render tests</w:t>
            </w:r>
          </w:p>
        </w:tc>
        <w:tc>
          <w:tcPr>
            <w:tcW w:type="dxa" w:w="166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Protected</w:t>
            </w:r>
          </w:p>
        </w:tc>
      </w:tr>
      <w:tr>
        <w:tc>
          <w:tcPr>
            <w:tcW w:type="dxa" w:w="180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Ownership and authorization</w:t>
            </w:r>
          </w:p>
        </w:tc>
        <w:tc>
          <w:tcPr>
            <w:tcW w:type="dxa" w:w="340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Named owners for protected paths; no remote mutation without explicit authorization.</w:t>
            </w:r>
          </w:p>
        </w:tc>
        <w:tc>
          <w:tcPr>
            <w:tcW w:type="dxa" w:w="250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Manifest, CODEOWNERS/adapter contract, runbooks</w:t>
            </w:r>
          </w:p>
        </w:tc>
        <w:tc>
          <w:tcPr>
            <w:tcW w:type="dxa" w:w="166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Protected</w:t>
            </w:r>
          </w:p>
        </w:tc>
      </w:tr>
      <w:tr>
        <w:tc>
          <w:tcPr>
            <w:tcW w:type="dxa" w:w="180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Quality verification</w:t>
            </w:r>
          </w:p>
        </w:tc>
        <w:tc>
          <w:tcPr>
            <w:tcW w:type="dxa" w:w="340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One complete verification command; source changes require recognized tests or an approved exception.</w:t>
            </w:r>
          </w:p>
        </w:tc>
        <w:tc>
          <w:tcPr>
            <w:tcW w:type="dxa" w:w="250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AS-QUAL-001/002, DoD, CI</w:t>
            </w:r>
          </w:p>
        </w:tc>
        <w:tc>
          <w:tcPr>
            <w:tcW w:type="dxa" w:w="166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Test rule waivable</w:t>
            </w:r>
          </w:p>
        </w:tc>
      </w:tr>
      <w:tr>
        <w:tc>
          <w:tcPr>
            <w:tcW w:type="dxa" w:w="180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Documentation lifecycle</w:t>
            </w:r>
          </w:p>
        </w:tc>
        <w:tc>
          <w:tcPr>
            <w:tcW w:type="dxa" w:w="340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Governed documents carry ownership, status, freshness and valid links.</w:t>
            </w:r>
          </w:p>
        </w:tc>
        <w:tc>
          <w:tcPr>
            <w:tcW w:type="dxa" w:w="250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AS-DOC-001, doctor</w:t>
            </w:r>
          </w:p>
        </w:tc>
        <w:tc>
          <w:tcPr>
            <w:tcW w:type="dxa" w:w="166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Configurable scope</w:t>
            </w:r>
          </w:p>
        </w:tc>
      </w:tr>
      <w:tr>
        <w:tc>
          <w:tcPr>
            <w:tcW w:type="dxa" w:w="180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Supply-chain integrity</w:t>
            </w:r>
          </w:p>
        </w:tc>
        <w:tc>
          <w:tcPr>
            <w:tcW w:type="dxa" w:w="340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Locked installs, committed current SBOM and immutable external workflow references.</w:t>
            </w:r>
          </w:p>
        </w:tc>
        <w:tc>
          <w:tcPr>
            <w:tcW w:type="dxa" w:w="250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AS-SUPPLY-001/002</w:t>
            </w:r>
          </w:p>
        </w:tc>
        <w:tc>
          <w:tcPr>
            <w:tcW w:type="dxa" w:w="166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Protected for strict pilot</w:t>
            </w:r>
          </w:p>
        </w:tc>
      </w:tr>
      <w:tr>
        <w:tc>
          <w:tcPr>
            <w:tcW w:type="dxa" w:w="180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Security baseline</w:t>
            </w:r>
          </w:p>
        </w:tc>
        <w:tc>
          <w:tcPr>
            <w:tcW w:type="dxa" w:w="340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No secrets in source; approved scanning and dependency review; explicit trust boundaries.</w:t>
            </w:r>
          </w:p>
        </w:tc>
        <w:tc>
          <w:tcPr>
            <w:tcW w:type="dxa" w:w="250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Security policy and provider adapter</w:t>
            </w:r>
          </w:p>
        </w:tc>
        <w:tc>
          <w:tcPr>
            <w:tcW w:type="dxa" w:w="166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Protected</w:t>
            </w:r>
          </w:p>
        </w:tc>
      </w:tr>
      <w:tr>
        <w:tc>
          <w:tcPr>
            <w:tcW w:type="dxa" w:w="180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Conformance truthfulness</w:t>
            </w:r>
          </w:p>
        </w:tc>
        <w:tc>
          <w:tcPr>
            <w:tcW w:type="dxa" w:w="340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Local, remote and target state remain separate and auditable.</w:t>
            </w:r>
          </w:p>
        </w:tc>
        <w:tc>
          <w:tcPr>
            <w:tcW w:type="dxa" w:w="250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Manifest state and authorized audit</w:t>
            </w:r>
          </w:p>
        </w:tc>
        <w:tc>
          <w:tcPr>
            <w:tcW w:type="dxa" w:w="166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Non-waivable</w:t>
            </w:r>
          </w:p>
        </w:tc>
      </w:tr>
      <w:tr>
        <w:tc>
          <w:tcPr>
            <w:tcW w:type="dxa" w:w="180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Change ownership</w:t>
            </w:r>
          </w:p>
        </w:tc>
        <w:tc>
          <w:tcPr>
            <w:tcW w:type="dxa" w:w="340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Standard updates are reviewed, verified and committed as one coherent change.</w:t>
            </w:r>
          </w:p>
        </w:tc>
        <w:tc>
          <w:tcPr>
            <w:tcW w:type="dxa" w:w="250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Copier update workflow and runbook</w:t>
            </w:r>
          </w:p>
        </w:tc>
        <w:tc>
          <w:tcPr>
            <w:tcW w:type="dxa" w:w="166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Protected</w:t>
            </w:r>
          </w:p>
        </w:tc>
      </w:tr>
    </w:tbl>
    <w:p>
      <w:pPr>
        <w:keepNext w:val="0"/>
        <w:spacing w:before="0" w:after="80" w:line="240" w:lineRule="auto"/>
      </w:pPr>
    </w:p>
    <w:p>
      <w:pPr>
        <w:keepNext w:val="0"/>
        <w:spacing w:before="80" w:after="200" w:line="269" w:lineRule="auto"/>
        <w:shd w:fill="E8EEF5"/>
        <w:pBdr>
          <w:left w:val="single" w:sz="18" w:space="8" w:color="2E74B5"/>
        </w:pBdr>
      </w:pPr>
      <w:r>
        <w:rPr>
          <w:rFonts w:ascii="Calibri" w:hAnsi="Calibri"/>
          <w:b/>
          <w:color w:val="16324F"/>
          <w:sz w:val="22"/>
        </w:rPr>
        <w:t xml:space="preserve">Policy boundary: </w:t>
      </w:r>
      <w:r>
        <w:rPr>
          <w:rFonts w:ascii="Calibri" w:hAnsi="Calibri"/>
          <w:color w:val="1F2933"/>
          <w:sz w:val="22"/>
        </w:rPr>
        <w:t>Repository instructions may add domain context or stricter requirements, but they must not silently weaken protected Layer 1 controls. Semantic precedence becomes a later-layer capability; the pilot should enforce this boundary through review and deterministic gates.</w:t>
      </w:r>
    </w:p>
    <w:p>
      <w:pPr>
        <w:pStyle w:val="Heading1"/>
      </w:pPr>
      <w:r>
        <w:t>Organization pilot wrapper</w:t>
      </w:r>
    </w:p>
    <w:p>
      <w:pPr>
        <w:keepNext w:val="0"/>
        <w:spacing w:before="0" w:after="120" w:line="264" w:lineRule="auto"/>
      </w:pPr>
      <w:r>
        <w:rPr>
          <w:rFonts w:ascii="Calibri" w:hAnsi="Calibri"/>
          <w:color w:val="1F2933"/>
        </w:rPr>
        <w:t>The public template is intentionally provider-neutral and should remain so. Enterprise-specific requirements belong in a thin private distribution or approved pilot configuration that supplies:</w:t>
      </w:r>
    </w:p>
    <w:p>
      <w:pPr>
        <w:keepNext w:val="0"/>
        <w:numPr>
          <w:ilvl w:val="0"/>
          <w:numId w:val="10"/>
        </w:numPr>
        <w:spacing w:before="0" w:after="160" w:line="280" w:lineRule="auto"/>
      </w:pPr>
      <w:r>
        <w:rPr>
          <w:rFonts w:ascii="Calibri" w:hAnsi="Calibri"/>
          <w:color w:val="1F2933"/>
        </w:rPr>
        <w:t>Approved agent clients and account/licensing expectations.</w:t>
      </w:r>
    </w:p>
    <w:p>
      <w:pPr>
        <w:keepNext w:val="0"/>
        <w:numPr>
          <w:ilvl w:val="0"/>
          <w:numId w:val="10"/>
        </w:numPr>
        <w:spacing w:before="0" w:after="160" w:line="280" w:lineRule="auto"/>
      </w:pPr>
      <w:r>
        <w:rPr>
          <w:rFonts w:ascii="Calibri" w:hAnsi="Calibri"/>
          <w:color w:val="1F2933"/>
        </w:rPr>
        <w:t>Data classification, prohibited-input and AI acceptable-use policy references.</w:t>
      </w:r>
    </w:p>
    <w:p>
      <w:pPr>
        <w:keepNext w:val="0"/>
        <w:numPr>
          <w:ilvl w:val="0"/>
          <w:numId w:val="10"/>
        </w:numPr>
        <w:spacing w:before="0" w:after="160" w:line="280" w:lineRule="auto"/>
      </w:pPr>
      <w:r>
        <w:rPr>
          <w:rFonts w:ascii="Calibri" w:hAnsi="Calibri"/>
          <w:color w:val="1F2933"/>
        </w:rPr>
        <w:t>Portable owner aliases resolved to real GitHub or Azure identities.</w:t>
      </w:r>
    </w:p>
    <w:p>
      <w:pPr>
        <w:keepNext w:val="0"/>
        <w:numPr>
          <w:ilvl w:val="0"/>
          <w:numId w:val="10"/>
        </w:numPr>
        <w:spacing w:before="0" w:after="160" w:line="280" w:lineRule="auto"/>
      </w:pPr>
      <w:r>
        <w:rPr>
          <w:rFonts w:ascii="Calibri" w:hAnsi="Calibri"/>
          <w:color w:val="1F2933"/>
        </w:rPr>
        <w:t>Internal package registries, approved dependency sources and support contacts.</w:t>
      </w:r>
    </w:p>
    <w:p>
      <w:pPr>
        <w:keepNext w:val="0"/>
        <w:numPr>
          <w:ilvl w:val="0"/>
          <w:numId w:val="10"/>
        </w:numPr>
        <w:spacing w:before="0" w:after="160" w:line="280" w:lineRule="auto"/>
      </w:pPr>
      <w:r>
        <w:rPr>
          <w:rFonts w:ascii="Calibri" w:hAnsi="Calibri"/>
          <w:color w:val="1F2933"/>
        </w:rPr>
        <w:t>Pilot defaults, repository eligibility rules and escalation procedures.</w:t>
      </w:r>
    </w:p>
    <w:p>
      <w:r>
        <w:br w:type="page"/>
      </w:r>
    </w:p>
    <w:p>
      <w:pPr>
        <w:pStyle w:val="Heading1"/>
      </w:pPr>
      <w:r>
        <w:t>Next-week controlled pilot plan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450"/>
        <w:gridCol w:w="5410"/>
      </w:tblGrid>
      <w:tr>
        <w:trPr>
          <w:tblHeader w:val="true"/>
        </w:trP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324F"/>
                <w:sz w:val="19"/>
              </w:rPr>
              <w:t>Date</w:t>
            </w:r>
          </w:p>
        </w:tc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324F"/>
                <w:sz w:val="19"/>
              </w:rPr>
              <w:t>Milestone</w:t>
            </w:r>
          </w:p>
        </w:tc>
        <w:tc>
          <w:tcPr>
            <w:tcW w:type="dxa" w:w="54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324F"/>
                <w:sz w:val="19"/>
              </w:rPr>
              <w:t>Required outcome</w:t>
            </w:r>
          </w:p>
        </w:tc>
      </w:tr>
      <w:tr>
        <w:tc>
          <w:tcPr>
            <w:tcW w:type="dxa" w:w="150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Mon, Aug 31</w:t>
            </w:r>
          </w:p>
        </w:tc>
        <w:tc>
          <w:tcPr>
            <w:tcW w:type="dxa" w:w="245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Freeze scope and ownership</w:t>
            </w:r>
          </w:p>
        </w:tc>
        <w:tc>
          <w:tcPr>
            <w:tcW w:type="dxa" w:w="541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Confirm the final release owner, pilot eligibility, responsible owners and conformance language.</w:t>
            </w:r>
          </w:p>
        </w:tc>
      </w:tr>
      <w:tr>
        <w:tc>
          <w:tcPr>
            <w:tcW w:type="dxa" w:w="150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Tue, Sep 1</w:t>
            </w:r>
          </w:p>
        </w:tc>
        <w:tc>
          <w:tcPr>
            <w:tcW w:type="dxa" w:w="245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Complete final release verification</w:t>
            </w:r>
          </w:p>
        </w:tc>
        <w:tc>
          <w:tcPr>
            <w:tcW w:type="dxa" w:w="541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Integrate the hardened branch, run the complete release matrix and resolve only release-blocking defects.</w:t>
            </w:r>
          </w:p>
        </w:tc>
      </w:tr>
      <w:tr>
        <w:tc>
          <w:tcPr>
            <w:tcW w:type="dxa" w:w="150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Wed, Sep 2</w:t>
            </w:r>
          </w:p>
        </w:tc>
        <w:tc>
          <w:tcPr>
            <w:tcW w:type="dxa" w:w="245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Authorize the organization pilot</w:t>
            </w:r>
          </w:p>
        </w:tc>
        <w:tc>
          <w:tcPr>
            <w:tcW w:type="dxa" w:w="541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Confirm the cohort, policy and support routes, data-handling expectations, recovery owner and approved revision.</w:t>
            </w:r>
          </w:p>
        </w:tc>
      </w:tr>
      <w:tr>
        <w:tc>
          <w:tcPr>
            <w:tcW w:type="dxa" w:w="150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Thu, Sep 3</w:t>
            </w:r>
          </w:p>
        </w:tc>
        <w:tc>
          <w:tcPr>
            <w:tcW w:type="dxa" w:w="245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Dry-run representative repositories</w:t>
            </w:r>
          </w:p>
        </w:tc>
        <w:tc>
          <w:tcPr>
            <w:tcW w:type="dxa" w:w="541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Use at least one greenfield and two existing repositories; review file plans and migration findings.</w:t>
            </w:r>
          </w:p>
        </w:tc>
      </w:tr>
      <w:tr>
        <w:tc>
          <w:tcPr>
            <w:tcW w:type="dxa" w:w="150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Fri, Sep 4</w:t>
            </w:r>
          </w:p>
        </w:tc>
        <w:tc>
          <w:tcPr>
            <w:tcW w:type="dxa" w:w="245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Make the pilot decision</w:t>
            </w:r>
          </w:p>
        </w:tc>
        <w:tc>
          <w:tcPr>
            <w:tcW w:type="dxa" w:w="541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Choose continue, adjust or stop from the evidence. If approved, tag the release and adopt only repositories that passed reviewed dry-run assessment.</w:t>
            </w:r>
          </w:p>
        </w:tc>
      </w:tr>
    </w:tbl>
    <w:p>
      <w:pPr>
        <w:keepNext w:val="0"/>
        <w:spacing w:before="0" w:after="80" w:line="240" w:lineRule="auto"/>
      </w:pPr>
    </w:p>
    <w:p>
      <w:pPr>
        <w:pStyle w:val="Heading1"/>
      </w:pPr>
      <w:r>
        <w:t>Pilot acceptance criteria</w:t>
      </w:r>
    </w:p>
    <w:p>
      <w:pPr>
        <w:keepNext w:val="0"/>
        <w:numPr>
          <w:ilvl w:val="0"/>
          <w:numId w:val="10"/>
        </w:numPr>
        <w:spacing w:before="0" w:after="160" w:line="280" w:lineRule="auto"/>
      </w:pPr>
      <w:r>
        <w:rPr>
          <w:rFonts w:ascii="Calibri" w:hAnsi="Calibri"/>
          <w:color w:val="1F2933"/>
        </w:rPr>
        <w:t>The installer uses an immutable agent-standard release and version-pinned bootstrap tools.</w:t>
      </w:r>
    </w:p>
    <w:p>
      <w:pPr>
        <w:keepNext w:val="0"/>
        <w:numPr>
          <w:ilvl w:val="0"/>
          <w:numId w:val="10"/>
        </w:numPr>
        <w:spacing w:before="0" w:after="160" w:line="280" w:lineRule="auto"/>
      </w:pPr>
      <w:r>
        <w:rPr>
          <w:rFonts w:ascii="Calibri" w:hAnsi="Calibri"/>
          <w:color w:val="1F2933"/>
        </w:rPr>
        <w:t>Each repository has a clean worktree, named owner, supported toolchain and approved architecture decision.</w:t>
      </w:r>
    </w:p>
    <w:p>
      <w:pPr>
        <w:keepNext w:val="0"/>
        <w:numPr>
          <w:ilvl w:val="0"/>
          <w:numId w:val="10"/>
        </w:numPr>
        <w:spacing w:before="0" w:after="160" w:line="280" w:lineRule="auto"/>
      </w:pPr>
      <w:r>
        <w:rPr>
          <w:rFonts w:ascii="Calibri" w:hAnsi="Calibri"/>
          <w:color w:val="1F2933"/>
        </w:rPr>
        <w:t>Existing agent instructions are either absent or covered by a reviewed migration plan.</w:t>
      </w:r>
    </w:p>
    <w:p>
      <w:pPr>
        <w:keepNext w:val="0"/>
        <w:numPr>
          <w:ilvl w:val="0"/>
          <w:numId w:val="10"/>
        </w:numPr>
        <w:spacing w:before="0" w:after="160" w:line="280" w:lineRule="auto"/>
      </w:pPr>
      <w:r>
        <w:rPr>
          <w:rFonts w:ascii="Calibri" w:hAnsi="Calibri"/>
          <w:color w:val="1F2933"/>
        </w:rPr>
        <w:t>Dry-run output has been reviewed before any destination changes are applied.</w:t>
      </w:r>
    </w:p>
    <w:p>
      <w:pPr>
        <w:keepNext w:val="0"/>
        <w:numPr>
          <w:ilvl w:val="0"/>
          <w:numId w:val="10"/>
        </w:numPr>
        <w:spacing w:before="0" w:after="160" w:line="280" w:lineRule="auto"/>
      </w:pPr>
      <w:r>
        <w:rPr>
          <w:rFonts w:ascii="Calibri" w:hAnsi="Calibri"/>
          <w:color w:val="1F2933"/>
        </w:rPr>
        <w:t>The manifest verification command and selected SBOM check pass after installation.</w:t>
      </w:r>
    </w:p>
    <w:p>
      <w:pPr>
        <w:keepNext w:val="0"/>
        <w:numPr>
          <w:ilvl w:val="0"/>
          <w:numId w:val="10"/>
        </w:numPr>
        <w:spacing w:before="0" w:after="160" w:line="280" w:lineRule="auto"/>
      </w:pPr>
      <w:r>
        <w:rPr>
          <w:rFonts w:ascii="Calibri" w:hAnsi="Calibri"/>
          <w:color w:val="1F2933"/>
        </w:rPr>
        <w:t>No repository is described as conformant until provider controls are authorized and audited.</w:t>
      </w:r>
    </w:p>
    <w:p>
      <w:pPr>
        <w:keepNext w:val="0"/>
        <w:numPr>
          <w:ilvl w:val="0"/>
          <w:numId w:val="10"/>
        </w:numPr>
        <w:spacing w:before="0" w:after="160" w:line="280" w:lineRule="auto"/>
      </w:pPr>
      <w:r>
        <w:rPr>
          <w:rFonts w:ascii="Calibri" w:hAnsi="Calibri"/>
          <w:color w:val="1F2933"/>
        </w:rPr>
        <w:t>Rollback is tested or rehearsed, and the support owner is available during the change window.</w:t>
      </w:r>
    </w:p>
    <w:p>
      <w:pPr>
        <w:keepNext w:val="0"/>
        <w:spacing w:before="0" w:after="160" w:line="280" w:lineRule="auto"/>
        <w:ind w:left="360"/>
      </w:pPr>
      <w:r>
        <w:rPr>
          <w:rFonts w:ascii="Calibri" w:hAnsi="Calibri"/>
          <w:color w:val="1F2933"/>
        </w:rPr>
        <w:t>•  Pilot metrics and findings are captured without collecting proprietary source or prompt content.</w:t>
      </w:r>
    </w:p>
    <w:p>
      <w:pPr>
        <w:pStyle w:val="Heading1"/>
      </w:pPr>
      <w:r>
        <w:t>Pilot measures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rPr>
          <w:tblHeader w:val="true"/>
        </w:trP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324F"/>
                <w:sz w:val="19"/>
              </w:rPr>
              <w:t>Measure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6324F"/>
                <w:sz w:val="19"/>
              </w:rPr>
              <w:t>Definition</w:t>
            </w:r>
          </w:p>
        </w:tc>
      </w:tr>
      <w:tr>
        <w:tc>
          <w:tcPr>
            <w:tcW w:type="dxa" w:w="240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Adoption effort</w:t>
            </w:r>
          </w:p>
        </w:tc>
        <w:tc>
          <w:tcPr>
            <w:tcW w:type="dxa" w:w="696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Elapsed engineering time from approved dry-run to verified commit.</w:t>
            </w:r>
          </w:p>
        </w:tc>
      </w:tr>
      <w:tr>
        <w:tc>
          <w:tcPr>
            <w:tcW w:type="dxa" w:w="240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First-pass success</w:t>
            </w:r>
          </w:p>
        </w:tc>
        <w:tc>
          <w:tcPr>
            <w:tcW w:type="dxa" w:w="696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Percentage of repositories passing verification without remediation.</w:t>
            </w:r>
          </w:p>
        </w:tc>
      </w:tr>
      <w:tr>
        <w:tc>
          <w:tcPr>
            <w:tcW w:type="dxa" w:w="240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Change footprint</w:t>
            </w:r>
          </w:p>
        </w:tc>
        <w:tc>
          <w:tcPr>
            <w:tcW w:type="dxa" w:w="696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Files created, merged, preserved and requiring manual attention.</w:t>
            </w:r>
          </w:p>
        </w:tc>
      </w:tr>
      <w:tr>
        <w:tc>
          <w:tcPr>
            <w:tcW w:type="dxa" w:w="240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Safety</w:t>
            </w:r>
          </w:p>
        </w:tc>
        <w:tc>
          <w:tcPr>
            <w:tcW w:type="dxa" w:w="696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Installation failures, rollbacks, lost configuration or unexpected overwrites.</w:t>
            </w:r>
          </w:p>
        </w:tc>
      </w:tr>
      <w:tr>
        <w:tc>
          <w:tcPr>
            <w:tcW w:type="dxa" w:w="240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Quality</w:t>
            </w:r>
          </w:p>
        </w:tc>
        <w:tc>
          <w:tcPr>
            <w:tcW w:type="dxa" w:w="696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Verification findings and defects attributable to the standard.</w:t>
            </w:r>
          </w:p>
        </w:tc>
      </w:tr>
      <w:tr>
        <w:tc>
          <w:tcPr>
            <w:tcW w:type="dxa" w:w="240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Experience</w:t>
            </w:r>
          </w:p>
        </w:tc>
        <w:tc>
          <w:tcPr>
            <w:tcW w:type="dxa" w:w="6960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 w:val="0"/>
                <w:color w:val="1F2933"/>
                <w:sz w:val="18"/>
              </w:rPr>
              <w:t>Repository-owner confidence, support demand and clarity of generated guidance.</w:t>
            </w:r>
          </w:p>
        </w:tc>
      </w:tr>
    </w:tbl>
    <w:p>
      <w:pPr>
        <w:keepNext w:val="0"/>
        <w:spacing w:before="0" w:after="80" w:line="240" w:lineRule="auto"/>
      </w:pPr>
    </w:p>
    <w:p>
      <w:r>
        <w:br w:type="page"/>
      </w:r>
    </w:p>
    <w:p>
      <w:pPr>
        <w:pStyle w:val="Heading1"/>
      </w:pPr>
      <w:r>
        <w:t>Priority 1 improvements during the pilot</w:t>
      </w:r>
    </w:p>
    <w:p>
      <w:pPr>
        <w:keepNext w:val="0"/>
        <w:numPr>
          <w:ilvl w:val="0"/>
          <w:numId w:val="10"/>
        </w:numPr>
        <w:spacing w:before="0" w:after="160" w:line="280" w:lineRule="auto"/>
      </w:pPr>
      <w:r>
        <w:rPr>
          <w:rFonts w:ascii="Calibri" w:hAnsi="Calibri"/>
          <w:color w:val="1F2933"/>
        </w:rPr>
        <w:t>Extend revision-bound machine-readable evidence to additional providers and local control families only when pilot decisions require it.</w:t>
      </w:r>
    </w:p>
    <w:p>
      <w:pPr>
        <w:keepNext w:val="0"/>
        <w:numPr>
          <w:ilvl w:val="0"/>
          <w:numId w:val="10"/>
        </w:numPr>
        <w:spacing w:before="0" w:after="160" w:line="280" w:lineRule="auto"/>
      </w:pPr>
      <w:r>
        <w:rPr>
          <w:rFonts w:ascii="Calibri" w:hAnsi="Calibri"/>
          <w:color w:val="1F2933"/>
        </w:rPr>
        <w:t>Add a read-only GitHub remote auditor to match the Azure DevOps evidence path.</w:t>
      </w:r>
    </w:p>
    <w:p>
      <w:pPr>
        <w:keepNext w:val="0"/>
        <w:numPr>
          <w:ilvl w:val="0"/>
          <w:numId w:val="10"/>
        </w:numPr>
        <w:spacing w:before="0" w:after="160" w:line="280" w:lineRule="auto"/>
      </w:pPr>
      <w:r>
        <w:rPr>
          <w:rFonts w:ascii="Calibri" w:hAnsi="Calibri"/>
          <w:color w:val="1F2933"/>
        </w:rPr>
        <w:t>Introduce a formal repository-rule overlay and precedence contract before broad adoption.</w:t>
      </w:r>
    </w:p>
    <w:p>
      <w:pPr>
        <w:keepNext w:val="0"/>
        <w:numPr>
          <w:ilvl w:val="0"/>
          <w:numId w:val="10"/>
        </w:numPr>
        <w:spacing w:before="0" w:after="160" w:line="280" w:lineRule="auto"/>
      </w:pPr>
      <w:r>
        <w:rPr>
          <w:rFonts w:ascii="Calibri" w:hAnsi="Calibri"/>
          <w:color w:val="1F2933"/>
        </w:rPr>
        <w:t>Create an agent-standard assess report for commands, test locations, architecture indicators and existing agent configuration.</w:t>
      </w:r>
    </w:p>
    <w:p>
      <w:pPr>
        <w:keepNext w:val="0"/>
        <w:numPr>
          <w:ilvl w:val="0"/>
          <w:numId w:val="10"/>
        </w:numPr>
        <w:spacing w:before="0" w:after="160" w:line="280" w:lineRule="auto"/>
      </w:pPr>
      <w:r>
        <w:rPr>
          <w:rFonts w:ascii="Calibri" w:hAnsi="Calibri"/>
          <w:color w:val="1F2933"/>
        </w:rPr>
        <w:t>Expand the exception schema beyond no-test waivers only after controls are classified as configurable, waivable or non-waivable.</w:t>
      </w:r>
    </w:p>
    <w:p>
      <w:pPr>
        <w:keepNext w:val="0"/>
        <w:numPr>
          <w:ilvl w:val="0"/>
          <w:numId w:val="10"/>
        </w:numPr>
        <w:spacing w:before="0" w:after="160" w:line="280" w:lineRule="auto"/>
      </w:pPr>
      <w:r>
        <w:rPr>
          <w:rFonts w:ascii="Calibri" w:hAnsi="Calibri"/>
          <w:color w:val="1F2933"/>
        </w:rPr>
        <w:t>Exercise the documented staged update path during the pilot and publish any compatibility clarifications learned from real repositories.</w:t>
      </w:r>
    </w:p>
    <w:p>
      <w:pPr>
        <w:pStyle w:val="Heading1"/>
      </w:pPr>
      <w:r>
        <w:t>Go / no-go rule</w:t>
      </w:r>
    </w:p>
    <w:p>
      <w:pPr>
        <w:keepNext w:val="0"/>
        <w:spacing w:before="80" w:after="200" w:line="269" w:lineRule="auto"/>
        <w:shd w:fill="EAF3EC"/>
        <w:pBdr>
          <w:left w:val="single" w:sz="18" w:space="8" w:color="5D8C63"/>
        </w:pBdr>
      </w:pPr>
      <w:r>
        <w:rPr>
          <w:rFonts w:ascii="Calibri" w:hAnsi="Calibri"/>
          <w:b/>
          <w:color w:val="16324F"/>
          <w:sz w:val="22"/>
        </w:rPr>
        <w:t xml:space="preserve">Go: </w:t>
      </w:r>
      <w:r>
        <w:rPr>
          <w:rFonts w:ascii="Calibri" w:hAnsi="Calibri"/>
          <w:color w:val="1F2933"/>
          <w:sz w:val="22"/>
        </w:rPr>
        <w:t>Begin a limited pilot only when every release closeout acceptance test is satisfied and each pilot repository has passed reviewed dry-run assessment.</w:t>
      </w:r>
    </w:p>
    <w:p>
      <w:pPr>
        <w:keepNext w:val="0"/>
        <w:spacing w:before="80" w:after="200" w:line="269" w:lineRule="auto"/>
        <w:shd w:fill="FCE8E6"/>
        <w:pBdr>
          <w:left w:val="single" w:sz="18" w:space="8" w:color="9B1C1C"/>
        </w:pBdr>
      </w:pPr>
      <w:r>
        <w:rPr>
          <w:rFonts w:ascii="Calibri" w:hAnsi="Calibri"/>
          <w:b/>
          <w:color w:val="16324F"/>
          <w:sz w:val="22"/>
        </w:rPr>
        <w:t xml:space="preserve">No-go: </w:t>
      </w:r>
      <w:r>
        <w:rPr>
          <w:rFonts w:ascii="Calibri" w:hAnsi="Calibri"/>
          <w:color w:val="1F2933"/>
          <w:sz w:val="22"/>
        </w:rPr>
        <w:t>If the immutable release, organization approval or recovery evidence is incomplete, limit activity to assessment and reviewed dry runs.</w:t>
      </w:r>
    </w:p>
    <w:p>
      <w:pPr>
        <w:pStyle w:val="Heading1"/>
      </w:pPr>
      <w:r>
        <w:t>Repository evidence reviewed</w:t>
      </w:r>
    </w:p>
    <w:p>
      <w:pPr>
        <w:keepNext w:val="0"/>
        <w:spacing w:before="0" w:after="160" w:line="280" w:lineRule="auto"/>
        <w:ind w:left="360"/>
      </w:pPr>
      <w:r>
        <w:rPr>
          <w:rFonts w:ascii="Calibri" w:hAnsi="Calibri"/>
          <w:color w:val="1F2933"/>
        </w:rPr>
        <w:t>•  AGENTS.md - source-repository maintainer contract.</w:t>
      </w:r>
    </w:p>
    <w:p>
      <w:pPr>
        <w:keepNext w:val="0"/>
        <w:spacing w:before="0" w:after="160" w:line="280" w:lineRule="auto"/>
        <w:ind w:left="360"/>
      </w:pPr>
      <w:r>
        <w:rPr>
          <w:rFonts w:ascii="Calibri" w:hAnsi="Calibri"/>
          <w:color w:val="1F2933"/>
        </w:rPr>
        <w:t>•  README.md - product boundary, setup path, verification and release-candidate status.</w:t>
      </w:r>
    </w:p>
    <w:p>
      <w:pPr>
        <w:keepNext w:val="0"/>
        <w:spacing w:before="0" w:after="160" w:line="280" w:lineRule="auto"/>
        <w:ind w:left="360"/>
      </w:pPr>
      <w:r>
        <w:rPr>
          <w:rFonts w:ascii="Calibri" w:hAnsi="Calibri"/>
          <w:color w:val="1F2933"/>
        </w:rPr>
        <w:t>•  copier.yml and docs/configuration.md - public configuration API and defaults.</w:t>
      </w:r>
    </w:p>
    <w:p>
      <w:pPr>
        <w:keepNext w:val="0"/>
        <w:spacing w:before="0" w:after="160" w:line="280" w:lineRule="auto"/>
        <w:ind w:left="360"/>
      </w:pPr>
      <w:r>
        <w:rPr>
          <w:rFonts w:ascii="Calibri" w:hAnsi="Calibri"/>
          <w:color w:val="1F2933"/>
        </w:rPr>
        <w:t>•  docs/architecture.md, docs/conformance.md and docs/runbook.md - ownership, controls, states and operating procedures.</w:t>
      </w:r>
    </w:p>
    <w:p>
      <w:pPr>
        <w:keepNext w:val="0"/>
        <w:spacing w:before="0" w:after="160" w:line="280" w:lineRule="auto"/>
        <w:ind w:left="360"/>
      </w:pPr>
      <w:r>
        <w:rPr>
          <w:rFonts w:ascii="Calibri" w:hAnsi="Calibri"/>
          <w:color w:val="1F2933"/>
        </w:rPr>
        <w:t>•  docs/roadmap.md - organization distribution and evidence roadmap.</w:t>
      </w:r>
    </w:p>
    <w:p>
      <w:pPr>
        <w:keepNext w:val="0"/>
        <w:spacing w:before="0" w:after="160" w:line="280" w:lineRule="auto"/>
        <w:ind w:left="360"/>
      </w:pPr>
      <w:r>
        <w:rPr>
          <w:rFonts w:ascii="Calibri" w:hAnsi="Calibri"/>
          <w:color w:val="1F2933"/>
        </w:rPr>
        <w:t>•  template/.ruler/00-operating.md.jinja - canonical generated operating baseline.</w:t>
      </w:r>
    </w:p>
    <w:p>
      <w:pPr>
        <w:keepNext w:val="0"/>
        <w:spacing w:before="0" w:after="160" w:line="280" w:lineRule="auto"/>
        <w:ind w:left="360"/>
      </w:pPr>
      <w:r>
        <w:rPr>
          <w:rFonts w:ascii="Calibri" w:hAnsi="Calibri"/>
          <w:color w:val="1F2933"/>
        </w:rPr>
        <w:t>•  template/.agent-standard/scripts/ - local quality, skills and SBOM enforcement.</w:t>
      </w:r>
    </w:p>
    <w:p>
      <w:pPr>
        <w:keepNext w:val="0"/>
        <w:spacing w:before="0" w:after="160" w:line="280" w:lineRule="auto"/>
        <w:ind w:left="360"/>
      </w:pPr>
      <w:r>
        <w:rPr>
          <w:rFonts w:ascii="Calibri" w:hAnsi="Calibri"/>
          <w:color w:val="1F2933"/>
        </w:rPr>
        <w:t>•  bin/agent-standard.mjs - assessment, dry-run, apply and recovery behavior.</w:t>
      </w:r>
    </w:p>
    <w:p>
      <w:pPr>
        <w:keepNext w:val="0"/>
        <w:spacing w:before="0" w:after="160" w:line="280" w:lineRule="auto"/>
        <w:ind w:left="360"/>
      </w:pPr>
      <w:r>
        <w:rPr>
          <w:rFonts w:ascii="Calibri" w:hAnsi="Calibri"/>
          <w:color w:val="1F2933"/>
        </w:rPr>
        <w:t>•  test/ and verification scripts - automated source and rendered-project evidence.</w:t>
      </w:r>
    </w:p>
    <w:p>
      <w:pPr>
        <w:keepNext w:val="0"/>
        <w:spacing w:before="0" w:after="160" w:line="280" w:lineRule="auto"/>
        <w:ind w:left="360"/>
      </w:pPr>
      <w:r>
        <w:rPr>
          <w:rFonts w:ascii="Calibri" w:hAnsi="Calibri"/>
          <w:color w:val="1F2933"/>
        </w:rPr>
        <w:t>•  package.json and CHANGELOG.md - version and release history.</w:t>
      </w:r>
    </w:p>
    <w:sectPr w:rsidR="00FC693F" w:rsidRPr="0006063C" w:rsidSect="00034616">
      <w:headerReference w:type="default" r:id="rId9"/>
      <w:headerReference w:type="even" r:id="rId10"/>
      <w:footerReference w:type="default" r:id="rId11"/>
      <w:footerReference w:type="even" r:id="rId12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spacing w:before="0" w:after="0" w:line="240" w:lineRule="auto"/>
      <w:jc w:val="right"/>
    </w:pPr>
    <w:r>
      <w:rPr>
        <w:rFonts w:ascii="Calibri" w:hAnsi="Calibri"/>
        <w:color w:val="5F6B76"/>
        <w:sz w:val="18"/>
      </w:rPr>
      <w:t xml:space="preserve">Page </w:t>
    </w:r>
    <w:r>
      <w:rPr>
        <w:rFonts w:ascii="Calibri" w:hAnsi="Calibri"/>
        <w:color w:val="5F6B76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spacing w:before="0" w:after="0" w:line="240" w:lineRule="auto"/>
      <w:jc w:val="right"/>
    </w:pPr>
    <w:r>
      <w:rPr>
        <w:rFonts w:ascii="Calibri" w:hAnsi="Calibri"/>
        <w:color w:val="5F6B76"/>
        <w:sz w:val="18"/>
      </w:rPr>
      <w:t xml:space="preserve">Page </w:t>
    </w:r>
    <w:r>
      <w:rPr>
        <w:rFonts w:ascii="Calibri" w:hAnsi="Calibri"/>
        <w:color w:val="5F6B76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spacing w:before="0" w:after="0" w:line="240" w:lineRule="auto"/>
      <w:jc w:val="left"/>
    </w:pPr>
    <w:r>
      <w:rPr>
        <w:rFonts w:ascii="Calibri" w:hAnsi="Calibri"/>
        <w:b/>
        <w:color w:val="5F6B76"/>
        <w:sz w:val="17"/>
      </w:rPr>
      <w:t>Layer 1 Adoption Readiness</w:t>
    </w:r>
    <w:r>
      <w:rPr>
        <w:rFonts w:ascii="Calibri" w:hAnsi="Calibri"/>
        <w:color w:val="5F6B76"/>
        <w:sz w:val="17"/>
      </w:rPr>
      <w:t xml:space="preserve">  |  Internal working assessment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spacing w:before="0" w:after="0" w:line="240" w:lineRule="auto"/>
      <w:jc w:val="left"/>
    </w:pPr>
    <w:r>
      <w:rPr>
        <w:rFonts w:ascii="Calibri" w:hAnsi="Calibri"/>
        <w:b/>
        <w:color w:val="5F6B76"/>
        <w:sz w:val="17"/>
      </w:rPr>
      <w:t>Layer 1 Adoption Readiness</w:t>
    </w:r>
    <w:r>
      <w:rPr>
        <w:rFonts w:ascii="Calibri" w:hAnsi="Calibri"/>
        <w:color w:val="5F6B76"/>
        <w:sz w:val="17"/>
      </w:rPr>
      <w:t xml:space="preserve">  |  Internal working assessment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  <w:spacing w:after="16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  <w:spacing w:after="160" w:line="28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evenAndOddHeader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/>
      <w:color w:val="1F29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Layer 1 Adoption Readiness</dc:title>
  <dc:subject>Internal assessment and corrective action plan for a controlled adoption effort</dc:subject>
  <dc:creator>agent-standard Maintainers</dc:creator>
  <cp:keywords>AI agents, enterprise engineering, governance, security, quality, delivery</cp:keywords>
  <dc:description>Generated from the agent-standard repository assessment.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