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80" w:line="240" w:lineRule="auto"/>
      </w:pPr>
      <w:r>
        <w:rPr>
          <w:rFonts w:ascii="Calibri" w:hAnsi="Calibri"/>
          <w:b/>
          <w:color w:val="16324F"/>
          <w:sz w:val="54"/>
        </w:rPr>
        <w:t>Layer 1 Adoption Readiness</w:t>
      </w:r>
    </w:p>
    <w:p>
      <w:pPr>
        <w:keepNext/>
        <w:spacing w:before="0" w:after="320" w:line="252" w:lineRule="auto"/>
      </w:pPr>
      <w:r>
        <w:rPr>
          <w:rFonts w:ascii="Calibri" w:hAnsi="Calibri"/>
          <w:color w:val="5F6B76"/>
          <w:sz w:val="28"/>
        </w:rPr>
        <w:t>Current state, required fixes and next-week controlled pilot plan</w:t>
      </w:r>
    </w:p>
    <w:p>
      <w:pPr>
        <w:keepNext w:val="0"/>
        <w:spacing w:before="0" w:after="40" w:line="240" w:lineRule="auto"/>
      </w:pPr>
      <w:r>
        <w:rPr>
          <w:rFonts w:ascii="Calibri" w:hAnsi="Calibri"/>
          <w:b/>
          <w:color w:val="1F2933"/>
          <w:sz w:val="21"/>
        </w:rPr>
        <w:t xml:space="preserve">Audience: </w:t>
      </w:r>
      <w:r>
        <w:rPr>
          <w:rFonts w:ascii="Calibri" w:hAnsi="Calibri"/>
          <w:color w:val="1F2933"/>
          <w:sz w:val="21"/>
        </w:rPr>
        <w:t>Agent-standard maintainers, engineering platform, security and pilot owners</w:t>
      </w:r>
    </w:p>
    <w:p>
      <w:pPr>
        <w:keepNext w:val="0"/>
        <w:spacing w:before="0" w:after="40" w:line="240" w:lineRule="auto"/>
      </w:pPr>
      <w:r>
        <w:rPr>
          <w:rFonts w:ascii="Calibri" w:hAnsi="Calibri"/>
          <w:b/>
          <w:color w:val="1F2933"/>
          <w:sz w:val="21"/>
        </w:rPr>
        <w:t xml:space="preserve">Assessment date: </w:t>
      </w:r>
      <w:r>
        <w:rPr>
          <w:rFonts w:ascii="Calibri" w:hAnsi="Calibri"/>
          <w:color w:val="1F2933"/>
          <w:sz w:val="21"/>
        </w:rPr>
        <w:t>August 30, 2026</w:t>
      </w:r>
    </w:p>
    <w:p>
      <w:pPr>
        <w:keepNext w:val="0"/>
        <w:spacing w:before="0" w:after="40" w:line="240" w:lineRule="auto"/>
      </w:pPr>
      <w:r>
        <w:rPr>
          <w:rFonts w:ascii="Calibri" w:hAnsi="Calibri"/>
          <w:b/>
          <w:color w:val="1F2933"/>
          <w:sz w:val="21"/>
        </w:rPr>
        <w:t xml:space="preserve">Target: </w:t>
      </w:r>
      <w:r>
        <w:rPr>
          <w:rFonts w:ascii="Calibri" w:hAnsi="Calibri"/>
          <w:color w:val="1F2933"/>
          <w:sz w:val="21"/>
        </w:rPr>
        <w:t>Begin a controlled adoption effort during the week of August 31, 2026</w:t>
      </w:r>
    </w:p>
    <w:p>
      <w:pPr>
        <w:keepNext w:val="0"/>
        <w:spacing w:before="0" w:after="40" w:line="240" w:lineRule="auto"/>
      </w:pPr>
      <w:r>
        <w:rPr>
          <w:rFonts w:ascii="Calibri" w:hAnsi="Calibri"/>
          <w:b/>
          <w:color w:val="1F2933"/>
          <w:sz w:val="21"/>
        </w:rPr>
        <w:t xml:space="preserve">Status: </w:t>
      </w:r>
      <w:r>
        <w:rPr>
          <w:rFonts w:ascii="Calibri" w:hAnsi="Calibri"/>
          <w:color w:val="1F2933"/>
          <w:sz w:val="21"/>
        </w:rPr>
        <w:t>Conditional go after Priority 0 release gates are satisfied</w:t>
      </w:r>
    </w:p>
    <w:p>
      <w:pPr>
        <w:keepNext w:val="0"/>
        <w:spacing w:before="160" w:after="280" w:line="240" w:lineRule="auto"/>
        <w:pBdr>
          <w:bottom w:val="single" w:sz="14" w:space="1" w:color="2E74B5"/>
        </w:pBdr>
      </w:pPr>
    </w:p>
    <w:p>
      <w:pPr>
        <w:keepNext w:val="0"/>
        <w:spacing w:before="80" w:after="200" w:line="269" w:lineRule="auto"/>
        <w:shd w:fill="FFF4D6"/>
        <w:pBdr>
          <w:left w:val="single" w:sz="18" w:space="8" w:color="A36B00"/>
        </w:pBdr>
      </w:pPr>
      <w:r>
        <w:rPr>
          <w:rFonts w:ascii="Calibri" w:hAnsi="Calibri"/>
          <w:b/>
          <w:color w:val="16324F"/>
          <w:sz w:val="22"/>
        </w:rPr>
        <w:t xml:space="preserve">Decision: </w:t>
      </w:r>
      <w:r>
        <w:rPr>
          <w:rFonts w:ascii="Calibri" w:hAnsi="Calibri"/>
          <w:color w:val="1F2933"/>
          <w:sz w:val="22"/>
        </w:rPr>
        <w:t>Layer 1 has a substantial technical foundation and can support a limited, closely owned pilot next week. It should not be presented as a stable enterprise-wide release until the immutable release, policy boundary, organization wrapper and adoption-safety gates below are complete.</w:t>
      </w:r>
    </w:p>
    <w:p>
      <w:pPr>
        <w:pStyle w:val="Heading1"/>
      </w:pPr>
      <w:r>
        <w:t>Terminology boundary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color w:val="1F2933"/>
        </w:rPr>
        <w:t>In the six-layer architecture, Layer 1 means the enterprise baseline: the minimum organization-wide operating and control contract. This is different from the repository's AS-1 conformance level, which specifically describes canonical agent instructions and generated client entry points. The pilot should use these terms consistently.</w:t>
      </w:r>
    </w:p>
    <w:p>
      <w:pPr>
        <w:pStyle w:val="Heading1"/>
      </w:pPr>
      <w:r>
        <w:t>Current readiness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100"/>
        <w:gridCol w:w="5460"/>
      </w:tblGrid>
      <w:tr>
        <w:trPr>
          <w:tblHeader w:val="true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324F"/>
                <w:sz w:val="19"/>
              </w:rPr>
              <w:t>Capability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324F"/>
                <w:sz w:val="19"/>
              </w:rPr>
              <w:t>State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324F"/>
                <w:sz w:val="19"/>
              </w:rPr>
              <w:t>Assessment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Canonical operating instructions</w:t>
            </w:r>
          </w:p>
        </w:tc>
        <w:tc>
          <w:tcPr>
            <w:tcW w:type="dxa" w:w="1100"/>
            <w:shd w:fill="EAF3EC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Green</w:t>
            </w:r>
          </w:p>
        </w:tc>
        <w:tc>
          <w:tcPr>
            <w:tcW w:type="dxa" w:w="54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One .ruler source fans out to tracked agent entry points.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Deterministic quality and supply-chain controls</w:t>
            </w:r>
          </w:p>
        </w:tc>
        <w:tc>
          <w:tcPr>
            <w:tcW w:type="dxa" w:w="1100"/>
            <w:shd w:fill="EAF3EC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Green</w:t>
            </w:r>
          </w:p>
        </w:tc>
        <w:tc>
          <w:tcPr>
            <w:tcW w:type="dxa" w:w="54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Doctor, verification, DoD and SBOM checks are implemented and tested.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Provider-neutral core</w:t>
            </w:r>
          </w:p>
        </w:tc>
        <w:tc>
          <w:tcPr>
            <w:tcW w:type="dxa" w:w="1100"/>
            <w:shd w:fill="EAF3EC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Green</w:t>
            </w:r>
          </w:p>
        </w:tc>
        <w:tc>
          <w:tcPr>
            <w:tcW w:type="dxa" w:w="54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GitHub and Azure DevOps behavior is isolated behind adapters.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Configuration and profile contract</w:t>
            </w:r>
          </w:p>
        </w:tc>
        <w:tc>
          <w:tcPr>
            <w:tcW w:type="dxa" w:w="1100"/>
            <w:shd w:fill="EAF3EC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Green</w:t>
            </w:r>
          </w:p>
        </w:tc>
        <w:tc>
          <w:tcPr>
            <w:tcW w:type="dxa" w:w="54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Copier exposes supported stacks, architecture, workflow, provider and gate choices.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Immutable release distribution</w:t>
            </w:r>
          </w:p>
        </w:tc>
        <w:tc>
          <w:tcPr>
            <w:tcW w:type="dxa" w:w="1100"/>
            <w:shd w:fill="FFF4D6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Amber</w:t>
            </w:r>
          </w:p>
        </w:tc>
        <w:tc>
          <w:tcPr>
            <w:tcW w:type="dxa" w:w="54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The project is private/pre-release and currently defaults to mutable HEAD.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Organization policy wrapper</w:t>
            </w:r>
          </w:p>
        </w:tc>
        <w:tc>
          <w:tcPr>
            <w:tcW w:type="dxa" w:w="1100"/>
            <w:shd w:fill="FFF4D6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Amber</w:t>
            </w:r>
          </w:p>
        </w:tc>
        <w:tc>
          <w:tcPr>
            <w:tcW w:type="dxa" w:w="54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Owners are supplied, but approved tools, data policy and support contacts are not packaged.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Existing agent-rule adoption safety</w:t>
            </w:r>
          </w:p>
        </w:tc>
        <w:tc>
          <w:tcPr>
            <w:tcW w:type="dxa" w:w="1100"/>
            <w:shd w:fill="FFF4D6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Amber</w:t>
            </w:r>
          </w:p>
        </w:tc>
        <w:tc>
          <w:tcPr>
            <w:tcW w:type="dxa" w:w="54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Preservation is not proven for existing AGENTS.md, CLAUDE.md or .ruler content.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Machine-readable control evidence</w:t>
            </w:r>
          </w:p>
        </w:tc>
        <w:tc>
          <w:tcPr>
            <w:tcW w:type="dxa" w:w="1100"/>
            <w:shd w:fill="FFF4D6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Amber</w:t>
            </w:r>
          </w:p>
        </w:tc>
        <w:tc>
          <w:tcPr>
            <w:tcW w:type="dxa" w:w="54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Control IDs exist, but results are not yet emitted as a complete evidence record.</w:t>
            </w:r>
          </w:p>
        </w:tc>
      </w:tr>
    </w:tbl>
    <w:p>
      <w:pPr>
        <w:keepNext w:val="0"/>
        <w:spacing w:before="0" w:after="80" w:line="240" w:lineRule="auto"/>
      </w:pPr>
    </w:p>
    <w:p>
      <w:r>
        <w:br w:type="page"/>
      </w:r>
    </w:p>
    <w:p>
      <w:pPr>
        <w:pStyle w:val="Heading1"/>
      </w:pPr>
      <w:r>
        <w:t>What is ready today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A clear operating loop and definition of done for agents working in participating repositories.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A manifest and schema that declare the selected project, governance, workflow, quality and supply-chain contract.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Strict local and CI verification, structured no-test waivers, and current CycloneDX or SPDX dependency evidence.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Version-pinned bootstrap dependencies, SHA-pinned GitHub Actions, and immutable Azure central-template support.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Transactional staging, dry-run plans, rollback backups and fail-closed package-manager checks.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A full render matrix covering supported stacks, modes, providers and Azure pipeline variants.</w:t>
      </w:r>
    </w:p>
    <w:p>
      <w:pPr>
        <w:pStyle w:val="Heading2"/>
      </w:pPr>
      <w:r>
        <w:t>Pilot value enabled by the foundation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324F"/>
                <w:sz w:val="19"/>
              </w:rPr>
              <w:t>Value area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324F"/>
                <w:sz w:val="19"/>
              </w:rPr>
              <w:t>Capability available for the pilot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Security assurance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Pinned external dependencies and current SBOM evidence provide a reviewable software-supply-chain baseline.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Quality assurance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Doctor, verification and definition-of-done checks give teams one repeatable completion path.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Delivery efficiency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Configurable rendering, dry-run planning, transactional apply and rollback reduce setup and recovery effort.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Portfolio governance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 shared manifest, control vocabulary and provider adapters make repository outcomes easier to compare.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keepNext w:val="0"/>
        <w:spacing w:before="80" w:after="200" w:line="269" w:lineRule="auto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16324F"/>
          <w:sz w:val="22"/>
        </w:rPr>
        <w:t xml:space="preserve">Pilot use: </w:t>
      </w:r>
      <w:r>
        <w:rPr>
          <w:rFonts w:ascii="Calibri" w:hAnsi="Calibri"/>
          <w:color w:val="1F2933"/>
          <w:sz w:val="22"/>
        </w:rPr>
        <w:t>Use these capabilities as the technical foundation; the Priority 0 gates on the following page establish the release, policy and adoption safeguards required before installation.</w:t>
      </w:r>
    </w:p>
    <w:p>
      <w:r>
        <w:br w:type="page"/>
      </w:r>
    </w:p>
    <w:p>
      <w:pPr>
        <w:pStyle w:val="Heading1"/>
      </w:pPr>
      <w:r>
        <w:t>Priority 0 fixes required before pilot installation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color w:val="1F2933"/>
        </w:rPr>
        <w:t>These are release gates. If any gate is incomplete, the next-week activity should remain assessment and dry-run only.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3300"/>
        <w:gridCol w:w="346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324F"/>
                <w:sz w:val="19"/>
              </w:rPr>
              <w:t>ID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324F"/>
                <w:sz w:val="19"/>
              </w:rPr>
              <w:t>Required fix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324F"/>
                <w:sz w:val="19"/>
              </w:rPr>
              <w:t>Deliverable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324F"/>
                <w:sz w:val="19"/>
              </w:rPr>
              <w:t>Acceptance test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P0-1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Publish an immutable pilot release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Replace private placeholder versioning and mutable HEAD guidance with a reviewed tag or full commit. Pin installer examples to that revision.</w:t>
            </w:r>
          </w:p>
        </w:tc>
        <w:tc>
          <w:tcPr>
            <w:tcW w:type="dxa" w:w="34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 clean repository can install the exact release twice and produce identical governed outputs.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P0-2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Define the Layer 1 control contract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Publish the baseline controls with owner, intent, enforcement source, evidence, applicability and waivability. Separate mandatory controls from advisory guidance.</w:t>
            </w:r>
          </w:p>
        </w:tc>
        <w:tc>
          <w:tcPr>
            <w:tcW w:type="dxa" w:w="34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Every Layer 1 claim maps to a control ID and a named evidence source.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P0-3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Create the organization pilot wrapper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Supply approved agent clients, AI/data-handling policy link, owner aliases, support/escalation route, approved registries and pilot defaults outside the public provider-neutral template.</w:t>
            </w:r>
          </w:p>
        </w:tc>
        <w:tc>
          <w:tcPr>
            <w:tcW w:type="dxa" w:w="34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Pilot teams receive one approved command and one accountable support path.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P0-4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Protect existing agent instructions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Detect existing AGENTS.md, CLAUDE.md and .ruler files before Ruler runs. Stop and produce a migration report instead of replacing unclassified instructions.</w:t>
            </w:r>
          </w:p>
        </w:tc>
        <w:tc>
          <w:tcPr>
            <w:tcW w:type="dxa" w:w="34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 fixture with existing agent rules is preserved and the installer fails safely with an actionable report.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P0-5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Remove silent architecture selection in adoption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Require an explicit architecture choice for existing repositories until assessment can determine it reliably.</w:t>
            </w:r>
          </w:p>
        </w:tc>
        <w:tc>
          <w:tcPr>
            <w:tcW w:type="dxa" w:w="34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Adoption without an architecture decision cannot proceed beyond dry-run.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P0-6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Publish pilot eligibility and exclusions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State supported stacks, package managers, providers, repository conditions and out-of-scope data or deployment scenarios.</w:t>
            </w:r>
          </w:p>
        </w:tc>
        <w:tc>
          <w:tcPr>
            <w:tcW w:type="dxa" w:w="34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 repository owner can determine eligibility before invoking the installer.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P0-7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Prove release and rollback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Run source tests, all renders, update round trips and dry-run/install/rollback exercises against the immutable release. Capture the results in a release evidence note.</w:t>
            </w:r>
          </w:p>
        </w:tc>
        <w:tc>
          <w:tcPr>
            <w:tcW w:type="dxa" w:w="34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The evidence package records passing checks, known limitations and a tested recovery procedure.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P0-8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Set truthful conformance language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Keep pilot repositories in adopting or pending-remote until authorized remote controls are applied and audited. Do not equate local success with conformance.</w:t>
            </w:r>
          </w:p>
        </w:tc>
        <w:tc>
          <w:tcPr>
            <w:tcW w:type="dxa" w:w="34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Pilot communications and manifests use the same state definitions.</w:t>
            </w:r>
          </w:p>
        </w:tc>
      </w:tr>
      <w:tr>
        <w:tc>
          <w:tcPr>
            <w:tcW w:type="dxa" w:w="7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P0-9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Establish pilot operations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Name the release owner, security reviewer, support channel, repository owners, change window, rollback authority and issue triage process.</w:t>
            </w:r>
          </w:p>
        </w:tc>
        <w:tc>
          <w:tcPr>
            <w:tcW w:type="dxa" w:w="34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Every pilot repository has named accountable contacts before installation.</w:t>
            </w:r>
          </w:p>
        </w:tc>
      </w:tr>
    </w:tbl>
    <w:p>
      <w:pPr>
        <w:keepNext w:val="0"/>
        <w:spacing w:before="0" w:after="80" w:line="240" w:lineRule="auto"/>
      </w:pPr>
    </w:p>
    <w:p>
      <w:r>
        <w:br w:type="page"/>
      </w:r>
    </w:p>
    <w:p>
      <w:pPr>
        <w:pStyle w:val="Heading1"/>
      </w:pPr>
      <w:r>
        <w:t>Layer 1 control boundary to publish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400"/>
        <w:gridCol w:w="2500"/>
        <w:gridCol w:w="16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324F"/>
                <w:sz w:val="19"/>
              </w:rPr>
              <w:t>Control family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324F"/>
                <w:sz w:val="19"/>
              </w:rPr>
              <w:t>Minimum outcome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324F"/>
                <w:sz w:val="19"/>
              </w:rPr>
              <w:t>Evidence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324F"/>
                <w:sz w:val="19"/>
              </w:rPr>
              <w:t>Policy class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Instruction governance</w:t>
            </w:r>
          </w:p>
        </w:tc>
        <w:tc>
          <w:tcPr>
            <w:tcW w:type="dxa" w:w="3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One canonical tracked source; generated client outputs; declared supported clients.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AS-AGENT-001, doctor, source/render tests</w:t>
            </w:r>
          </w:p>
        </w:tc>
        <w:tc>
          <w:tcPr>
            <w:tcW w:type="dxa" w:w="16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Protected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Ownership and authorization</w:t>
            </w:r>
          </w:p>
        </w:tc>
        <w:tc>
          <w:tcPr>
            <w:tcW w:type="dxa" w:w="3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Named owners for protected paths; no remote mutation without explicit authorization.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Manifest, CODEOWNERS/adapter contract, runbooks</w:t>
            </w:r>
          </w:p>
        </w:tc>
        <w:tc>
          <w:tcPr>
            <w:tcW w:type="dxa" w:w="16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Protected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Quality verification</w:t>
            </w:r>
          </w:p>
        </w:tc>
        <w:tc>
          <w:tcPr>
            <w:tcW w:type="dxa" w:w="3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One complete verification command; source changes require recognized tests or an approved exception.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AS-QUAL-001/002, DoD, CI</w:t>
            </w:r>
          </w:p>
        </w:tc>
        <w:tc>
          <w:tcPr>
            <w:tcW w:type="dxa" w:w="16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Test rule waivable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Documentation lifecycle</w:t>
            </w:r>
          </w:p>
        </w:tc>
        <w:tc>
          <w:tcPr>
            <w:tcW w:type="dxa" w:w="3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Governed documents carry ownership, status, freshness and valid links.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AS-DOC-001, doctor</w:t>
            </w:r>
          </w:p>
        </w:tc>
        <w:tc>
          <w:tcPr>
            <w:tcW w:type="dxa" w:w="16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Configurable scope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Supply-chain integrity</w:t>
            </w:r>
          </w:p>
        </w:tc>
        <w:tc>
          <w:tcPr>
            <w:tcW w:type="dxa" w:w="3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Locked installs, committed current SBOM and immutable external workflow references.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AS-SUPPLY-001/002</w:t>
            </w:r>
          </w:p>
        </w:tc>
        <w:tc>
          <w:tcPr>
            <w:tcW w:type="dxa" w:w="16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Protected for strict pilot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Security baseline</w:t>
            </w:r>
          </w:p>
        </w:tc>
        <w:tc>
          <w:tcPr>
            <w:tcW w:type="dxa" w:w="3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No secrets in source; approved scanning and dependency review; explicit trust boundaries.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Security policy and provider adapter</w:t>
            </w:r>
          </w:p>
        </w:tc>
        <w:tc>
          <w:tcPr>
            <w:tcW w:type="dxa" w:w="16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Protected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Conformance truthfulness</w:t>
            </w:r>
          </w:p>
        </w:tc>
        <w:tc>
          <w:tcPr>
            <w:tcW w:type="dxa" w:w="3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Local, remote and target state remain separate and auditable.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Manifest state and authorized audit</w:t>
            </w:r>
          </w:p>
        </w:tc>
        <w:tc>
          <w:tcPr>
            <w:tcW w:type="dxa" w:w="16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Non-waivable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Change ownership</w:t>
            </w:r>
          </w:p>
        </w:tc>
        <w:tc>
          <w:tcPr>
            <w:tcW w:type="dxa" w:w="3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Standard updates are reviewed, verified and committed as one coherent change.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Copier update workflow and runbook</w:t>
            </w:r>
          </w:p>
        </w:tc>
        <w:tc>
          <w:tcPr>
            <w:tcW w:type="dxa" w:w="16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Protected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keepNext w:val="0"/>
        <w:spacing w:before="80" w:after="200" w:line="269" w:lineRule="auto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16324F"/>
          <w:sz w:val="22"/>
        </w:rPr>
        <w:t xml:space="preserve">Policy boundary: </w:t>
      </w:r>
      <w:r>
        <w:rPr>
          <w:rFonts w:ascii="Calibri" w:hAnsi="Calibri"/>
          <w:color w:val="1F2933"/>
          <w:sz w:val="22"/>
        </w:rPr>
        <w:t>Repository instructions may add domain context or stricter requirements, but they must not silently weaken protected Layer 1 controls. Semantic precedence becomes a later-layer capability; the pilot should enforce this boundary through review and deterministic gates.</w:t>
      </w:r>
    </w:p>
    <w:p>
      <w:pPr>
        <w:pStyle w:val="Heading1"/>
      </w:pPr>
      <w:r>
        <w:t>Organization pilot wrapper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color w:val="1F2933"/>
        </w:rPr>
        <w:t>The public template is intentionally provider-neutral and should remain so. Enterprise-specific requirements belong in a thin private distribution or approved pilot configuration that supplies: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Approved agent clients and account/licensing expectations.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Data classification, prohibited-input and AI acceptable-use policy references.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Portable owner aliases resolved to real GitHub or Azure identities.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Internal package registries, approved dependency sources and support contacts.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Pilot defaults, repository eligibility rules and escalation procedures.</w:t>
      </w:r>
    </w:p>
    <w:p>
      <w:r>
        <w:br w:type="page"/>
      </w:r>
    </w:p>
    <w:p>
      <w:pPr>
        <w:pStyle w:val="Heading1"/>
      </w:pPr>
      <w:r>
        <w:t>Next-week controlled pilot plan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450"/>
        <w:gridCol w:w="541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324F"/>
                <w:sz w:val="19"/>
              </w:rPr>
              <w:t>Date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324F"/>
                <w:sz w:val="19"/>
              </w:rPr>
              <w:t>Milestone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324F"/>
                <w:sz w:val="19"/>
              </w:rPr>
              <w:t>Required outcome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Mon, Aug 31</w:t>
            </w:r>
          </w:p>
        </w:tc>
        <w:tc>
          <w:tcPr>
            <w:tcW w:type="dxa" w:w="24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Freeze scope and ownership</w:t>
            </w:r>
          </w:p>
        </w:tc>
        <w:tc>
          <w:tcPr>
            <w:tcW w:type="dxa" w:w="541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Approve Layer 1 controls, pilot eligibility, responsible owners and conformance language.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Tue, Sep 1</w:t>
            </w:r>
          </w:p>
        </w:tc>
        <w:tc>
          <w:tcPr>
            <w:tcW w:type="dxa" w:w="24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Complete release safeguards</w:t>
            </w:r>
          </w:p>
        </w:tc>
        <w:tc>
          <w:tcPr>
            <w:tcW w:type="dxa" w:w="541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Implement immutable versioning, existing-rule detection and explicit adoption architecture.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Wed, Sep 2</w:t>
            </w:r>
          </w:p>
        </w:tc>
        <w:tc>
          <w:tcPr>
            <w:tcW w:type="dxa" w:w="24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Package organization defaults</w:t>
            </w:r>
          </w:p>
        </w:tc>
        <w:tc>
          <w:tcPr>
            <w:tcW w:type="dxa" w:w="541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Finalize the pilot wrapper, support route, data-policy references and release evidence.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Thu, Sep 3</w:t>
            </w:r>
          </w:p>
        </w:tc>
        <w:tc>
          <w:tcPr>
            <w:tcW w:type="dxa" w:w="24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Dry-run representative repositories</w:t>
            </w:r>
          </w:p>
        </w:tc>
        <w:tc>
          <w:tcPr>
            <w:tcW w:type="dxa" w:w="541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Use at least one greenfield and two existing repositories; review file plans and migration findings.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Fri, Sep 4</w:t>
            </w:r>
          </w:p>
        </w:tc>
        <w:tc>
          <w:tcPr>
            <w:tcW w:type="dxa" w:w="245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Release and begin limited adoption</w:t>
            </w:r>
          </w:p>
        </w:tc>
        <w:tc>
          <w:tcPr>
            <w:tcW w:type="dxa" w:w="541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Tag the approved release, onboard named pilot owners and install only in repositories that passed dry-run review.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</w:pPr>
      <w:r>
        <w:t>Pilot acceptance criteria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The installer uses an immutable agent-standard release and version-pinned bootstrap tools.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Each repository has a clean worktree, named owner, supported toolchain and approved architecture decision.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Existing agent instructions are either absent or covered by a reviewed migration plan.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Dry-run output has been reviewed before any destination changes are applied.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The manifest verification command and selected SBOM check pass after installation.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No repository is described as conformant until provider controls are authorized and audited.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Rollback is tested or rehearsed, and the support owner is available during the change window.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Pilot metrics and findings are captured without collecting proprietary source or prompt content.</w:t>
      </w:r>
    </w:p>
    <w:p>
      <w:pPr>
        <w:pStyle w:val="Heading1"/>
      </w:pPr>
      <w:r>
        <w:t>Pilot measures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324F"/>
                <w:sz w:val="19"/>
              </w:rPr>
              <w:t>Measure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324F"/>
                <w:sz w:val="19"/>
              </w:rPr>
              <w:t>Definition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Adoption effort</w:t>
            </w:r>
          </w:p>
        </w:tc>
        <w:tc>
          <w:tcPr>
            <w:tcW w:type="dxa" w:w="69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Elapsed engineering time from approved dry-run to verified commit.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First-pass success</w:t>
            </w:r>
          </w:p>
        </w:tc>
        <w:tc>
          <w:tcPr>
            <w:tcW w:type="dxa" w:w="69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Percentage of repositories passing verification without remediation.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Change footprint</w:t>
            </w:r>
          </w:p>
        </w:tc>
        <w:tc>
          <w:tcPr>
            <w:tcW w:type="dxa" w:w="69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Files created, merged, preserved and requiring manual attention.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Safety</w:t>
            </w:r>
          </w:p>
        </w:tc>
        <w:tc>
          <w:tcPr>
            <w:tcW w:type="dxa" w:w="69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Installation failures, rollbacks, lost configuration or unexpected overwrites.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Quality</w:t>
            </w:r>
          </w:p>
        </w:tc>
        <w:tc>
          <w:tcPr>
            <w:tcW w:type="dxa" w:w="69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Verification findings and defects attributable to the standard.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Experience</w:t>
            </w:r>
          </w:p>
        </w:tc>
        <w:tc>
          <w:tcPr>
            <w:tcW w:type="dxa" w:w="6960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Repository-owner confidence, support demand and clarity of generated guidance.</w:t>
            </w:r>
          </w:p>
        </w:tc>
      </w:tr>
    </w:tbl>
    <w:p>
      <w:pPr>
        <w:keepNext w:val="0"/>
        <w:spacing w:before="0" w:after="80" w:line="240" w:lineRule="auto"/>
      </w:pPr>
    </w:p>
    <w:p>
      <w:r>
        <w:br w:type="page"/>
      </w:r>
    </w:p>
    <w:p>
      <w:pPr>
        <w:pStyle w:val="Heading1"/>
      </w:pPr>
      <w:r>
        <w:t>Priority 1 improvements during the pilot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Emit first-class machine-readable control results rather than relying only on console output.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Add a read-only GitHub remote auditor to match the Azure DevOps evidence path.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Introduce a formal repository-rule overlay and precedence contract before broad adoption.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Create an agent-standard assess report for commands, test locations, architecture indicators and existing agent configuration.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Expand the exception schema beyond no-test waivers only after controls are classified as configurable, waivable or non-waivable.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Publish compatibility and migration guarantees for Copier updates before declaring v1.0 stability.</w:t>
      </w:r>
    </w:p>
    <w:p>
      <w:pPr>
        <w:pStyle w:val="Heading1"/>
      </w:pPr>
      <w:r>
        <w:t>Go / no-go rule</w:t>
      </w:r>
    </w:p>
    <w:p>
      <w:pPr>
        <w:keepNext w:val="0"/>
        <w:spacing w:before="80" w:after="200" w:line="269" w:lineRule="auto"/>
        <w:shd w:fill="EAF3EC"/>
        <w:pBdr>
          <w:left w:val="single" w:sz="18" w:space="8" w:color="5D8C63"/>
        </w:pBdr>
      </w:pPr>
      <w:r>
        <w:rPr>
          <w:rFonts w:ascii="Calibri" w:hAnsi="Calibri"/>
          <w:b/>
          <w:color w:val="16324F"/>
          <w:sz w:val="22"/>
        </w:rPr>
        <w:t xml:space="preserve">Go: </w:t>
      </w:r>
      <w:r>
        <w:rPr>
          <w:rFonts w:ascii="Calibri" w:hAnsi="Calibri"/>
          <w:color w:val="1F2933"/>
          <w:sz w:val="22"/>
        </w:rPr>
        <w:t>Begin a limited pilot only when every Priority 0 acceptance test is satisfied and each pilot repository has passed reviewed dry-run assessment.</w:t>
      </w:r>
    </w:p>
    <w:p>
      <w:pPr>
        <w:keepNext w:val="0"/>
        <w:spacing w:before="80" w:after="200" w:line="269" w:lineRule="auto"/>
        <w:shd w:fill="FCE8E6"/>
        <w:pBdr>
          <w:left w:val="single" w:sz="18" w:space="8" w:color="9B1C1C"/>
        </w:pBdr>
      </w:pPr>
      <w:r>
        <w:rPr>
          <w:rFonts w:ascii="Calibri" w:hAnsi="Calibri"/>
          <w:b/>
          <w:color w:val="16324F"/>
          <w:sz w:val="22"/>
        </w:rPr>
        <w:t xml:space="preserve">No-go: </w:t>
      </w:r>
      <w:r>
        <w:rPr>
          <w:rFonts w:ascii="Calibri" w:hAnsi="Calibri"/>
          <w:color w:val="1F2933"/>
          <w:sz w:val="22"/>
        </w:rPr>
        <w:t>If immutable release, existing-rule protection, organization policy ownership or rollback evidence is incomplete, limit next week's activity to assessment and dry runs.</w:t>
      </w:r>
    </w:p>
    <w:p>
      <w:pPr>
        <w:pStyle w:val="Heading1"/>
      </w:pPr>
      <w:r>
        <w:t>Repository evidence reviewed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AGENTS.md - source-repository maintainer contract.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README.md - product boundary, setup path, verification and pre-release status.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copier.yml and docs/configuration.md - public configuration API and defaults.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docs/architecture.md, docs/conformance.md and docs/runbook.md - ownership, controls, states and operating procedures.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docs/roadmap.md - organization distribution and evidence roadmap.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template/.ruler/00-operating.md.jinja - canonical generated operating baseline.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template/.agent-standard/scripts/ - doctor, verification, DoD, merge, skill-sync and SBOM enforcement.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bin/agent-standard.mjs - detection, staging, dry-run, apply and rollback behavior.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test/, scripts/verify-source.mjs and scripts/verify-render.ps1 - automated source and rendered-project evidence.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F2933"/>
        </w:rPr>
        <w:t>package.json and CHANGELOG.md - current unpublished release state.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/>
        <w:color w:val="5F6B76"/>
        <w:sz w:val="18"/>
      </w:rPr>
      <w:t xml:space="preserve">Page </w:t>
    </w:r>
    <w:r>
      <w:rPr>
        <w:rFonts w:ascii="Calibri" w:hAnsi="Calibri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/>
        <w:color w:val="5F6B76"/>
        <w:sz w:val="18"/>
      </w:rPr>
      <w:t xml:space="preserve">Page </w:t>
    </w:r>
    <w:r>
      <w:rPr>
        <w:rFonts w:ascii="Calibri" w:hAnsi="Calibri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/>
        <w:b/>
        <w:color w:val="5F6B76"/>
        <w:sz w:val="17"/>
      </w:rPr>
      <w:t>Layer 1 Adoption Readiness</w:t>
    </w:r>
    <w:r>
      <w:rPr>
        <w:rFonts w:ascii="Calibri" w:hAnsi="Calibri"/>
        <w:color w:val="5F6B76"/>
        <w:sz w:val="17"/>
      </w:rPr>
      <w:t xml:space="preserve">  |  Internal working assessment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/>
        <w:b/>
        <w:color w:val="5F6B76"/>
        <w:sz w:val="17"/>
      </w:rPr>
      <w:t>Layer 1 Adoption Readiness</w:t>
    </w:r>
    <w:r>
      <w:rPr>
        <w:rFonts w:ascii="Calibri" w:hAnsi="Calibri"/>
        <w:color w:val="5F6B76"/>
        <w:sz w:val="17"/>
      </w:rPr>
      <w:t xml:space="preserve">  |  Internal working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Layer 1 Adoption Readiness</dc:title>
  <dc:subject>Internal assessment and corrective action plan for a controlled adoption effort</dc:subject>
  <dc:creator>agent-standard Maintainers</dc:creator>
  <cp:keywords>AI agents, enterprise engineering, governance, security, quality, delivery</cp:keywords>
  <dc:description>Generated from the agent-standard repository assessment.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