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4B83"/>
          <w:sz w:val="32"/>
          <w:szCs w:val="32"/>
        </w:rPr>
        <w:t xml:space="preserve">Ficha de Seguridad y Manejo de Datos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4B83"/>
          <w:sz w:val="22"/>
          <w:szCs w:val="22"/>
        </w:rPr>
        <w:t xml:space="preserve">Proyecto: </w:t>
      </w:r>
      <w:r>
        <w:rPr>
          <w:rFonts w:ascii="Calibri" w:cs="Calibri" w:eastAsia="Calibri" w:hAnsi="Calibri"/>
          <w:sz w:val="22"/>
          <w:szCs w:val="22"/>
        </w:rPr>
        <w:t xml:space="preserve">** Plataforma de Actualización de Lista de Espera — UTLE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4B83"/>
          <w:sz w:val="22"/>
          <w:szCs w:val="22"/>
        </w:rPr>
        <w:t xml:space="preserve">Contrato: </w:t>
      </w:r>
      <w:r>
        <w:rPr>
          <w:rFonts w:ascii="Calibri" w:cs="Calibri" w:eastAsia="Calibri" w:hAnsi="Calibri"/>
          <w:sz w:val="22"/>
          <w:szCs w:val="22"/>
        </w:rPr>
        <w:t xml:space="preserve">** 2026LE-000001-2299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4B83"/>
          <w:sz w:val="22"/>
          <w:szCs w:val="22"/>
        </w:rPr>
        <w:t xml:space="preserve">Versión: </w:t>
      </w:r>
      <w:r>
        <w:rPr>
          <w:rFonts w:ascii="Calibri" w:cs="Calibri" w:eastAsia="Calibri" w:hAnsi="Calibri"/>
          <w:sz w:val="22"/>
          <w:szCs w:val="22"/>
        </w:rPr>
        <w:t xml:space="preserve">** 1.0 | Fecha: 18 de mayo de 2026</w:t>
      </w: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1. Datos personales que maneja la plataforma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Nombre completo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Personalización del mensaje y resumen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Número de asegurado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Verificación de identidad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Últimos 4 dígitos del asegurado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PIN de verificación en Paso 2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Correo electrónico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Envío del enlace personalizado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Teléfono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 (opcional)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Referencia de contacto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Centro médico y tipo de atención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CSV importado por UTLE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Mostrado al paciente en Paso 3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Respuestas del cuestionario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Ingresadas por el paciente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Registro del resultado de la depuración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004B83"/>
          <w:sz w:val="22"/>
          <w:szCs w:val="22"/>
        </w:rPr>
        <w:t xml:space="preserve">La plataforma NO recopila: </w:t>
      </w:r>
      <w:r>
        <w:rPr>
          <w:rFonts w:ascii="Calibri" w:cs="Calibri" w:eastAsia="Calibri" w:hAnsi="Calibri"/>
          <w:sz w:val="22"/>
          <w:szCs w:val="22"/>
        </w:rPr>
        <w:t xml:space="preserve">** contraseñas, datos bancarios, información de pagos, ubicación GPS, ni datos biométricos.</w:t>
      </w: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2. Mecanismos de seguridad implementados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03668"/>
          <w:sz w:val="22"/>
          <w:szCs w:val="22"/>
        </w:rPr>
        <w:t xml:space="preserve">2.1 Autenticación por token único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paciente recibe un enlace con un token UUID único (ejemplo: </w:t>
      </w:r>
      <w:r>
        <w:rPr>
          <w:rFonts w:ascii="Courier New" w:cs="Courier New" w:eastAsia="Courier New" w:hAnsi="Courier New"/>
          <w:color w:val="003668"/>
          <w:sz w:val="20"/>
          <w:szCs w:val="20"/>
        </w:rPr>
        <w:t xml:space="preserve">?t=a3d46938-...</w:t>
      </w:r>
      <w:r>
        <w:rPr>
          <w:rFonts w:ascii="Calibri" w:cs="Calibri" w:eastAsia="Calibri" w:hAnsi="Calibri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token es generado criptográficamente y es imposible de adivinar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Vigencia máxima: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 días</w:t>
      </w:r>
      <w:r>
        <w:rPr>
          <w:rFonts w:ascii="Calibri" w:cs="Calibri" w:eastAsia="Calibri" w:hAnsi="Calibri"/>
          <w:sz w:val="22"/>
          <w:szCs w:val="22"/>
        </w:rPr>
        <w:t xml:space="preserve"> desde la generación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 token solo puede ser usado por el paciente al que fue asignado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03668"/>
          <w:sz w:val="22"/>
          <w:szCs w:val="22"/>
        </w:rPr>
        <w:t xml:space="preserve">2.2 Verificación de identidad en dos niveles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1:</w:t>
      </w:r>
      <w:r>
        <w:rPr>
          <w:rFonts w:ascii="Calibri" w:cs="Calibri" w:eastAsia="Calibri" w:hAnsi="Calibri"/>
          <w:sz w:val="22"/>
          <w:szCs w:val="22"/>
        </w:rPr>
        <w:t xml:space="preserve"> Token único en el enlace (algo que solo el paciente recibió)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2:</w:t>
      </w:r>
      <w:r>
        <w:rPr>
          <w:rFonts w:ascii="Calibri" w:cs="Calibri" w:eastAsia="Calibri" w:hAnsi="Calibri"/>
          <w:sz w:val="22"/>
          <w:szCs w:val="22"/>
        </w:rPr>
        <w:t xml:space="preserve"> Últimos 4 dígitos del número de asegurado (algo que solo el paciente sabe)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Máximo 3 intentos fallidos</w:t>
      </w:r>
      <w:r>
        <w:rPr>
          <w:rFonts w:ascii="Calibri" w:cs="Calibri" w:eastAsia="Calibri" w:hAnsi="Calibri"/>
          <w:sz w:val="22"/>
          <w:szCs w:val="22"/>
        </w:rPr>
        <w:t xml:space="preserve"> — el acceso queda bloqueado automáticamente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03668"/>
          <w:sz w:val="22"/>
          <w:szCs w:val="22"/>
        </w:rPr>
        <w:t xml:space="preserve">2.3 Token de sesión por paso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 verificar su identidad, el servidor emite un token de sesión con vigencia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 horas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avance de paso es validado por el servidor con dicho token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Impide que un usuario manipule el flujo saltándose pasos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03668"/>
          <w:sz w:val="22"/>
          <w:szCs w:val="22"/>
        </w:rPr>
        <w:t xml:space="preserve">2.4 Expiración automática de enlaces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enlaces vencen a los 3 días de ser generados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 enlace vencido muestra un mensaje de error y no permite continuar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03668"/>
          <w:sz w:val="22"/>
          <w:szCs w:val="22"/>
        </w:rPr>
        <w:t xml:space="preserve">2.5 Sin almacenamiento de sesión en el navegador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se utilizan cookies de sesión persistentes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se almacena información sensible en el navegador del paciente</w:t>
      </w: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3. Almacenamiento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Proveedor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Supabase (PostgreSQL)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Ubicación del servidor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[PENDIENTE — confirmar región de Supabase]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Acceso a los datos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Solo personal autorizado de Coco Technology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Acceso UTLE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 través de reportes y exportaciones coordinadas con Coco Technology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Retención de datos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[PENDIENTE — definir política con UTLE]</w:t>
            </w:r>
          </w:p>
        </w:tc>
      </w:tr>
    </w:tbl>
    <w:p>
      <w:pPr>
        <w:spacing w:after="120"/>
      </w:pP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4. Aviso de privacidad al paciente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Paso 1</w:t>
      </w:r>
      <w:r>
        <w:rPr>
          <w:rFonts w:ascii="Calibri" w:cs="Calibri" w:eastAsia="Calibri" w:hAnsi="Calibri"/>
          <w:sz w:val="22"/>
          <w:szCs w:val="22"/>
        </w:rPr>
        <w:t xml:space="preserve"> del flujo, antes de que el paciente proporcione cualquier información, se le presenta: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Explicación del propósito del proceso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Indicación de que su participación 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voluntaria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Advertencia de que la CCSS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nunca solicitará</w:t>
      </w:r>
      <w:r>
        <w:rPr>
          <w:rFonts w:ascii="Calibri" w:cs="Calibri" w:eastAsia="Calibri" w:hAnsi="Calibri"/>
          <w:sz w:val="22"/>
          <w:szCs w:val="22"/>
        </w:rPr>
        <w:t xml:space="preserve"> contraseñas, códigos de verificación, información bancaria ni pagos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Correo de contacto para dudas: </w:t>
      </w:r>
      <w:r>
        <w:rPr>
          <w:rFonts w:ascii="Courier New" w:cs="Courier New" w:eastAsia="Courier New" w:hAnsi="Courier New"/>
          <w:color w:val="003668"/>
          <w:sz w:val="20"/>
          <w:szCs w:val="20"/>
        </w:rPr>
        <w:t xml:space="preserve">gm_utle_gelisespera@ccss.sa.cr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Botón explícito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"No autorizo"</w:t>
      </w:r>
      <w:r>
        <w:rPr>
          <w:rFonts w:ascii="Calibri" w:cs="Calibri" w:eastAsia="Calibri" w:hAnsi="Calibri"/>
          <w:sz w:val="22"/>
          <w:szCs w:val="22"/>
        </w:rPr>
        <w:t xml:space="preserve"> que termina el proceso sin penalización</w:t>
      </w: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5. Qué pasa con los datos si el paciente no autoriza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 el paciente selecciona "No autorizo" en el Paso 1: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se registra ninguna respuesta adicional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estado queda como </w:t>
      </w:r>
      <w:r>
        <w:rPr>
          <w:rFonts w:ascii="Courier New" w:cs="Courier New" w:eastAsia="Courier New" w:hAnsi="Courier New"/>
          <w:color w:val="003668"/>
          <w:sz w:val="20"/>
          <w:szCs w:val="20"/>
        </w:rPr>
        <w:t xml:space="preserve">NO_AUTORIZO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se vuelve a contactar al paciente en esa campaña</w:t>
      </w:r>
    </w:p>
    <w:p>
      <w:pPr>
        <w:pBdr>
          <w:bottom w:val="single" w:color="e6f2f8" w:sz="6"/>
        </w:pBdr>
        <w:spacing w:after="120" w:before="120"/>
      </w:pP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004B83"/>
          <w:sz w:val="26"/>
          <w:szCs w:val="26"/>
        </w:rPr>
        <w:t xml:space="preserve">6. Transmisión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shd w:fill="004B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Navegador ↔ Servidor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HTTPS (TLS 1.2+)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Conexión cifrada en todo momento</w:t>
            </w:r>
          </w:p>
        </w:tc>
      </w:tr>
      <w:tr>
        <w:trPr>
          <w:tblHeader w:val="false"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Servidor ↔ Base de datos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Conexión cifrada interna de Supabase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Servidor ↔ Plataforma de correo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HTTPS API</w:t>
            </w:r>
          </w:p>
        </w:tc>
        <w:tc>
          <w:tcPr>
            <w:shd w:fill="f0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Mailchimp API v3</w:t>
            </w:r>
          </w:p>
        </w:tc>
      </w:tr>
    </w:tbl>
    <w:p>
      <w:pPr>
        <w:spacing w:after="120"/>
      </w:pPr>
    </w:p>
    <w:p>
      <w:pPr>
        <w:pBdr>
          <w:bottom w:val="single" w:color="e6f2f8" w:sz="6"/>
        </w:pBdr>
        <w:spacing w:after="120" w:before="120"/>
      </w:pPr>
    </w:p>
    <w:p>
      <w:pPr>
        <w:spacing w:before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Documento elaborado por Coco Technology en coordinación con la UTLE — CCSS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2026-05-20T20:17:01.109Z</dcterms:created>
  <dcterms:modified xsi:type="dcterms:W3CDTF">2026-05-20T20:17:01.109Z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