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4B83"/>
          <w:sz w:val="32"/>
          <w:szCs w:val="32"/>
        </w:rPr>
        <w:t xml:space="preserve">Manual Operativo — SOP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Proyecto: </w:t>
      </w:r>
      <w:r>
        <w:rPr>
          <w:rFonts w:ascii="Calibri" w:cs="Calibri" w:eastAsia="Calibri" w:hAnsi="Calibri"/>
          <w:sz w:val="22"/>
          <w:szCs w:val="22"/>
        </w:rPr>
        <w:t xml:space="preserve">** Plataforma de Actualización de Lista de Espera — UTLE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Contrato: </w:t>
      </w:r>
      <w:r>
        <w:rPr>
          <w:rFonts w:ascii="Calibri" w:cs="Calibri" w:eastAsia="Calibri" w:hAnsi="Calibri"/>
          <w:sz w:val="22"/>
          <w:szCs w:val="22"/>
        </w:rPr>
        <w:t xml:space="preserve">** 2026LE-000001-2299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Versión: </w:t>
      </w:r>
      <w:r>
        <w:rPr>
          <w:rFonts w:ascii="Calibri" w:cs="Calibri" w:eastAsia="Calibri" w:hAnsi="Calibri"/>
          <w:sz w:val="22"/>
          <w:szCs w:val="22"/>
        </w:rPr>
        <w:t xml:space="preserve">** 1.0 | Fecha: 18 de mayo de 2026</w:t>
      </w:r>
    </w:p>
    <w:p>
      <w:pPr>
        <w:pBdr>
          <w:left w:val="single" w:color="004B83" w:sz="8"/>
        </w:pBd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Este manual describe los procedimientos operativos para ejecutar una campaña de depuración. La operación de la plataforma está a cargo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Coco Technology</w:t>
      </w:r>
      <w:r>
        <w:rPr>
          <w:rFonts w:ascii="Calibri" w:cs="Calibri" w:eastAsia="Calibri" w:hAnsi="Calibri"/>
          <w:sz w:val="22"/>
          <w:szCs w:val="22"/>
        </w:rPr>
        <w:t xml:space="preserve">. La UTLE coordina el proceso y provee los datos.</w:t>
      </w: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Procedimiento 1 — Preparar el archivo de pacientes (CSV)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Responsable: </w:t>
      </w:r>
      <w:r>
        <w:rPr>
          <w:rFonts w:ascii="Calibri" w:cs="Calibri" w:eastAsia="Calibri" w:hAnsi="Calibri"/>
          <w:sz w:val="22"/>
          <w:szCs w:val="22"/>
        </w:rPr>
        <w:t xml:space="preserve">** UTLE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Frecuencia: </w:t>
      </w:r>
      <w:r>
        <w:rPr>
          <w:rFonts w:ascii="Calibri" w:cs="Calibri" w:eastAsia="Calibri" w:hAnsi="Calibri"/>
          <w:sz w:val="22"/>
          <w:szCs w:val="22"/>
        </w:rPr>
        <w:t xml:space="preserve">** Por campaña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03668"/>
          <w:sz w:val="22"/>
          <w:szCs w:val="22"/>
        </w:rPr>
        <w:t xml:space="preserve">Pasos: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Exportar desde el sistema de listas de espera los pacientes a contactar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Asegurarse de que el archivo incluya las columnas requeridas (ver documento 02 — Flujo de Datos)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Verificar que los correos electrónicos estén correctos — un correo inválido implica que el paciente no recibirá su enlace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Verificar que </w:t>
      </w:r>
      <w:r>
        <w:rPr>
          <w:rFonts w:ascii="Courier New" w:cs="Courier New" w:eastAsia="Courier New" w:hAnsi="Courier New"/>
          <w:color w:val="003668"/>
          <w:sz w:val="20"/>
          <w:szCs w:val="20"/>
        </w:rPr>
        <w:t xml:space="preserve">ultimos_4_asegurado</w:t>
      </w:r>
      <w:r>
        <w:rPr>
          <w:rFonts w:ascii="Calibri" w:cs="Calibri" w:eastAsia="Calibri" w:hAnsi="Calibri"/>
          <w:sz w:val="22"/>
          <w:szCs w:val="22"/>
        </w:rPr>
        <w:t xml:space="preserve"> corresponda exactamente a los últimos 4 dígitos del número de asegurado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incluyendo ceros</w:t>
      </w:r>
      <w:r>
        <w:rPr>
          <w:rFonts w:ascii="Calibri" w:cs="Calibri" w:eastAsia="Calibri" w:hAnsi="Calibri"/>
          <w:sz w:val="22"/>
          <w:szCs w:val="22"/>
        </w:rPr>
        <w:t xml:space="preserve"> (ej: </w:t>
      </w:r>
      <w:r>
        <w:rPr>
          <w:rFonts w:ascii="Courier New" w:cs="Courier New" w:eastAsia="Courier New" w:hAnsi="Courier New"/>
          <w:color w:val="003668"/>
          <w:sz w:val="20"/>
          <w:szCs w:val="20"/>
        </w:rPr>
        <w:t xml:space="preserve">0789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 Enviar el archivo a Coco Technology para su importación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03668"/>
          <w:sz w:val="22"/>
          <w:szCs w:val="22"/>
        </w:rPr>
        <w:t xml:space="preserve">Volumen esperado: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Campaña inicial: ~100,000 pacientes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Proyección total: hasta 1,500,000 pacientes</w:t>
      </w: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Procedimiento 2 — Importar pacientes a la plataforma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Responsable: </w:t>
      </w:r>
      <w:r>
        <w:rPr>
          <w:rFonts w:ascii="Calibri" w:cs="Calibri" w:eastAsia="Calibri" w:hAnsi="Calibri"/>
          <w:sz w:val="22"/>
          <w:szCs w:val="22"/>
        </w:rPr>
        <w:t xml:space="preserve">** Coco Technology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Tiempo estimado: </w:t>
      </w:r>
      <w:r>
        <w:rPr>
          <w:rFonts w:ascii="Calibri" w:cs="Calibri" w:eastAsia="Calibri" w:hAnsi="Calibri"/>
          <w:sz w:val="22"/>
          <w:szCs w:val="22"/>
        </w:rPr>
        <w:t xml:space="preserve">** Variable según volumen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03668"/>
          <w:sz w:val="22"/>
          <w:szCs w:val="22"/>
        </w:rPr>
        <w:t xml:space="preserve">Pasos: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Recibir el archivo CSV validado de la UTLE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Ejecutar el script de importación: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3668"/>
          <w:sz w:val="20"/>
          <w:szCs w:val="20"/>
        </w:rPr>
        <w:t xml:space="preserve">`</w:t>
      </w:r>
      <w:r>
        <w:rPr>
          <w:rFonts w:ascii="Calibri" w:cs="Calibri" w:eastAsia="Calibri" w:hAnsi="Calibri"/>
          <w:sz w:val="22"/>
          <w:szCs w:val="22"/>
        </w:rPr>
        <w:t xml:space="preserve">bash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 node --env-file=.env.local scripts/import-patients.js pacientes.csv https://[URL-produccion] --campana [ID-campaña]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3668"/>
          <w:sz w:val="20"/>
          <w:szCs w:val="20"/>
        </w:rPr>
        <w:t xml:space="preserve">`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 Ejemplo de ID de campaña: </w:t>
      </w:r>
      <w:r>
        <w:rPr>
          <w:rFonts w:ascii="Courier New" w:cs="Courier New" w:eastAsia="Courier New" w:hAnsi="Courier New"/>
          <w:color w:val="003668"/>
          <w:sz w:val="20"/>
          <w:szCs w:val="20"/>
        </w:rPr>
        <w:t xml:space="preserve">2026-05_HospMexico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El script valida cada fila, importa los registros y genera un archivo </w:t>
      </w:r>
      <w:r>
        <w:rPr>
          <w:rFonts w:ascii="Courier New" w:cs="Courier New" w:eastAsia="Courier New" w:hAnsi="Courier New"/>
          <w:color w:val="003668"/>
          <w:sz w:val="20"/>
          <w:szCs w:val="20"/>
        </w:rPr>
        <w:t xml:space="preserve">pacientes_urls.csv</w:t>
      </w:r>
      <w:r>
        <w:rPr>
          <w:rFonts w:ascii="Calibri" w:cs="Calibri" w:eastAsia="Calibri" w:hAnsi="Calibri"/>
          <w:sz w:val="22"/>
          <w:szCs w:val="22"/>
        </w:rPr>
        <w:t xml:space="preserve"> con los enlaces personalizados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Compartir el archivo de URLs con la UTLE para registro y trazabilidad</w:t>
      </w: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Procedimiento 3 — Enviar correos a los pacientes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Responsable: </w:t>
      </w:r>
      <w:r>
        <w:rPr>
          <w:rFonts w:ascii="Calibri" w:cs="Calibri" w:eastAsia="Calibri" w:hAnsi="Calibri"/>
          <w:sz w:val="22"/>
          <w:szCs w:val="22"/>
        </w:rPr>
        <w:t xml:space="preserve">** Coco Technology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Prerrequisito: </w:t>
      </w:r>
      <w:r>
        <w:rPr>
          <w:rFonts w:ascii="Calibri" w:cs="Calibri" w:eastAsia="Calibri" w:hAnsi="Calibri"/>
          <w:sz w:val="22"/>
          <w:szCs w:val="22"/>
        </w:rPr>
        <w:t xml:space="preserve">** Archivo de URLs generado en el Procedimiento 2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03668"/>
          <w:sz w:val="22"/>
          <w:szCs w:val="22"/>
        </w:rPr>
        <w:t xml:space="preserve">Pasos: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Importar la lista de pacientes en la plataforma de correos con los campos personalizados (nombre + enlace único)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Configurar el correo remitente: </w:t>
      </w:r>
      <w:r>
        <w:rPr>
          <w:rFonts w:ascii="Courier New" w:cs="Courier New" w:eastAsia="Courier New" w:hAnsi="Courier New"/>
          <w:color w:val="003668"/>
          <w:sz w:val="20"/>
          <w:szCs w:val="20"/>
        </w:rPr>
        <w:t xml:space="preserve">gm_utle_gelisespera@ccss.sa.cr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Seleccionar la plantilla aprobada por la UTLE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Programar o ejecutar el envío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 Monitorear las tasas de entrega, apertura y rebote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03668"/>
          <w:sz w:val="22"/>
          <w:szCs w:val="22"/>
        </w:rPr>
        <w:t xml:space="preserve">Tiempos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enlaces son válidos por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 días</w:t>
      </w:r>
      <w:r>
        <w:rPr>
          <w:rFonts w:ascii="Calibri" w:cs="Calibri" w:eastAsia="Calibri" w:hAnsi="Calibri"/>
          <w:sz w:val="22"/>
          <w:szCs w:val="22"/>
        </w:rPr>
        <w:t xml:space="preserve"> desde su generación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 recomienda enviar el correo dentro de las 24 horas posteriores a la importación</w:t>
      </w: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Procedimiento 4 — Monitorear resultados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Responsable: </w:t>
      </w:r>
      <w:r>
        <w:rPr>
          <w:rFonts w:ascii="Calibri" w:cs="Calibri" w:eastAsia="Calibri" w:hAnsi="Calibri"/>
          <w:sz w:val="22"/>
          <w:szCs w:val="22"/>
        </w:rPr>
        <w:t xml:space="preserve">** Coco Technology (infraestructura del dashboard) + UTLE (consulta en tiempo real)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03668"/>
          <w:sz w:val="22"/>
          <w:szCs w:val="22"/>
        </w:rPr>
        <w:t xml:space="preserve">Canal de seguimiento: Looker Studio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UTLE tiene acceso a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 en tiempo real</w:t>
      </w:r>
      <w:r>
        <w:rPr>
          <w:rFonts w:ascii="Calibri" w:cs="Calibri" w:eastAsia="Calibri" w:hAnsi="Calibri"/>
          <w:sz w:val="22"/>
          <w:szCs w:val="22"/>
        </w:rPr>
        <w:t xml:space="preserve"> desarrollado en Looker Studio, conectado directamente a la base de datos de la plataforma. No se requiere acceso técnico a Supabase.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dashboard incluye: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Resumen de campaña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Total de pacientes por estado en tiempo real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Tasa de completación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Porcentaje de pacientes que finalizaron el flujo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Tasa de apertura de correos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Datos de la plataforma de envío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Pacientes por estado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Desglose: ACTIVO, DEPURADO_*, NO_VERIFICADO, PENDIENTE, etc.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Motivos de retiro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Distribución de los motivos registrados en Paso 4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Motivos de no asistencia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Distribución de los motivos registrados en Paso 5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Detalle por paciente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Hipervínculo a Google Sheets con tabla completa exportable</w:t>
            </w:r>
          </w:p>
        </w:tc>
      </w:tr>
    </w:tbl>
    <w:p>
      <w:pPr>
        <w:spacing w:after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03668"/>
          <w:sz w:val="22"/>
          <w:szCs w:val="22"/>
        </w:rPr>
        <w:t xml:space="preserve">Acceso: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UTLE:</w:t>
      </w:r>
      <w:r>
        <w:rPr>
          <w:rFonts w:ascii="Calibri" w:cs="Calibri" w:eastAsia="Calibri" w:hAnsi="Calibri"/>
          <w:sz w:val="22"/>
          <w:szCs w:val="22"/>
        </w:rPr>
        <w:t xml:space="preserve"> Acceso de solo lectura al dashboard de Looker Studio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Coco Technology:</w:t>
      </w:r>
      <w:r>
        <w:rPr>
          <w:rFonts w:ascii="Calibri" w:cs="Calibri" w:eastAsia="Calibri" w:hAnsi="Calibri"/>
          <w:sz w:val="22"/>
          <w:szCs w:val="22"/>
        </w:rPr>
        <w:t xml:space="preserve"> Administración del dashboard y conexión de datos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Google Sheets:</w:t>
      </w:r>
      <w:r>
        <w:rPr>
          <w:rFonts w:ascii="Calibri" w:cs="Calibri" w:eastAsia="Calibri" w:hAnsi="Calibri"/>
          <w:sz w:val="22"/>
          <w:szCs w:val="22"/>
        </w:rPr>
        <w:t xml:space="preserve"> Tabla de datos detallada con hipervínculos desde Looker Studio para descarga y análisis adicional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03668"/>
          <w:sz w:val="22"/>
          <w:szCs w:val="22"/>
        </w:rPr>
        <w:t xml:space="preserve">Estado del dashboard: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[PENDIENTE — definir métricas prioritarias con Mariam Castillo]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[PENDIENTE — confirmar cuentas de Google con acceso al dashboard]</w:t>
      </w: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Procedimiento 5 — Atender incidencias de pacientes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Responsable: </w:t>
      </w:r>
      <w:r>
        <w:rPr>
          <w:rFonts w:ascii="Calibri" w:cs="Calibri" w:eastAsia="Calibri" w:hAnsi="Calibri"/>
          <w:sz w:val="22"/>
          <w:szCs w:val="22"/>
        </w:rPr>
        <w:t xml:space="preserve">** UTLE recibe, Coco Technology resuelve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03668"/>
          <w:sz w:val="22"/>
          <w:szCs w:val="22"/>
        </w:rPr>
        <w:t xml:space="preserve">Casos frecuentes: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Situación reportada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"El link no me funciona"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Verificar si expiró (3 días). Si expiró, Coco Technology genera nuevo token.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"Ingresé mal el PIN 3 veces y me bloqueó"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Coco Technology restablece los intentos en BD.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"No recibí el correo"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Verificar el correo en el CSV. Si es correcto, reenviar.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"Mis datos están incorrectos"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El estado queda como INFO_INCORRECTA. Revisar el expediente en sistema de listas de espera.</w:t>
            </w:r>
          </w:p>
        </w:tc>
      </w:tr>
    </w:tbl>
    <w:p>
      <w:pPr>
        <w:spacing w:after="12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03668"/>
          <w:sz w:val="22"/>
          <w:szCs w:val="22"/>
        </w:rPr>
        <w:t xml:space="preserve">Contacto técnico: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Andres Zapata — Coco Technology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a.zapata@cocotech.ai</w:t>
      </w: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Procedimiento 6 — Cierre de campaña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Responsable: </w:t>
      </w:r>
      <w:r>
        <w:rPr>
          <w:rFonts w:ascii="Calibri" w:cs="Calibri" w:eastAsia="Calibri" w:hAnsi="Calibri"/>
          <w:sz w:val="22"/>
          <w:szCs w:val="22"/>
        </w:rPr>
        <w:t xml:space="preserve">** Coco Technology + UTLE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03668"/>
          <w:sz w:val="22"/>
          <w:szCs w:val="22"/>
        </w:rPr>
        <w:t xml:space="preserve">Pasos: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Al vencer los enlaces (3 días), los pacientes PENDIENTE no podrán completar el flujo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Coco Technology exporta el reporte final de la campaña con todos los estados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UTLE revisa y toma acciones según cada estado (depurar de lista, verificar, reagendar, etc.)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Se archiva el reporte como evidencia del proceso</w:t>
      </w:r>
    </w:p>
    <w:p>
      <w:pPr>
        <w:pBdr>
          <w:bottom w:val="single" w:color="e6f2f8" w:sz="6"/>
        </w:pBdr>
        <w:spacing w:after="120" w:before="120"/>
      </w:pP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Documento elaborado por Coco Technology en coordinación con la UTLE — CCSS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2026-05-20T20:17:01.123Z</dcterms:created>
  <dcterms:modified xsi:type="dcterms:W3CDTF">2026-05-20T20:17:01.123Z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