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4B83"/>
          <w:sz w:val="32"/>
          <w:szCs w:val="32"/>
        </w:rPr>
        <w:t xml:space="preserve">Minuta de Reunión de Trabajo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sz w:val="22"/>
          <w:szCs w:val="22"/>
        </w:rPr>
        <w:t xml:space="preserve">** Plataforma de Actualización de Lista de Espera — UTLE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Contrato: </w:t>
      </w:r>
      <w:r>
        <w:rPr>
          <w:rFonts w:ascii="Calibri" w:cs="Calibri" w:eastAsia="Calibri" w:hAnsi="Calibri"/>
          <w:sz w:val="22"/>
          <w:szCs w:val="22"/>
        </w:rPr>
        <w:t xml:space="preserve">** 2026LE-000001-2299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** Jueves 21 de mayo de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Modalidad: </w:t>
      </w:r>
      <w:r>
        <w:rPr>
          <w:rFonts w:ascii="Calibri" w:cs="Calibri" w:eastAsia="Calibri" w:hAnsi="Calibri"/>
          <w:sz w:val="22"/>
          <w:szCs w:val="22"/>
        </w:rPr>
        <w:t xml:space="preserve">** [Presencial / Virtual — confirmar]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sz w:val="22"/>
          <w:szCs w:val="22"/>
        </w:rPr>
        <w:t xml:space="preserve">** 1.1 | Actualizado: 18 de mayo de 2026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Participantes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Organización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Andres Zapata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 AI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[Cargo]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a.zapata@cocotech.ai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Ing. Mariam Castillo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CCSS — UTLE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Ing. en Sistemas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gm_utle_gelisespera@ccss.sa.cr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Agenda propuesta (3 horas)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00:00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 1 (45 min)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Demostración de la plataforma — flujo completo en vivo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00:45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 2 (60 min)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Revisión de documentación técnica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01:45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 3 (30 min)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Seguridad y manejo de datos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02:15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 4 (30 min)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Procedimientos operativos y herramientas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02:45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 5 (15 min)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Pendientes, acuerdos y firmas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Bloque 1 — Demostración en vivo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Links de prueba (válidos 3 días, PIN: </w:t>
      </w:r>
      <w:r>
        <w:rPr>
          <w:rFonts w:ascii="Calibri" w:cs="Calibri" w:eastAsia="Calibri" w:hAnsi="Calibri"/>
          <w:sz w:val="22"/>
          <w:szCs w:val="22"/>
        </w:rPr>
        <w:t xml:space="preserve">1234):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TEST-AZ-001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https://ccss-utle-preprod.netlify.app/utle?t=124ddcda-9589-4c32-b4d5-c18b44c606ae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TEST-AZ-002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Cirugía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https://ccss-utle-preprod.netlify.app/utle?t=59d5a637-a9f7-47bf-b01c-053f1f37ff9f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TEST-AZ-003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Procedimiento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https://ccss-utle-preprod.netlify.app/utle?t=30abc68b-c0af-44bc-8dd1-117fd4864cef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Puntos a mostrar: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Flujo completo de los 6 pasos (consulta, cirugía, procedimiento)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Verificación de identidad con PIN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Pantallas de cierre según decisión del paciente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Plantilla del correo electrónico (PDF: </w:t>
      </w:r>
      <w:r>
        <w:rPr>
          <w:rFonts w:ascii="Courier New" w:cs="Courier New" w:eastAsia="Courier New" w:hAnsi="Courier New"/>
          <w:color w:val="003668"/>
          <w:sz w:val="20"/>
          <w:szCs w:val="20"/>
        </w:rPr>
        <w:t xml:space="preserve">scripts/plantilla_correo_ccss_v2.pdf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 ] Arquitectura multicanal: WhatsApp → Llamada → Correo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Bloque 2 — Revisión de documentos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Documentos a revisar y validar en la reunión: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Ficha de alcance del sistema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Revisar y firmar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Flujo de datos y estados del paciente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Revisar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Ficha de seguridad y manejo de datos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Revisar — definir política de retención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Manual operativo (SOP)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Revisar procedimientos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Puntos críticos a definir en la reunión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es urgente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Política de retención de datos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Requerida antes de la primera campaña real. ¿Cuánto tiempo se guardan los registros?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Cuentas Google para Looker Studio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Para activar el dashboard de monitoreo en tiempo real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Fecha y volumen del primer lote CSV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Necesario para prueba piloto en semana del 29 de mayo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Confirmación del número WhatsApp Business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Bloqueante para el canal WhatsApp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URL de producción definitiva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Para configurar antes del despliegue a producción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Acuerdos tomados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Acuerdo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compromiso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Pendientes al cierre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 límite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Configuración DNS correo institucional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 CCSS (vía Ing. Mariam Carvajal)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29 mayo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 gestión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Manual de marca CCSS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29 mayo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✓ Recibido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Número WhatsApp Business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29 mayo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 espera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Primer lote CSV de pacientes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 junio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Abierto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Cuentas Google — acceso Looker Studio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 (Ing. Castillo)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28 mayo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Abierto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Política de retención de datos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UTLE / Jurídico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28 mayo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Abierto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Despliegue producción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12 junio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Observaciones de la reunión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_[Espacio para notas durante la sesión]_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Firmas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Andres Zapata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Ing. Mariam Castillo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 AI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CCSS — UTLE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Fecha: 21/05/2026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Fecha: 21/05/2026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Minuta elaborada por Coco Tech AI — para validación y firma de ambas partes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2026-05-20T20:17:01.138Z</dcterms:created>
  <dcterms:modified xsi:type="dcterms:W3CDTF">2026-05-20T20:17:01.138Z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