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8b1a5e10865f7312af3b294060fb4df02a9e43"/>
    <w:p>
      <w:pPr>
        <w:pStyle w:val="Heading1"/>
      </w:pPr>
      <w:r>
        <w:t xml:space="preserve">01 - Architettura Applicativa</w:t>
      </w:r>
    </w:p>
    <w:p>
      <w:pPr>
        <w:pStyle w:val="BlockText"/>
      </w:pPr>
      <w:r>
        <w:t xml:space="preserve">Riferimenti normativi:</w:t>
      </w:r>
      <w:r>
        <w:t xml:space="preserve"> </w:t>
      </w:r>
      <w:hyperlink r:id="rId9">
        <w:r>
          <w:rPr>
            <w:rStyle w:val="Hyperlink"/>
          </w:rPr>
          <w:t xml:space="preserve">DOC1_Architettura_di_Riferimento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DOC2_Catalogo_Tecnologico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Vincoli Architetturali Emersi</w:t>
        </w:r>
      </w:hyperlink>
      <w:r>
        <w:t xml:space="preserve">.</w:t>
      </w:r>
      <w:r>
        <w:t xml:space="preserve"> </w:t>
      </w:r>
      <w:r>
        <w:t xml:space="preserve">Input funzionale: deliverable BA in</w:t>
      </w:r>
      <w:r>
        <w:t xml:space="preserve"> </w:t>
      </w:r>
      <w:hyperlink r:id="rId12">
        <w:r>
          <w:rPr>
            <w:rStyle w:val="Hyperlink"/>
          </w:rPr>
          <w:t xml:space="preserve">docs/out-discovery-business-analist</w:t>
        </w:r>
      </w:hyperlink>
      <w:r>
        <w:t xml:space="preserve">.</w:t>
      </w:r>
      <w:r>
        <w:t xml:space="preserve"> </w:t>
      </w:r>
      <w:r>
        <w:t xml:space="preserve">Profilo target di riferimento:</w:t>
      </w:r>
      <w:r>
        <w:t xml:space="preserve"> </w:t>
      </w:r>
      <w:r>
        <w:rPr>
          <w:b/>
          <w:bCs/>
        </w:rPr>
        <w:t xml:space="preserve">Mid-Market / Enterprise</w:t>
      </w:r>
      <w:r>
        <w:t xml:space="preserve"> </w:t>
      </w:r>
      <w:r>
        <w:t xml:space="preserve">(Poste Italiane). Profilo eseguito in POC:</w:t>
      </w:r>
      <w:r>
        <w:t xml:space="preserve"> </w:t>
      </w:r>
      <w:r>
        <w:rPr>
          <w:b/>
          <w:bCs/>
        </w:rPr>
        <w:t xml:space="preserve">Light Local</w:t>
      </w:r>
      <w:r>
        <w:t xml:space="preserve">.</w:t>
      </w:r>
    </w:p>
    <w:bookmarkStart w:id="13" w:name="X4827e04f5b9d28e414d95c455638983e3d8eb2c"/>
    <w:p>
      <w:pPr>
        <w:pStyle w:val="Heading2"/>
      </w:pPr>
      <w:r>
        <w:t xml:space="preserve">1. Bounded Context</w:t>
      </w:r>
    </w:p>
    <w:p>
      <w:pPr>
        <w:pStyle w:val="FirstParagraph"/>
      </w:pPr>
      <w:r>
        <w:t xml:space="preserve">Si individuano</w:t>
      </w:r>
      <w:r>
        <w:t xml:space="preserve"> </w:t>
      </w:r>
      <w:r>
        <w:rPr>
          <w:b/>
          <w:bCs/>
        </w:rPr>
        <w:t xml:space="preserve">6 bounded context</w:t>
      </w:r>
      <w:r>
        <w:t xml:space="preserve"> </w:t>
      </w:r>
      <w:r>
        <w:t xml:space="preserve">allineati alle famiglie di capability del BA. Ogni context ha responsabilità applicative, persistenza propria e contratti di interfaccia espliciti.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Bounded Context</w:t>
            </w:r>
          </w:p>
        </w:tc>
        <w:tc>
          <w:tcPr/>
          <w:p>
            <w:pPr>
              <w:pStyle w:val="Compact"/>
            </w:pPr>
            <w:r>
              <w:t xml:space="preserve">Responsabilità</w:t>
            </w:r>
          </w:p>
        </w:tc>
        <w:tc>
          <w:tcPr/>
          <w:p>
            <w:pPr>
              <w:pStyle w:val="Compact"/>
            </w:pPr>
            <w:r>
              <w:t xml:space="preserve">Capability 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Practice Management</w:t>
            </w:r>
          </w:p>
        </w:tc>
        <w:tc>
          <w:tcPr/>
          <w:p>
            <w:pPr>
              <w:pStyle w:val="Compact"/>
            </w:pPr>
            <w:r>
              <w:t xml:space="preserve">Ciclo di vita pratica (Aperta → Chiusa OK/KO), dati cliente/carta, dettaglio, repository, audit di stato. Ownership dell'identificativo</w:t>
            </w:r>
            <w:r>
              <w:t xml:space="preserve"> </w:t>
            </w:r>
            <w:r>
              <w:rPr>
                <w:rStyle w:val="VerbatimChar"/>
              </w:rPr>
              <w:t xml:space="preserve">appianTicketID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C1.x, C2.x, C9.1–C9.2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Workflow / Task Orchestration</w:t>
            </w:r>
          </w:p>
        </w:tc>
        <w:tc>
          <w:tcPr/>
          <w:p>
            <w:pPr>
              <w:pStyle w:val="Compact"/>
            </w:pPr>
            <w:r>
              <w:t xml:space="preserve">Generazione task, lista attività, presa in carico, riassegnazione, modellazione workflow ANC come processo BPMN.</w:t>
            </w:r>
          </w:p>
        </w:tc>
        <w:tc>
          <w:tcPr/>
          <w:p>
            <w:pPr>
              <w:pStyle w:val="Compact"/>
            </w:pPr>
            <w:r>
              <w:t xml:space="preserve">C3.x, C6.1–C6.4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&amp; Checklist</w:t>
            </w:r>
          </w:p>
        </w:tc>
        <w:tc>
          <w:tcPr/>
          <w:p>
            <w:pPr>
              <w:pStyle w:val="Compact"/>
            </w:pPr>
            <w:r>
              <w:t xml:space="preserve">Storage allegati, viewer, tipizzazione, checklist Verbale/Carta, calcolo esito.</w:t>
            </w:r>
          </w:p>
        </w:tc>
        <w:tc>
          <w:tcPr/>
          <w:p>
            <w:pPr>
              <w:pStyle w:val="Compact"/>
            </w:pPr>
            <w:r>
              <w:t xml:space="preserve">C4.x, C5.1–C5.2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BPM Integration Gateway</w:t>
            </w:r>
          </w:p>
        </w:tc>
        <w:tc>
          <w:tcPr/>
          <w:p>
            <w:pPr>
              <w:pStyle w:val="Compact"/>
            </w:pPr>
            <w:r>
              <w:t xml:space="preserve">Adattatore verso BPM esterno: ricezione apertura, validazione, idempotenza, invio esiti, ricezione conferme. Owner di</w:t>
            </w:r>
            <w:r>
              <w:t xml:space="preserve"> </w:t>
            </w:r>
            <w:r>
              <w:rPr>
                <w:rStyle w:val="VerbatimChar"/>
              </w:rPr>
              <w:t xml:space="preserve">resultCode</w:t>
            </w:r>
            <w:r>
              <w:t xml:space="preserve"> </w:t>
            </w:r>
            <w:r>
              <w:t xml:space="preserve">e contratti IA v1.4.</w:t>
            </w:r>
          </w:p>
        </w:tc>
        <w:tc>
          <w:tcPr/>
          <w:p>
            <w:pPr>
              <w:pStyle w:val="Compact"/>
            </w:pPr>
            <w:r>
              <w:t xml:space="preserve">C1.1–C1.5, C5.3–C5.7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Supervision &amp; Reporting</w:t>
            </w:r>
          </w:p>
        </w:tc>
        <w:tc>
          <w:tcPr/>
          <w:p>
            <w:pPr>
              <w:pStyle w:val="Compact"/>
            </w:pPr>
            <w:r>
              <w:t xml:space="preserve">Dashboard supervisore: contatori real-time, istogrammi, riassegnazione segnalazioni, lettura aggregata.</w:t>
            </w:r>
          </w:p>
        </w:tc>
        <w:tc>
          <w:tcPr/>
          <w:p>
            <w:pPr>
              <w:pStyle w:val="Compact"/>
            </w:pPr>
            <w:r>
              <w:t xml:space="preserve">C6.5–C6.8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 Management (Sinergia)</w:t>
            </w:r>
          </w:p>
        </w:tc>
        <w:tc>
          <w:tcPr/>
          <w:p>
            <w:pPr>
              <w:pStyle w:val="Compact"/>
            </w:pPr>
            <w:r>
              <w:t xml:space="preserve">Modulo segnalazioni: invio/visualizzazione/riassegnazione, integrazione (stub) Sinergia/PIX.</w:t>
            </w:r>
          </w:p>
        </w:tc>
        <w:tc>
          <w:tcPr/>
          <w:p>
            <w:pPr>
              <w:pStyle w:val="Compact"/>
            </w:pPr>
            <w:r>
              <w:t xml:space="preserve">C7.x</w:t>
            </w:r>
          </w:p>
        </w:tc>
      </w:tr>
    </w:tbl>
    <w:p>
      <w:pPr>
        <w:pStyle w:val="BodyText"/>
      </w:pPr>
      <w:r>
        <w:t xml:space="preserve">Capability trasversali:</w:t>
      </w:r>
      <w:r>
        <w:t xml:space="preserve"> </w:t>
      </w:r>
      <w:r>
        <w:rPr>
          <w:b/>
          <w:bCs/>
        </w:rPr>
        <w:t xml:space="preserve">IAM/AuthZ</w:t>
      </w:r>
      <w:r>
        <w:t xml:space="preserve">,</w:t>
      </w:r>
      <w:r>
        <w:t xml:space="preserve"> </w:t>
      </w:r>
      <w:r>
        <w:rPr>
          <w:b/>
          <w:bCs/>
        </w:rPr>
        <w:t xml:space="preserve">Audit Trail</w:t>
      </w:r>
      <w:r>
        <w:t xml:space="preserve">,</w:t>
      </w:r>
      <w:r>
        <w:t xml:space="preserve"> </w:t>
      </w:r>
      <w:r>
        <w:rPr>
          <w:b/>
          <w:bCs/>
        </w:rPr>
        <w:t xml:space="preserve">Notification/Event Bus interno</w:t>
      </w:r>
      <w:r>
        <w:t xml:space="preserve">,</w:t>
      </w:r>
      <w:r>
        <w:t xml:space="preserve"> </w:t>
      </w:r>
      <w:r>
        <w:rPr>
          <w:b/>
          <w:bCs/>
        </w:rPr>
        <w:t xml:space="preserve">Frontend Shell</w:t>
      </w:r>
      <w:r>
        <w:t xml:space="preserve"> </w:t>
      </w:r>
      <w:r>
        <w:t xml:space="preserve">(tab Home/Attività/Pratiche, componenti UI condivisi).</w:t>
      </w:r>
    </w:p>
    <w:bookmarkEnd w:id="13"/>
    <w:bookmarkStart w:id="14" w:name="Xebd521fcc7040d647778369e4d752739ede0207"/>
    <w:p>
      <w:pPr>
        <w:pStyle w:val="Heading2"/>
      </w:pPr>
      <w:r>
        <w:t xml:space="preserve">2. Macro-Moduli (allineamento ai layer DOC1)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Macro-modulo</w:t>
            </w:r>
          </w:p>
        </w:tc>
        <w:tc>
          <w:tcPr/>
          <w:p>
            <w:pPr>
              <w:pStyle w:val="Compact"/>
            </w:pPr>
            <w:r>
              <w:t xml:space="preserve">Layer DOC1</w:t>
            </w:r>
          </w:p>
        </w:tc>
        <w:tc>
          <w:tcPr/>
          <w:p>
            <w:pPr>
              <w:pStyle w:val="Compact"/>
            </w:pPr>
            <w:r>
              <w:t xml:space="preserve">Bounded context coperti</w:t>
            </w:r>
          </w:p>
        </w:tc>
        <w:tc>
          <w:tcPr/>
          <w:p>
            <w:pPr>
              <w:pStyle w:val="Compact"/>
            </w:pPr>
            <w:r>
              <w:t xml:space="preserve">Responsabilità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M-FE Scrivania Digitale</w:t>
            </w:r>
          </w:p>
        </w:tc>
        <w:tc>
          <w:tcPr/>
          <w:p>
            <w:pPr>
              <w:pStyle w:val="Compact"/>
            </w:pPr>
            <w:r>
              <w:t xml:space="preserve">Layer 1 – Presentation</w:t>
            </w:r>
          </w:p>
        </w:tc>
        <w:tc>
          <w:tcPr/>
          <w:p>
            <w:pPr>
              <w:pStyle w:val="Compact"/>
            </w:pPr>
            <w:r>
              <w:t xml:space="preserve">tutti (UI)</w:t>
            </w:r>
          </w:p>
        </w:tc>
        <w:tc>
          <w:tcPr/>
          <w:p>
            <w:pPr>
              <w:pStyle w:val="Compact"/>
            </w:pPr>
            <w:r>
              <w:t xml:space="preserve">SPA con tab Home/Attività/Pratiche, viewer documenti, checklist, dashboard supervisore.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M-API Gateway</w:t>
            </w:r>
          </w:p>
        </w:tc>
        <w:tc>
          <w:tcPr/>
          <w:p>
            <w:pPr>
              <w:pStyle w:val="Compact"/>
            </w:pPr>
            <w:r>
              <w:t xml:space="preserve">Layer 1/8</w:t>
            </w:r>
          </w:p>
        </w:tc>
        <w:tc>
          <w:tcPr/>
          <w:p>
            <w:pPr>
              <w:pStyle w:val="Compact"/>
            </w:pPr>
            <w:r>
              <w:t xml:space="preserve">tutti</w:t>
            </w:r>
          </w:p>
        </w:tc>
        <w:tc>
          <w:tcPr/>
          <w:p>
            <w:pPr>
              <w:pStyle w:val="Compact"/>
            </w:pPr>
            <w:r>
              <w:t xml:space="preserve">Reverse proxy, autenticazione, rate limiting, routing verso BE.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M-Practice Service</w:t>
            </w:r>
          </w:p>
        </w:tc>
        <w:tc>
          <w:tcPr/>
          <w:p>
            <w:pPr>
              <w:pStyle w:val="Compact"/>
            </w:pPr>
            <w:r>
              <w:t xml:space="preserve">Layer 2 – Orchestration</w:t>
            </w:r>
          </w:p>
        </w:tc>
        <w:tc>
          <w:tcPr/>
          <w:p>
            <w:pPr>
              <w:pStyle w:val="Compact"/>
            </w:pPr>
            <w:r>
              <w:t xml:space="preserve">BC1</w:t>
            </w:r>
          </w:p>
        </w:tc>
        <w:tc>
          <w:tcPr/>
          <w:p>
            <w:pPr>
              <w:pStyle w:val="Compact"/>
            </w:pPr>
            <w:r>
              <w:t xml:space="preserve">API di repository pratiche, dettaglio, audit, stati.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M-Workflow Engine</w:t>
            </w:r>
          </w:p>
        </w:tc>
        <w:tc>
          <w:tcPr/>
          <w:p>
            <w:pPr>
              <w:pStyle w:val="Compact"/>
            </w:pPr>
            <w:r>
              <w:t xml:space="preserve">Layer 2 – Orchestration &amp; BPM</w:t>
            </w:r>
          </w:p>
        </w:tc>
        <w:tc>
          <w:tcPr/>
          <w:p>
            <w:pPr>
              <w:pStyle w:val="Compact"/>
            </w:pPr>
            <w:r>
              <w:t xml:space="preserve">BC2</w:t>
            </w:r>
          </w:p>
        </w:tc>
        <w:tc>
          <w:tcPr/>
          <w:p>
            <w:pPr>
              <w:pStyle w:val="Compact"/>
            </w:pPr>
            <w:r>
              <w:t xml:space="preserve">Motore BPMN per orchestrazione ciclo pratica + task.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M-Document Service</w:t>
            </w:r>
          </w:p>
        </w:tc>
        <w:tc>
          <w:tcPr/>
          <w:p>
            <w:pPr>
              <w:pStyle w:val="Compact"/>
            </w:pPr>
            <w:r>
              <w:t xml:space="preserve">Layer 5 – Document Management</w:t>
            </w:r>
          </w:p>
        </w:tc>
        <w:tc>
          <w:tcPr/>
          <w:p>
            <w:pPr>
              <w:pStyle w:val="Compact"/>
            </w:pPr>
            <w:r>
              <w:t xml:space="preserve">BC3</w:t>
            </w:r>
          </w:p>
        </w:tc>
        <w:tc>
          <w:tcPr/>
          <w:p>
            <w:pPr>
              <w:pStyle w:val="Compact"/>
            </w:pPr>
            <w:r>
              <w:t xml:space="preserve">Storage e metadati allegati, viewer, checklist, calcolo esito.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M-BPM Integration</w:t>
            </w:r>
          </w:p>
        </w:tc>
        <w:tc>
          <w:tcPr/>
          <w:p>
            <w:pPr>
              <w:pStyle w:val="Compact"/>
            </w:pPr>
            <w:r>
              <w:t xml:space="preserve">Layer 6 – Integration</w:t>
            </w:r>
          </w:p>
        </w:tc>
        <w:tc>
          <w:tcPr/>
          <w:p>
            <w:pPr>
              <w:pStyle w:val="Compact"/>
            </w:pPr>
            <w:r>
              <w:t xml:space="preserve">BC4</w:t>
            </w:r>
          </w:p>
        </w:tc>
        <w:tc>
          <w:tcPr/>
          <w:p>
            <w:pPr>
              <w:pStyle w:val="Compact"/>
            </w:pPr>
            <w:r>
              <w:t xml:space="preserve">Adattatore in/out verso BPM Poste; idempotenza; codici resultCode.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M-Supervision Service</w:t>
            </w:r>
          </w:p>
        </w:tc>
        <w:tc>
          <w:tcPr/>
          <w:p>
            <w:pPr>
              <w:pStyle w:val="Compact"/>
            </w:pPr>
            <w:r>
              <w:t xml:space="preserve">Layer 2 / 7</w:t>
            </w:r>
          </w:p>
        </w:tc>
        <w:tc>
          <w:tcPr/>
          <w:p>
            <w:pPr>
              <w:pStyle w:val="Compact"/>
            </w:pPr>
            <w:r>
              <w:t xml:space="preserve">BC5</w:t>
            </w:r>
          </w:p>
        </w:tc>
        <w:tc>
          <w:tcPr/>
          <w:p>
            <w:pPr>
              <w:pStyle w:val="Compact"/>
            </w:pPr>
            <w:r>
              <w:t xml:space="preserve">Aggregati real-time, dataset istogrammi, riassegnazione.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M-Signal Service</w:t>
            </w:r>
          </w:p>
        </w:tc>
        <w:tc>
          <w:tcPr/>
          <w:p>
            <w:pPr>
              <w:pStyle w:val="Compact"/>
            </w:pPr>
            <w:r>
              <w:t xml:space="preserve">Layer 6 – Integration</w:t>
            </w:r>
          </w:p>
        </w:tc>
        <w:tc>
          <w:tcPr/>
          <w:p>
            <w:pPr>
              <w:pStyle w:val="Compact"/>
            </w:pPr>
            <w:r>
              <w:t xml:space="preserve">BC6</w:t>
            </w:r>
          </w:p>
        </w:tc>
        <w:tc>
          <w:tcPr/>
          <w:p>
            <w:pPr>
              <w:pStyle w:val="Compact"/>
            </w:pPr>
            <w:r>
              <w:t xml:space="preserve">Segnalazioni Sinergia (stub in POC).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M-IAM</w:t>
            </w:r>
          </w:p>
        </w:tc>
        <w:tc>
          <w:tcPr/>
          <w:p>
            <w:pPr>
              <w:pStyle w:val="Compact"/>
            </w:pPr>
            <w:r>
              <w:t xml:space="preserve">Layer 1/8</w:t>
            </w:r>
          </w:p>
        </w:tc>
        <w:tc>
          <w:tcPr/>
          <w:p>
            <w:pPr>
              <w:pStyle w:val="Compact"/>
            </w:pPr>
            <w:r>
              <w:t xml:space="preserve">trasversale</w:t>
            </w:r>
          </w:p>
        </w:tc>
        <w:tc>
          <w:tcPr/>
          <w:p>
            <w:pPr>
              <w:pStyle w:val="Compact"/>
            </w:pPr>
            <w:r>
              <w:t xml:space="preserve">Autenticazione, ruoli (OPERATORE, SUPERVISORE), autorizzazione per tab/azione.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M-Audit Service</w:t>
            </w:r>
          </w:p>
        </w:tc>
        <w:tc>
          <w:tcPr/>
          <w:p>
            <w:pPr>
              <w:pStyle w:val="Compact"/>
            </w:pPr>
            <w:r>
              <w:t xml:space="preserve">Layer 8</w:t>
            </w:r>
          </w:p>
        </w:tc>
        <w:tc>
          <w:tcPr/>
          <w:p>
            <w:pPr>
              <w:pStyle w:val="Compact"/>
            </w:pPr>
            <w:r>
              <w:t xml:space="preserve">trasversale</w:t>
            </w:r>
          </w:p>
        </w:tc>
        <w:tc>
          <w:tcPr/>
          <w:p>
            <w:pPr>
              <w:pStyle w:val="Compact"/>
            </w:pPr>
            <w:r>
              <w:t xml:space="preserve">Cronologia attività + storico stati pratica.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M-Persistence</w:t>
            </w:r>
          </w:p>
        </w:tc>
        <w:tc>
          <w:tcPr/>
          <w:p>
            <w:pPr>
              <w:pStyle w:val="Compact"/>
            </w:pPr>
            <w:r>
              <w:t xml:space="preserve">Layer 8</w:t>
            </w:r>
          </w:p>
        </w:tc>
        <w:tc>
          <w:tcPr/>
          <w:p>
            <w:pPr>
              <w:pStyle w:val="Compact"/>
            </w:pPr>
            <w:r>
              <w:t xml:space="preserve">trasversale</w:t>
            </w:r>
          </w:p>
        </w:tc>
        <w:tc>
          <w:tcPr/>
          <w:p>
            <w:pPr>
              <w:pStyle w:val="Compact"/>
            </w:pPr>
            <w:r>
              <w:t xml:space="preserve">DB transazionale + object storage allegati.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M-Observability</w:t>
            </w:r>
          </w:p>
        </w:tc>
        <w:tc>
          <w:tcPr/>
          <w:p>
            <w:pPr>
              <w:pStyle w:val="Compact"/>
            </w:pPr>
            <w:r>
              <w:t xml:space="preserve">Layer 8</w:t>
            </w:r>
          </w:p>
        </w:tc>
        <w:tc>
          <w:tcPr/>
          <w:p>
            <w:pPr>
              <w:pStyle w:val="Compact"/>
            </w:pPr>
            <w:r>
              <w:t xml:space="preserve">trasversale</w:t>
            </w:r>
          </w:p>
        </w:tc>
        <w:tc>
          <w:tcPr/>
          <w:p>
            <w:pPr>
              <w:pStyle w:val="Compact"/>
            </w:pPr>
            <w:r>
              <w:t xml:space="preserve">Log strutturato, metriche, tracing minimale.</w:t>
            </w:r>
          </w:p>
        </w:tc>
      </w:tr>
    </w:tbl>
    <w:bookmarkEnd w:id="14"/>
    <w:bookmarkStart w:id="15" w:name="X33973f927859afa3882dabd0a708a88cbd551f6"/>
    <w:p>
      <w:pPr>
        <w:pStyle w:val="Heading2"/>
      </w:pPr>
      <w:r>
        <w:t xml:space="preserve">3. Principi architetturali applicati</w:t>
      </w:r>
    </w:p>
    <w:p>
      <w:pPr>
        <w:pStyle w:val="FirstParagraph"/>
      </w:pPr>
      <w:r>
        <w:t xml:space="preserve">Selezione dai 9 principi DOC1 effettivamente vincolanti per la POC: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P1 – No vendor lock-in</w:t>
      </w:r>
      <w:r>
        <w:t xml:space="preserve">: solo componenti OSI-approved; nessuna API cloud-proprietaria.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P2 – Cloud-native &amp; modulare</w:t>
      </w:r>
      <w:r>
        <w:t xml:space="preserve">: container come unità di deploy; bounded context con confini espliciti.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P3 – Security Zero Trust</w:t>
      </w:r>
      <w:r>
        <w:t xml:space="preserve"> </w:t>
      </w:r>
      <w:r>
        <w:rPr>
          <w:i/>
          <w:iCs/>
        </w:rPr>
        <w:t xml:space="preserve">(parziale in POC)</w:t>
      </w:r>
      <w:r>
        <w:t xml:space="preserve">: TLS sui canali integrazione, autenticazione su ogni API; mTLS inter-servizio rinviato a target.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P4 – API-first &amp; event-driven</w:t>
      </w:r>
      <w:r>
        <w:t xml:space="preserve">: contratti espliciti; eventi interni per audit/notifiche.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P5 – Observability by design</w:t>
      </w:r>
      <w:r>
        <w:t xml:space="preserve">: log + metriche minimali in POC, tracing predisposto.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P8 – Scalabilità progressiva</w:t>
      </w:r>
      <w:r>
        <w:t xml:space="preserve">: in POC modular monolith con confini di context preservati; evoluzione verso few-services nel target.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P9 – DevOps &amp; rilascio continuo</w:t>
      </w:r>
      <w:r>
        <w:t xml:space="preserve">: pipeline CI minimale in POC; GitOps target.</w:t>
      </w:r>
    </w:p>
    <w:p>
      <w:pPr>
        <w:pStyle w:val="FirstParagraph"/>
      </w:pPr>
      <w:r>
        <w:t xml:space="preserve">Esclusi dalla POC (predisposti per il target):</w:t>
      </w:r>
      <w:r>
        <w:t xml:space="preserve"> </w:t>
      </w:r>
      <w:r>
        <w:rPr>
          <w:b/>
          <w:bCs/>
        </w:rPr>
        <w:t xml:space="preserve">P6 AI-ready</w:t>
      </w:r>
      <w:r>
        <w:t xml:space="preserve">,</w:t>
      </w:r>
      <w:r>
        <w:t xml:space="preserve"> </w:t>
      </w:r>
      <w:r>
        <w:rPr>
          <w:b/>
          <w:bCs/>
        </w:rPr>
        <w:t xml:space="preserve">P7 UX multicanale completa</w:t>
      </w:r>
      <w:r>
        <w:t xml:space="preserve"> </w:t>
      </w:r>
      <w:r>
        <w:t xml:space="preserve">(mobile-first/PWA),</w:t>
      </w:r>
      <w:r>
        <w:t xml:space="preserve"> </w:t>
      </w:r>
      <w:r>
        <w:rPr>
          <w:b/>
          <w:bCs/>
        </w:rPr>
        <w:t xml:space="preserve">P3 mTLS completo</w:t>
      </w:r>
      <w:r>
        <w:t xml:space="preserve">.</w:t>
      </w:r>
    </w:p>
    <w:bookmarkEnd w:id="15"/>
    <w:bookmarkStart w:id="16" w:name="Xad51795ed6ead5995d3d62f1ae52dd33acbe8a0"/>
    <w:p>
      <w:pPr>
        <w:pStyle w:val="Heading2"/>
      </w:pPr>
      <w:r>
        <w:t xml:space="preserve">4. Modello applicativo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Target enterprise</w:t>
      </w:r>
      <w:r>
        <w:t xml:space="preserve">: few-services per macro-modulo (M-Practice, M-Workflow, M-Document, M-BPM Integration, M-Supervision, M-Signal); deploy su orchestratore container; HA del DB; broker eventi per audit e notifiche.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POC light</w:t>
      </w:r>
      <w:r>
        <w:t xml:space="preserve">:</w:t>
      </w:r>
      <w:r>
        <w:t xml:space="preserve"> </w:t>
      </w:r>
      <w:r>
        <w:rPr>
          <w:b/>
          <w:bCs/>
        </w:rPr>
        <w:t xml:space="preserve">modular monolith</w:t>
      </w:r>
      <w:r>
        <w:t xml:space="preserve"> </w:t>
      </w:r>
      <w:r>
        <w:t xml:space="preserve">con i 6 bounded context come moduli interni a confini espliciti (package separati, persistence isolata per schema/tabelle); UI separata; BPM integration come modulo dedicato; stub esterni in container separati. Conserva la stessa modularizzazione → evoluzione a few-services senza rifondare.</w:t>
      </w:r>
    </w:p>
    <w:bookmarkEnd w:id="16"/>
    <w:bookmarkStart w:id="17" w:name="Xbedc310a3a7b2756728a1c9054445265d22e1b3"/>
    <w:p>
      <w:pPr>
        <w:pStyle w:val="Heading2"/>
      </w:pPr>
      <w:r>
        <w:t xml:space="preserve">5. Confini e contratti tra moduli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 ⇄ Gateway ⇄ BE</w:t>
      </w:r>
      <w:r>
        <w:t xml:space="preserve">: API sincrone con contratti versionati; autenticazione tramite token emesso dall'IAM.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BC4 (BPM Integration) ⇄ BC1 (Practice)</w:t>
      </w:r>
      <w:r>
        <w:t xml:space="preserve">: contratto applicativo interno (creazione pratica, registrazione esito); idempotenza e mappa</w:t>
      </w:r>
      <w:r>
        <w:t xml:space="preserve"> </w:t>
      </w:r>
      <w:r>
        <w:rPr>
          <w:rStyle w:val="VerbatimChar"/>
        </w:rPr>
        <w:t xml:space="preserve">resultCode</w:t>
      </w:r>
      <w:r>
        <w:t xml:space="preserve"> </w:t>
      </w:r>
      <w:r>
        <w:t xml:space="preserve">confinate in BC4.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BC2 (Workflow) ⇄ BC1 / BC3</w:t>
      </w:r>
      <w:r>
        <w:t xml:space="preserve">: il motore di workflow modella stati pratica e task; chiama BC1/BC3 come service task.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BC5 / BC6 ⇄ BC1</w:t>
      </w:r>
      <w:r>
        <w:t xml:space="preserve">: read-only su repository pratiche per aggregati e contestualizzazione segnalazioni.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Audit (M-Audit)</w:t>
      </w:r>
      <w:r>
        <w:t xml:space="preserve">: consumo di eventi di dominio (cambio stato, presa in carico, tipizzazione, riassegnazione, chiusura) emessi dai context.</w:t>
      </w:r>
    </w:p>
    <w:bookmarkEnd w:id="17"/>
    <w:bookmarkStart w:id="18" w:name="X7c2558560f33f439bcd96f69838813f384f9b8f"/>
    <w:p>
      <w:pPr>
        <w:pStyle w:val="Heading2"/>
      </w:pPr>
      <w:r>
        <w:t xml:space="preserve">6. Vincoli applicativi (da Vincoli Architetturali Emersi)</w:t>
      </w:r>
    </w:p>
    <w:p>
      <w:pPr>
        <w:pStyle w:val="Compact"/>
        <w:numPr>
          <w:ilvl w:val="0"/>
          <w:numId w:val="1004"/>
        </w:numPr>
      </w:pPr>
      <w:r>
        <w:t xml:space="preserve">Backend Java/OpenJDK (no dipendenze Oracle).</w:t>
      </w:r>
    </w:p>
    <w:p>
      <w:pPr>
        <w:pStyle w:val="Compact"/>
        <w:numPr>
          <w:ilvl w:val="0"/>
          <w:numId w:val="1004"/>
        </w:numPr>
      </w:pPr>
      <w:r>
        <w:t xml:space="preserve">Frontend React.</w:t>
      </w:r>
    </w:p>
    <w:p>
      <w:pPr>
        <w:pStyle w:val="Compact"/>
        <w:numPr>
          <w:ilvl w:val="0"/>
          <w:numId w:val="1004"/>
        </w:numPr>
      </w:pPr>
      <w:r>
        <w:t xml:space="preserve">DB MariaDB (con SQL standard, compatibile con altri DB).</w:t>
      </w:r>
    </w:p>
    <w:p>
      <w:pPr>
        <w:pStyle w:val="Compact"/>
        <w:numPr>
          <w:ilvl w:val="0"/>
          <w:numId w:val="1004"/>
        </w:numPr>
      </w:pPr>
      <w:r>
        <w:t xml:space="preserve">Storage allegati: pluggable (S3-compatible / filesystem / enterprise).</w:t>
      </w:r>
    </w:p>
    <w:p>
      <w:pPr>
        <w:pStyle w:val="Compact"/>
        <w:numPr>
          <w:ilvl w:val="0"/>
          <w:numId w:val="1004"/>
        </w:numPr>
      </w:pPr>
      <w:r>
        <w:t xml:space="preserve">IAM: integrazione Active Directory / IAM enterprise nel target; fallback Basic Auth in POC test.</w:t>
      </w:r>
    </w:p>
    <w:p>
      <w:pPr>
        <w:pStyle w:val="Compact"/>
        <w:numPr>
          <w:ilvl w:val="0"/>
          <w:numId w:val="1004"/>
        </w:numPr>
      </w:pPr>
      <w:r>
        <w:t xml:space="preserve">Autorizzazione: RBAC su gruppi gerarchici.</w:t>
      </w:r>
    </w:p>
    <w:p>
      <w:pPr>
        <w:pStyle w:val="Compact"/>
        <w:numPr>
          <w:ilvl w:val="0"/>
          <w:numId w:val="1004"/>
        </w:numPr>
      </w:pPr>
      <w:r>
        <w:t xml:space="preserve">API: OAuth 2.0 + Basic fallback + supporto mTLS.</w:t>
      </w:r>
    </w:p>
    <w:p>
      <w:pPr>
        <w:pStyle w:val="Compact"/>
        <w:numPr>
          <w:ilvl w:val="0"/>
          <w:numId w:val="1004"/>
        </w:numPr>
      </w:pPr>
      <w:r>
        <w:t xml:space="preserve">Trasporto: TLS.</w:t>
      </w:r>
    </w:p>
    <w:p>
      <w:pPr>
        <w:pStyle w:val="Compact"/>
        <w:numPr>
          <w:ilvl w:val="0"/>
          <w:numId w:val="1004"/>
        </w:numPr>
      </w:pPr>
      <w:r>
        <w:t xml:space="preserve">Integrazione esterni: REST, SFTP, code/messaging.</w:t>
      </w:r>
    </w:p>
    <w:p>
      <w:pPr>
        <w:pStyle w:val="Compact"/>
        <w:numPr>
          <w:ilvl w:val="0"/>
          <w:numId w:val="1004"/>
        </w:numPr>
      </w:pPr>
      <w:r>
        <w:t xml:space="preserve">Workflow: trigger timer + eventi; processi modellati come grafi (BPMN).</w:t>
      </w:r>
    </w:p>
    <w:bookmarkEnd w:id="18"/>
    <w:bookmarkStart w:id="19" w:name="Xc4e8531f2557852acd1af1eb71ab6d89c0d0826"/>
    <w:p>
      <w:pPr>
        <w:pStyle w:val="Heading2"/>
      </w:pPr>
      <w:r>
        <w:t xml:space="preserve">7. Mapping bounded context → BA capability (sintesi)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BC</w:t>
            </w:r>
          </w:p>
        </w:tc>
        <w:tc>
          <w:tcPr/>
          <w:p>
            <w:pPr>
              <w:pStyle w:val="Compact"/>
            </w:pPr>
            <w:r>
              <w:t xml:space="preserve">Capability 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BC1</w:t>
            </w:r>
          </w:p>
        </w:tc>
        <w:tc>
          <w:tcPr/>
          <w:p>
            <w:pPr>
              <w:pStyle w:val="Compact"/>
            </w:pPr>
            <w:r>
              <w:t xml:space="preserve">C1.3 (idempotenza ID_WORKITEM, persistenza), C2.1, C2.6–C2.9, C9.1, C9.2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BC2</w:t>
            </w:r>
          </w:p>
        </w:tc>
        <w:tc>
          <w:tcPr/>
          <w:p>
            <w:pPr>
              <w:pStyle w:val="Compact"/>
            </w:pPr>
            <w:r>
              <w:t xml:space="preserve">C3.1, C3.2, C3.3, C3.5, C6.1, C6.2, C6.3, C6.4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BC3</w:t>
            </w:r>
          </w:p>
        </w:tc>
        <w:tc>
          <w:tcPr/>
          <w:p>
            <w:pPr>
              <w:pStyle w:val="Compact"/>
            </w:pPr>
            <w:r>
              <w:t xml:space="preserve">C4.1, C4.2, C4.3, C4.4, C4.5, C4.6, C4.7, C4.8, C4.9, C4.10, C4.11, C4.12, C5.1, C5.2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BC4</w:t>
            </w:r>
          </w:p>
        </w:tc>
        <w:tc>
          <w:tcPr/>
          <w:p>
            <w:pPr>
              <w:pStyle w:val="Compact"/>
            </w:pPr>
            <w:r>
              <w:t xml:space="preserve">C1.1, C1.2, C1.4, C1.5, C5.3, C5.4, C5.5, C5.6, C5.7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BC5</w:t>
            </w:r>
          </w:p>
        </w:tc>
        <w:tc>
          <w:tcPr/>
          <w:p>
            <w:pPr>
              <w:pStyle w:val="Compact"/>
            </w:pPr>
            <w:r>
              <w:t xml:space="preserve">C6.5, C6.6, C6.7, C6.8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BC6</w:t>
            </w:r>
          </w:p>
        </w:tc>
        <w:tc>
          <w:tcPr/>
          <w:p>
            <w:pPr>
              <w:pStyle w:val="Compact"/>
            </w:pPr>
            <w:r>
              <w:t xml:space="preserve">C7.1, C7.2, C7.3, C7.4, C7.5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Trasversali</w:t>
            </w:r>
          </w:p>
        </w:tc>
        <w:tc>
          <w:tcPr/>
          <w:p>
            <w:pPr>
              <w:pStyle w:val="Compact"/>
            </w:pPr>
            <w:r>
              <w:t xml:space="preserve">C2.2, C2.3, C2.4, C2.5 (lista), C8.1–C8.3, C9.3</w:t>
            </w:r>
          </w:p>
        </w:tc>
      </w:tr>
    </w:tbl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out-discovery-business-analist" TargetMode="External" /><Relationship Type="http://schemas.openxmlformats.org/officeDocument/2006/relationships/hyperlink" Id="rId9" Target="../requisitiArchitetturali/DOC1_Architettura_di_Riferimento.docx" TargetMode="External" /><Relationship Type="http://schemas.openxmlformats.org/officeDocument/2006/relationships/hyperlink" Id="rId10" Target="../requisitiArchitetturali/DOC2_Catalogo_Tecnologico.docx" TargetMode="External" /><Relationship Type="http://schemas.openxmlformats.org/officeDocument/2006/relationships/hyperlink" Id="rId11" Target="../requisitiArchitetturali/Vincoli%20Architetturali%20Emersi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out-discovery-business-analist" TargetMode="External" /><Relationship Type="http://schemas.openxmlformats.org/officeDocument/2006/relationships/hyperlink" Id="rId9" Target="../requisitiArchitetturali/DOC1_Architettura_di_Riferimento.docx" TargetMode="External" /><Relationship Type="http://schemas.openxmlformats.org/officeDocument/2006/relationships/hyperlink" Id="rId10" Target="../requisitiArchitetturali/DOC2_Catalogo_Tecnologico.docx" TargetMode="External" /><Relationship Type="http://schemas.openxmlformats.org/officeDocument/2006/relationships/hyperlink" Id="rId11" Target="../requisitiArchitetturali/Vincoli%20Architetturali%20Emersi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2026-05-12T17:47:19Z</dcterms:created>
  <dcterms:modified xsi:type="dcterms:W3CDTF">2026-05-12T17:47:19Z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