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97ce7d91a282fc8e5b475a9fc1b7a60343c31a7"/>
    <w:p>
      <w:pPr>
        <w:pStyle w:val="Heading1"/>
      </w:pPr>
      <w:r>
        <w:t xml:space="preserve">02 - Architettura Runtime POC</w:t>
      </w:r>
    </w:p>
    <w:p>
      <w:pPr>
        <w:pStyle w:val="BlockText"/>
      </w:pPr>
      <w:r>
        <w:t xml:space="preserve">Modalità:</w:t>
      </w:r>
      <w:r>
        <w:t xml:space="preserve"> </w:t>
      </w:r>
      <w:r>
        <w:rPr>
          <w:b/>
          <w:bCs/>
        </w:rPr>
        <w:t xml:space="preserve">Light Local</w:t>
      </w:r>
      <w:r>
        <w:t xml:space="preserve"> </w:t>
      </w:r>
      <w:r>
        <w:t xml:space="preserve">eseguibile sul PC dell'utente. Mantiene invariati: bounded context, contratti applicativi, workflow, modularizzazione. Riduce solo: complessità infrastrutturale e dipendenze enterprise non disponibili localmente.</w:t>
      </w:r>
    </w:p>
    <w:bookmarkStart w:id="9" w:name="X344a5888774c65b6910411b000fd99ad96f7f9a"/>
    <w:p>
      <w:pPr>
        <w:pStyle w:val="Heading2"/>
      </w:pPr>
      <w:r>
        <w:t xml:space="preserve">1. Stack runtime POC (allineato ai vincoli)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POC (light)</w:t>
            </w:r>
          </w:p>
        </w:tc>
        <w:tc>
          <w:tcPr/>
          <w:p>
            <w:pPr>
              <w:pStyle w:val="Compact"/>
            </w:pPr>
            <w:r>
              <w:t xml:space="preserve">Target enterprise (riferimento)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(build statica servita dal reverse proxy)</w:t>
            </w:r>
          </w:p>
        </w:tc>
        <w:tc>
          <w:tcPr/>
          <w:p>
            <w:pPr>
              <w:pStyle w:val="Compact"/>
            </w:pPr>
            <w:r>
              <w:t xml:space="preserve">React + meta-framework (DOC2)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 / Gateway</w:t>
            </w:r>
          </w:p>
        </w:tc>
        <w:tc>
          <w:tcPr/>
          <w:p>
            <w:pPr>
              <w:pStyle w:val="Compact"/>
            </w:pPr>
            <w:r>
              <w:t xml:space="preserve">NGINX (reverse proxy + serve FE)</w:t>
            </w:r>
          </w:p>
        </w:tc>
        <w:tc>
          <w:tcPr/>
          <w:p>
            <w:pPr>
              <w:pStyle w:val="Compact"/>
            </w:pPr>
            <w:r>
              <w:t xml:space="preserve">Apache APISIX (DOC2)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Java 21 / Spring Boot 3 (modular monolith)</w:t>
            </w:r>
          </w:p>
        </w:tc>
        <w:tc>
          <w:tcPr/>
          <w:p>
            <w:pPr>
              <w:pStyle w:val="Compact"/>
            </w:pPr>
            <w:r>
              <w:t xml:space="preserve">Spring Boot 3 — few-services (DOC2)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 engine (interno a SD)</w:t>
            </w:r>
          </w:p>
        </w:tc>
        <w:tc>
          <w:tcPr/>
          <w:p>
            <w:pPr>
              <w:pStyle w:val="Compact"/>
            </w:pPr>
            <w:r>
              <w:t xml:space="preserve">Flowable 7 embedded nel monolite</w:t>
            </w:r>
          </w:p>
        </w:tc>
        <w:tc>
          <w:tcPr/>
          <w:p>
            <w:pPr>
              <w:pStyle w:val="Compact"/>
            </w:pPr>
            <w:r>
              <w:t xml:space="preserve">Flowable 7 servizio dedicato (DOC2)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transazionale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MariaDB</w:t>
            </w:r>
            <w:r>
              <w:t xml:space="preserve"> </w:t>
            </w:r>
            <w:r>
              <w:t xml:space="preserve">(vincolo Poste)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MariaDB</w:t>
            </w:r>
            <w:r>
              <w:t xml:space="preserve"> </w:t>
            </w:r>
            <w:r>
              <w:t xml:space="preserve">(vincolo Poste; DOC2 prevede PostgreSQL → segnalata divergenza, vedi</w:t>
            </w:r>
            <w:r>
              <w:t xml:space="preserve"> </w:t>
            </w:r>
            <w:r>
              <w:rPr>
                <w:rStyle w:val="VerbatimChar"/>
              </w:rPr>
              <w:t xml:space="preserve">Vincoli Tecnici §5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allegati</w:t>
            </w:r>
          </w:p>
        </w:tc>
        <w:tc>
          <w:tcPr/>
          <w:p>
            <w:pPr>
              <w:pStyle w:val="Compact"/>
            </w:pPr>
            <w:r>
              <w:t xml:space="preserve">MinIO (S3-compatible, single-node)</w:t>
            </w:r>
          </w:p>
        </w:tc>
        <w:tc>
          <w:tcPr/>
          <w:p>
            <w:pPr>
              <w:pStyle w:val="Compact"/>
            </w:pPr>
            <w:r>
              <w:t xml:space="preserve">Object storage S3-compatible enterprise / proprietario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Basic Auth locale + ruoli su DB (fallback dichiarato dai vincoli)</w:t>
            </w:r>
          </w:p>
        </w:tc>
        <w:tc>
          <w:tcPr/>
          <w:p>
            <w:pPr>
              <w:pStyle w:val="Compact"/>
            </w:pPr>
            <w:r>
              <w:t xml:space="preserve">Keycloak + integrazione AD/Entra (DOC2 + Vincoli)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 esterno (Poste)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Stub container</w:t>
            </w:r>
            <w:r>
              <w:t xml:space="preserve"> </w:t>
            </w:r>
            <w:r>
              <w:t xml:space="preserve">(Mock REST)</w:t>
            </w:r>
          </w:p>
        </w:tc>
        <w:tc>
          <w:tcPr/>
          <w:p>
            <w:pPr>
              <w:pStyle w:val="Compact"/>
            </w:pPr>
            <w:r>
              <w:t xml:space="preserve">Sistema BPM Poste reale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Sinergia/PIX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Stub container</w:t>
            </w:r>
          </w:p>
        </w:tc>
        <w:tc>
          <w:tcPr/>
          <w:p>
            <w:pPr>
              <w:pStyle w:val="Compact"/>
            </w:pPr>
            <w:r>
              <w:t xml:space="preserve">Sistema Sinergia reale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presente in POC</w:t>
            </w:r>
            <w:r>
              <w:t xml:space="preserve"> </w:t>
            </w:r>
            <w:r>
              <w:t xml:space="preserve">(placeholder log)</w:t>
            </w:r>
          </w:p>
        </w:tc>
        <w:tc>
          <w:tcPr/>
          <w:p>
            <w:pPr>
              <w:pStyle w:val="Compact"/>
            </w:pPr>
            <w:r>
              <w:t xml:space="preserve">Pipeline reale verso Data Lake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Containerizzazione</w:t>
            </w:r>
          </w:p>
        </w:tc>
        <w:tc>
          <w:tcPr/>
          <w:p>
            <w:pPr>
              <w:pStyle w:val="Compac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</w:pPr>
            <w:r>
              <w:t xml:space="preserve">Kubernetes (DOC2 / Vincoli)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Log JSON su stdout + Spring Boot Actuator</w:t>
            </w:r>
          </w:p>
        </w:tc>
        <w:tc>
          <w:tcPr/>
          <w:p>
            <w:pPr>
              <w:pStyle w:val="Compact"/>
            </w:pPr>
            <w:r>
              <w:t xml:space="preserve">Stack metriche/log/trace centralizzato</w:t>
            </w:r>
          </w:p>
        </w:tc>
      </w:tr>
    </w:tbl>
    <w:bookmarkEnd w:id="9"/>
    <w:bookmarkStart w:id="10" w:name="Xbda4a3b2abf28cc74e46ee08d30a473adc8fa5e"/>
    <w:p>
      <w:pPr>
        <w:pStyle w:val="Heading2"/>
      </w:pPr>
      <w:r>
        <w:t xml:space="preserve">2. Componenti runtime POC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Browser utente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HTTPS (self-signed in dev)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reverse-proxy        │ NGINX → /api → backend; / → FE</w:t>
      </w:r>
      <w:r>
        <w:br/>
      </w:r>
      <w:r>
        <w:rPr>
          <w:rStyle w:val="VerbatimChar"/>
        </w:rPr>
        <w:t xml:space="preserve">└──────────────────────┘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               │</w:t>
      </w:r>
      <w:r>
        <w:br/>
      </w:r>
      <w:r>
        <w:rPr>
          <w:rStyle w:val="VerbatimChar"/>
        </w:rPr>
        <w:t xml:space="preserve">       ▼                                  ▼</w:t>
      </w:r>
      <w:r>
        <w:br/>
      </w:r>
      <w:r>
        <w:rPr>
          <w:rStyle w:val="VerbatimChar"/>
        </w:rPr>
        <w:t xml:space="preserve">┌──────────────┐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frontend     │               │  backend (modular monolith)   │</w:t>
      </w:r>
      <w:r>
        <w:br/>
      </w:r>
      <w:r>
        <w:rPr>
          <w:rStyle w:val="VerbatimChar"/>
        </w:rPr>
        <w:t xml:space="preserve">│  (React)      │               │  - M-Practice                 │</w:t>
      </w:r>
      <w:r>
        <w:br/>
      </w:r>
      <w:r>
        <w:rPr>
          <w:rStyle w:val="VerbatimChar"/>
        </w:rPr>
        <w:t xml:space="preserve">└──────────────┘               │  - M-Workflow (Flowable emb.) │</w:t>
      </w:r>
      <w:r>
        <w:br/>
      </w:r>
      <w:r>
        <w:rPr>
          <w:rStyle w:val="VerbatimChar"/>
        </w:rPr>
        <w:t xml:space="preserve">                                │  - M-Document                 │</w:t>
      </w:r>
      <w:r>
        <w:br/>
      </w:r>
      <w:r>
        <w:rPr>
          <w:rStyle w:val="VerbatimChar"/>
        </w:rPr>
        <w:t xml:space="preserve">                                │  - M-BPM Integration          │</w:t>
      </w:r>
      <w:r>
        <w:br/>
      </w:r>
      <w:r>
        <w:rPr>
          <w:rStyle w:val="VerbatimChar"/>
        </w:rPr>
        <w:t xml:space="preserve">                                │  - M-Supervision              │</w:t>
      </w:r>
      <w:r>
        <w:br/>
      </w:r>
      <w:r>
        <w:rPr>
          <w:rStyle w:val="VerbatimChar"/>
        </w:rPr>
        <w:t xml:space="preserve">                                │  - M-Signal                   │</w:t>
      </w:r>
      <w:r>
        <w:br/>
      </w:r>
      <w:r>
        <w:rPr>
          <w:rStyle w:val="VerbatimChar"/>
        </w:rPr>
        <w:t xml:space="preserve">                                │  - M-IAM (Basic + DB)         │</w:t>
      </w:r>
      <w:r>
        <w:br/>
      </w:r>
      <w:r>
        <w:rPr>
          <w:rStyle w:val="VerbatimChar"/>
        </w:rPr>
        <w:t xml:space="preserve">                                │  - M-Audit                    │</w:t>
      </w:r>
      <w:r>
        <w:br/>
      </w:r>
      <w:r>
        <w:rPr>
          <w:rStyle w:val="VerbatimChar"/>
        </w:rPr>
        <w:t xml:space="preserve">                              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              │           │</w:t>
      </w:r>
      <w:r>
        <w:br/>
      </w:r>
      <w:r>
        <w:rPr>
          <w:rStyle w:val="VerbatimChar"/>
        </w:rPr>
        <w:t xml:space="preserve">                                   ▼              ▼           ▼</w:t>
      </w:r>
      <w:r>
        <w:br/>
      </w:r>
      <w:r>
        <w:rPr>
          <w:rStyle w:val="VerbatimChar"/>
        </w:rPr>
        <w:t xml:space="preserve">                              ┌─────────┐  ┌──────────┐  ┌────────────┐</w:t>
      </w:r>
      <w:r>
        <w:br/>
      </w:r>
      <w:r>
        <w:rPr>
          <w:rStyle w:val="VerbatimChar"/>
        </w:rPr>
        <w:t xml:space="preserve">                              │ MariaDB │  │  MinIO   │  │ stubs ext. │</w:t>
      </w:r>
      <w:r>
        <w:br/>
      </w:r>
      <w:r>
        <w:rPr>
          <w:rStyle w:val="VerbatimChar"/>
        </w:rPr>
        <w:t xml:space="preserve">                              │         │  │ (S3 OSS) │  │ bpm-stub   │</w:t>
      </w:r>
      <w:r>
        <w:br/>
      </w:r>
      <w:r>
        <w:rPr>
          <w:rStyle w:val="VerbatimChar"/>
        </w:rPr>
        <w:t xml:space="preserve">                              └─────────┘  └──────────┘  │ sinergia-  │</w:t>
      </w:r>
      <w:r>
        <w:br/>
      </w:r>
      <w:r>
        <w:rPr>
          <w:rStyle w:val="VerbatimChar"/>
        </w:rPr>
        <w:t xml:space="preserve">                                                          │ stub       │</w:t>
      </w:r>
      <w:r>
        <w:br/>
      </w:r>
      <w:r>
        <w:rPr>
          <w:rStyle w:val="VerbatimChar"/>
        </w:rPr>
        <w:t xml:space="preserve">                                                          └────────────┘</w:t>
      </w:r>
    </w:p>
    <w:bookmarkEnd w:id="10"/>
    <w:bookmarkStart w:id="11" w:name="Xc9e920313ac3da4f48eb304502ac4065daf7df9"/>
    <w:p>
      <w:pPr>
        <w:pStyle w:val="Heading2"/>
      </w:pPr>
      <w:r>
        <w:t xml:space="preserve">3. Servizi (Docker Compose)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Immagine (riferimento)</w:t>
            </w:r>
          </w:p>
        </w:tc>
        <w:tc>
          <w:tcPr/>
          <w:p>
            <w:pPr>
              <w:pStyle w:val="Compact"/>
            </w:pPr>
            <w:r>
              <w:t xml:space="preserve">Porte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reverse-proxy</w:t>
            </w:r>
          </w:p>
        </w:tc>
        <w:tc>
          <w:tcPr/>
          <w:p>
            <w:pPr>
              <w:pStyle w:val="Compact"/>
            </w:pPr>
            <w:r>
              <w:t xml:space="preserve">nginx:alpine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reverse proxy + serve FE statico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build React (multi-stage)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servito da</w:t>
            </w:r>
            <w:r>
              <w:t xml:space="preserve"> </w:t>
            </w:r>
            <w:r>
              <w:rPr>
                <w:rStyle w:val="VerbatimChar"/>
              </w:rPr>
              <w:t xml:space="preserve">reverse-proxy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OpenJDK 21 + jar Spring Boot</w:t>
            </w:r>
          </w:p>
        </w:tc>
        <w:tc>
          <w:tcPr/>
          <w:p>
            <w:pPr>
              <w:pStyle w:val="Compact"/>
            </w:pPr>
            <w:r>
              <w:t xml:space="preserve">8081 (interno)</w:t>
            </w:r>
          </w:p>
        </w:tc>
        <w:tc>
          <w:tcPr/>
          <w:p>
            <w:pPr>
              <w:pStyle w:val="Compact"/>
            </w:pPr>
            <w:r>
              <w:t xml:space="preserve">embedded Flowable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mariadb</w:t>
            </w:r>
          </w:p>
        </w:tc>
        <w:tc>
          <w:tcPr/>
          <w:p>
            <w:pPr>
              <w:pStyle w:val="Compact"/>
            </w:pPr>
            <w:r>
              <w:t xml:space="preserve">mariadb:11 LTS</w:t>
            </w:r>
          </w:p>
        </w:tc>
        <w:tc>
          <w:tcPr/>
          <w:p>
            <w:pPr>
              <w:pStyle w:val="Compact"/>
            </w:pPr>
            <w:r>
              <w:t xml:space="preserve">3306 (interno)</w:t>
            </w:r>
          </w:p>
        </w:tc>
        <w:tc>
          <w:tcPr/>
          <w:p>
            <w:pPr>
              <w:pStyle w:val="Compact"/>
            </w:pPr>
            <w:r>
              <w:t xml:space="preserve">volume persistente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minio/minio</w:t>
            </w:r>
          </w:p>
        </w:tc>
        <w:tc>
          <w:tcPr/>
          <w:p>
            <w:pPr>
              <w:pStyle w:val="Compact"/>
            </w:pPr>
            <w:r>
              <w:t xml:space="preserve">9000 / 9001</w:t>
            </w:r>
          </w:p>
        </w:tc>
        <w:tc>
          <w:tcPr/>
          <w:p>
            <w:pPr>
              <w:pStyle w:val="Compact"/>
            </w:pPr>
            <w:r>
              <w:t xml:space="preserve">bucket</w:t>
            </w:r>
            <w:r>
              <w:t xml:space="preserve"> </w:t>
            </w:r>
            <w:r>
              <w:rPr>
                <w:rStyle w:val="VerbatimChar"/>
              </w:rPr>
              <w:t xml:space="preserve">anc-attachments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bpm-stub</w:t>
            </w:r>
          </w:p>
        </w:tc>
        <w:tc>
          <w:tcPr/>
          <w:p>
            <w:pPr>
              <w:pStyle w:val="Compact"/>
            </w:pPr>
            <w:r>
              <w:t xml:space="preserve">container Java/Spring stub</w:t>
            </w:r>
          </w:p>
        </w:tc>
        <w:tc>
          <w:tcPr/>
          <w:p>
            <w:pPr>
              <w:pStyle w:val="Compact"/>
            </w:pPr>
            <w:r>
              <w:t xml:space="preserve">8090</w:t>
            </w:r>
          </w:p>
        </w:tc>
        <w:tc>
          <w:tcPr/>
          <w:p>
            <w:pPr>
              <w:pStyle w:val="Compact"/>
            </w:pPr>
            <w:r>
              <w:t xml:space="preserve">simula BPM (apertura, ack esito)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sinergia-stub</w:t>
            </w:r>
          </w:p>
        </w:tc>
        <w:tc>
          <w:tcPr/>
          <w:p>
            <w:pPr>
              <w:pStyle w:val="Compact"/>
            </w:pPr>
            <w:r>
              <w:t xml:space="preserve">container Java/Spring stub</w:t>
            </w:r>
          </w:p>
        </w:tc>
        <w:tc>
          <w:tcPr/>
          <w:p>
            <w:pPr>
              <w:pStyle w:val="Compact"/>
            </w:pPr>
            <w:r>
              <w:t xml:space="preserve">8091</w:t>
            </w:r>
          </w:p>
        </w:tc>
        <w:tc>
          <w:tcPr/>
          <w:p>
            <w:pPr>
              <w:pStyle w:val="Compact"/>
            </w:pPr>
            <w:r>
              <w:t xml:space="preserve">simula PIX</w:t>
            </w:r>
          </w:p>
        </w:tc>
      </w:tr>
    </w:tbl>
    <w:p>
      <w:pPr>
        <w:pStyle w:val="BodyText"/>
      </w:pPr>
      <w:r>
        <w:t xml:space="preserve">Tutti i servizi su rete bridge</w:t>
      </w:r>
      <w:r>
        <w:t xml:space="preserve"> </w:t>
      </w:r>
      <w:r>
        <w:rPr>
          <w:rStyle w:val="VerbatimChar"/>
        </w:rPr>
        <w:t xml:space="preserve">anc-net</w:t>
      </w:r>
      <w:r>
        <w:t xml:space="preserve">. Volumi persistenti per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.</w:t>
      </w:r>
    </w:p>
    <w:bookmarkEnd w:id="11"/>
    <w:bookmarkStart w:id="12" w:name="X0fdb3f984e74dc0bbe6abc7b794ee3485fcee1b"/>
    <w:p>
      <w:pPr>
        <w:pStyle w:val="Heading2"/>
      </w:pPr>
      <w:r>
        <w:t xml:space="preserve">4. Componenti mockati o semplificati (rispetto al target)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target</w:t>
            </w:r>
          </w:p>
        </w:tc>
        <w:tc>
          <w:tcPr/>
          <w:p>
            <w:pPr>
              <w:pStyle w:val="Compact"/>
            </w:pPr>
            <w:r>
              <w:t xml:space="preserve">Sostituzione POC</w:t>
            </w:r>
          </w:p>
        </w:tc>
        <w:tc>
          <w:tcPr/>
          <w:p>
            <w:pPr>
              <w:pStyle w:val="Compact"/>
            </w:pPr>
            <w:r>
              <w:t xml:space="preserve">Motivazione</w:t>
            </w:r>
          </w:p>
        </w:tc>
        <w:tc>
          <w:tcPr/>
          <w:p>
            <w:pPr>
              <w:pStyle w:val="Compact"/>
            </w:pPr>
            <w:r>
              <w:t xml:space="preserve">Impatto evolutivo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/ GitOps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Esecuzione locale singola</w:t>
            </w:r>
          </w:p>
        </w:tc>
        <w:tc>
          <w:tcPr/>
          <w:p>
            <w:pPr>
              <w:pStyle w:val="Compact"/>
            </w:pPr>
            <w:r>
              <w:t xml:space="preserve">Manifest K8s da introdurre; bounded context invariati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APISIX</w:t>
            </w:r>
          </w:p>
        </w:tc>
        <w:tc>
          <w:tcPr/>
          <w:p>
            <w:pPr>
              <w:pStyle w:val="Compact"/>
            </w:pPr>
            <w:r>
              <w:t xml:space="preserve">NGINX reverse proxy</w:t>
            </w:r>
          </w:p>
        </w:tc>
        <w:tc>
          <w:tcPr/>
          <w:p>
            <w:pPr>
              <w:pStyle w:val="Compact"/>
            </w:pPr>
            <w:r>
              <w:t xml:space="preserve">Routing minimale sufficiente per POC</w:t>
            </w:r>
          </w:p>
        </w:tc>
        <w:tc>
          <w:tcPr/>
          <w:p>
            <w:pPr>
              <w:pStyle w:val="Compact"/>
            </w:pPr>
            <w:r>
              <w:t xml:space="preserve">Aggiungere policy/auth a livello gateway nel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+ AD/Entra</w:t>
            </w:r>
          </w:p>
        </w:tc>
        <w:tc>
          <w:tcPr/>
          <w:p>
            <w:pPr>
              <w:pStyle w:val="Compact"/>
            </w:pPr>
            <w:r>
              <w:t xml:space="preserve">Basic Auth + ruoli su tabella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Nessuna AD locale</w:t>
            </w:r>
          </w:p>
        </w:tc>
        <w:tc>
          <w:tcPr/>
          <w:p>
            <w:pPr>
              <w:pStyle w:val="Compact"/>
            </w:pPr>
            <w:r>
              <w:t xml:space="preserve">Integrare Keycloak: token JWT al posto di Basic, contratti API invariati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 Poste (sistema esterno)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bpm-stub</w:t>
            </w:r>
            <w:r>
              <w:t xml:space="preserve"> </w:t>
            </w: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Sistema non disponibile localmente</w:t>
            </w:r>
          </w:p>
        </w:tc>
        <w:tc>
          <w:tcPr/>
          <w:p>
            <w:pPr>
              <w:pStyle w:val="Compact"/>
            </w:pPr>
            <w:r>
              <w:t xml:space="preserve">Sostituire endpoint stub con BPM reale: contratto IA v1.4 invariato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Sinergia/PIX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sinergia-stub</w:t>
            </w:r>
          </w:p>
        </w:tc>
        <w:tc>
          <w:tcPr/>
          <w:p>
            <w:pPr>
              <w:pStyle w:val="Compact"/>
            </w:pPr>
            <w:r>
              <w:t xml:space="preserve">Stesso motivo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Lake</w:t>
            </w:r>
          </w:p>
        </w:tc>
        <w:tc>
          <w:tcPr/>
          <w:p>
            <w:pPr>
              <w:pStyle w:val="Compact"/>
            </w:pPr>
            <w:r>
              <w:t xml:space="preserve">Log su file</w:t>
            </w:r>
          </w:p>
        </w:tc>
        <w:tc>
          <w:tcPr/>
          <w:p>
            <w:pPr>
              <w:pStyle w:val="Compact"/>
            </w:pPr>
            <w:r>
              <w:t xml:space="preserve">Stesso motivo</w:t>
            </w:r>
          </w:p>
        </w:tc>
        <w:tc>
          <w:tcPr/>
          <w:p>
            <w:pPr>
              <w:pStyle w:val="Compact"/>
            </w:pPr>
            <w:r>
              <w:t xml:space="preserve">Aggiungere produttore eventi nel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 enterprise</w:t>
            </w:r>
          </w:p>
        </w:tc>
        <w:tc>
          <w:tcPr/>
          <w:p>
            <w:pPr>
              <w:pStyle w:val="Compact"/>
            </w:pPr>
            <w:r>
              <w:t xml:space="preserve">MinIO single-node</w:t>
            </w:r>
          </w:p>
        </w:tc>
        <w:tc>
          <w:tcPr/>
          <w:p>
            <w:pPr>
              <w:pStyle w:val="Compact"/>
            </w:pPr>
            <w:r>
              <w:t xml:space="preserve">Compatibile S3</w:t>
            </w:r>
          </w:p>
        </w:tc>
        <w:tc>
          <w:tcPr/>
          <w:p>
            <w:pPr>
              <w:pStyle w:val="Compact"/>
            </w:pPr>
            <w:r>
              <w:t xml:space="preserve">Cambio endpoint/credenziali, API S3 invariata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MariaDB HA / replica</w:t>
            </w:r>
          </w:p>
        </w:tc>
        <w:tc>
          <w:tcPr/>
          <w:p>
            <w:pPr>
              <w:pStyle w:val="Compact"/>
            </w:pPr>
            <w:r>
              <w:t xml:space="preserve">MariaDB single-node</w:t>
            </w:r>
          </w:p>
        </w:tc>
        <w:tc>
          <w:tcPr/>
          <w:p>
            <w:pPr>
              <w:pStyle w:val="Compact"/>
            </w:pPr>
            <w:r>
              <w:t xml:space="preserve">Esecuzione locale</w:t>
            </w:r>
          </w:p>
        </w:tc>
        <w:tc>
          <w:tcPr/>
          <w:p>
            <w:pPr>
              <w:pStyle w:val="Compact"/>
            </w:pPr>
            <w:r>
              <w:t xml:space="preserve">Configurazione HA aggiunta nel target, schema invariato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Broker eventi (audit/notifiche)</w:t>
            </w:r>
          </w:p>
        </w:tc>
        <w:tc>
          <w:tcPr/>
          <w:p>
            <w:pPr>
              <w:pStyle w:val="Compact"/>
            </w:pPr>
            <w:r>
              <w:t xml:space="preserve">Tabella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  <w:r>
              <w:t xml:space="preserve"> </w:t>
            </w:r>
            <w:r>
              <w:t xml:space="preserve">+ dispatcher in-process</w:t>
            </w:r>
          </w:p>
        </w:tc>
        <w:tc>
          <w:tcPr/>
          <w:p>
            <w:pPr>
              <w:pStyle w:val="Compact"/>
            </w:pPr>
            <w:r>
              <w:t xml:space="preserve">Evita Kafka/RabbitMQ in POC</w:t>
            </w:r>
          </w:p>
        </w:tc>
        <w:tc>
          <w:tcPr/>
          <w:p>
            <w:pPr>
              <w:pStyle w:val="Compact"/>
            </w:pPr>
            <w:r>
              <w:t xml:space="preserve">Pattern outbox: switch a broker mantiene API produttori invariate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stack</w:t>
            </w:r>
          </w:p>
        </w:tc>
        <w:tc>
          <w:tcPr/>
          <w:p>
            <w:pPr>
              <w:pStyle w:val="Compact"/>
            </w:pPr>
            <w:r>
              <w:t xml:space="preserve">Log JSON + Actuator</w:t>
            </w:r>
          </w:p>
        </w:tc>
        <w:tc>
          <w:tcPr/>
          <w:p>
            <w:pPr>
              <w:pStyle w:val="Compact"/>
            </w:pPr>
            <w:r>
              <w:t xml:space="preserve">Local-only</w:t>
            </w:r>
          </w:p>
        </w:tc>
        <w:tc>
          <w:tcPr/>
          <w:p>
            <w:pPr>
              <w:pStyle w:val="Compact"/>
            </w:pPr>
            <w:r>
              <w:t xml:space="preserve">Aggiungere agent OTel; istrumentazione applicativa invariata</w:t>
            </w:r>
          </w:p>
        </w:tc>
      </w:tr>
    </w:tbl>
    <w:bookmarkEnd w:id="12"/>
    <w:bookmarkStart w:id="13" w:name="Xccd08a6424a150b61040e45ec56ebec8a697e6c"/>
    <w:p>
      <w:pPr>
        <w:pStyle w:val="Heading2"/>
      </w:pPr>
      <w:r>
        <w:t xml:space="preserve">5. Stub contratti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bpm-stub</w:t>
      </w:r>
      <w:r>
        <w:t xml:space="preserve">: espone gli endpoint</w:t>
      </w:r>
      <w:r>
        <w:t xml:space="preserve"> </w:t>
      </w:r>
      <w:r>
        <w:rPr>
          <w:b/>
          <w:bCs/>
        </w:rPr>
        <w:t xml:space="preserve">funzionalmente equivalenti</w:t>
      </w:r>
      <w:r>
        <w:t xml:space="preserve"> </w:t>
      </w:r>
      <w:r>
        <w:t xml:space="preserve">all'IA v1.4 per (a) inviare apertura pratica verso SD; (b) ricevere esiti da SD; (c) inviare ack di chiusura. Espone una mini-UI/CLI per scatenare scenari (apertura nominale, KO multipli, idempotenza, ack ritardato).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sinergia-stub</w:t>
      </w:r>
      <w:r>
        <w:t xml:space="preserve">: espone endpoint per apertura ticket, recupero pratiche, recupero dettaglio, conformi al perimetro emerso nei test ST57–ST60.</w:t>
      </w:r>
    </w:p>
    <w:bookmarkEnd w:id="13"/>
    <w:bookmarkStart w:id="14" w:name="X5779494a733ea34d576f10df5c6085610fd20dc"/>
    <w:p>
      <w:pPr>
        <w:pStyle w:val="Heading2"/>
      </w:pPr>
      <w:r>
        <w:t xml:space="preserve">6. Coerenza POC ↔ Target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Invariati</w:t>
      </w:r>
      <w:r>
        <w:t xml:space="preserve">: bounded context (cap. 01), confini di responsabilità, contratti applicativi (cap. 05), workflow BPMN (cap. 04), lifecycle stati (cap. 06), schema dati logico.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Variabili POC</w:t>
      </w:r>
      <w:r>
        <w:t xml:space="preserve">: deploy unit (monolith vs services), provider IAM, gateway, observability, broker, HA storage. Tutte sostituzioni configurazione/infrastruttura, non refactoring di dominio.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2026-05-12T17:47:22Z</dcterms:created>
  <dcterms:modified xsi:type="dcterms:W3CDTF">2026-05-12T17:47:22Z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