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ccff56bbc3b6b3c448dec092b3954ed864a3ad8"/>
    <w:p>
      <w:pPr>
        <w:pStyle w:val="Heading1"/>
      </w:pPr>
      <w:r>
        <w:t xml:space="preserve">08 - Vincoli Tecnici</w:t>
      </w:r>
    </w:p>
    <w:p>
      <w:pPr>
        <w:pStyle w:val="BlockText"/>
      </w:pPr>
      <w:r>
        <w:t xml:space="preserve">Regole vincolanti per il Development MAS. Derivano da: vincoli Poste, Catalogo Tecnologico, principi DOC1, esigenze del porting.</w:t>
      </w:r>
    </w:p>
    <w:bookmarkStart w:id="11" w:name="X5edfef09a07eb1d3e584b5e4569b4098513c789"/>
    <w:p>
      <w:pPr>
        <w:pStyle w:val="Heading2"/>
      </w:pPr>
      <w:r>
        <w:t xml:space="preserve">1. Naming convention</w:t>
      </w:r>
    </w:p>
    <w:bookmarkStart w:id="9" w:name="generali"/>
    <w:p>
      <w:pPr>
        <w:pStyle w:val="Heading3"/>
      </w:pPr>
      <w:r>
        <w:t xml:space="preserve">Generali</w:t>
      </w:r>
    </w:p>
    <w:p>
      <w:pPr>
        <w:pStyle w:val="Compact"/>
        <w:numPr>
          <w:ilvl w:val="0"/>
          <w:numId w:val="1001"/>
        </w:numPr>
      </w:pPr>
      <w:r>
        <w:t xml:space="preserve">Lingua:</w:t>
      </w:r>
      <w:r>
        <w:t xml:space="preserve"> </w:t>
      </w:r>
      <w:r>
        <w:rPr>
          <w:b/>
          <w:bCs/>
        </w:rPr>
        <w:t xml:space="preserve">inglese</w:t>
      </w:r>
      <w:r>
        <w:t xml:space="preserve"> </w:t>
      </w:r>
      <w:r>
        <w:t xml:space="preserve">per codice, identificatori tecnici, log;</w:t>
      </w:r>
      <w:r>
        <w:t xml:space="preserve"> </w:t>
      </w:r>
      <w:r>
        <w:rPr>
          <w:b/>
          <w:bCs/>
        </w:rPr>
        <w:t xml:space="preserve">italiano</w:t>
      </w:r>
      <w:r>
        <w:t xml:space="preserve"> </w:t>
      </w:r>
      <w:r>
        <w:t xml:space="preserve">per UI e label business.</w:t>
      </w:r>
    </w:p>
    <w:p>
      <w:pPr>
        <w:pStyle w:val="Compact"/>
        <w:numPr>
          <w:ilvl w:val="0"/>
          <w:numId w:val="1001"/>
        </w:numPr>
      </w:pPr>
      <w:r>
        <w:t xml:space="preserve">Identificatori case:</w:t>
      </w:r>
    </w:p>
    <w:p>
      <w:pPr>
        <w:pStyle w:val="Compact"/>
        <w:numPr>
          <w:ilvl w:val="1"/>
          <w:numId w:val="1002"/>
        </w:numPr>
      </w:pPr>
      <w:r>
        <w:t xml:space="preserve">package Java:</w:t>
      </w:r>
      <w:r>
        <w:t xml:space="preserve"> </w:t>
      </w:r>
      <w:r>
        <w:rPr>
          <w:rStyle w:val="VerbatimChar"/>
        </w:rPr>
        <w:t xml:space="preserve">it.poste.anc.&lt;bounded-context&gt;</w:t>
      </w:r>
      <w:r>
        <w:t xml:space="preserve"> </w:t>
      </w:r>
      <w:r>
        <w:t xml:space="preserve">(lowercase).</w:t>
      </w:r>
    </w:p>
    <w:p>
      <w:pPr>
        <w:pStyle w:val="Compact"/>
        <w:numPr>
          <w:ilvl w:val="1"/>
          <w:numId w:val="1002"/>
        </w:numPr>
      </w:pPr>
      <w:r>
        <w:t xml:space="preserve">classi:</w:t>
      </w:r>
      <w:r>
        <w:t xml:space="preserve"> </w:t>
      </w:r>
      <w:r>
        <w:rPr>
          <w:rStyle w:val="VerbatimChar"/>
        </w:rPr>
        <w:t xml:space="preserve">PascalCase</w:t>
      </w:r>
      <w:r>
        <w:t xml:space="preserve">; metodi/variabili:</w:t>
      </w:r>
      <w:r>
        <w:t xml:space="preserve"> </w:t>
      </w:r>
      <w:r>
        <w:rPr>
          <w:rStyle w:val="VerbatimChar"/>
        </w:rPr>
        <w:t xml:space="preserve">camelCase</w:t>
      </w:r>
      <w:r>
        <w:t xml:space="preserve">; costanti:</w:t>
      </w:r>
      <w:r>
        <w:t xml:space="preserve"> </w:t>
      </w:r>
      <w:r>
        <w:rPr>
          <w:rStyle w:val="VerbatimChar"/>
        </w:rPr>
        <w:t xml:space="preserve">UPPER_SNAKE_CASE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tabelle / colonne SQL: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, singolare (es.</w:t>
      </w:r>
      <w:r>
        <w:t xml:space="preserve"> </w:t>
      </w:r>
      <w:r>
        <w:rPr>
          <w:rStyle w:val="VerbatimChar"/>
        </w:rPr>
        <w:t xml:space="preserve">practice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practice_state_history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t xml:space="preserve">endpoint REST: kebab-case nel path (</w:t>
      </w:r>
      <w:r>
        <w:rPr>
          <w:rStyle w:val="VerbatimChar"/>
        </w:rPr>
        <w:t xml:space="preserve">/api/v1/supervision/dashboard/daily-worked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t xml:space="preserve">eventi di dominio:</w:t>
      </w:r>
      <w:r>
        <w:t xml:space="preserve"> </w:t>
      </w:r>
      <w:r>
        <w:rPr>
          <w:rStyle w:val="VerbatimChar"/>
        </w:rPr>
        <w:t xml:space="preserve">PascalCase</w:t>
      </w:r>
      <w:r>
        <w:t xml:space="preserve"> </w:t>
      </w:r>
      <w:r>
        <w:t xml:space="preserve">al passato (</w:t>
      </w:r>
      <w:r>
        <w:rPr>
          <w:rStyle w:val="VerbatimChar"/>
        </w:rPr>
        <w:t xml:space="preserve">PracticeOpened</w:t>
      </w:r>
      <w:r>
        <w:t xml:space="preserve">,</w:t>
      </w:r>
      <w:r>
        <w:t xml:space="preserve"> </w:t>
      </w:r>
      <w:r>
        <w:rPr>
          <w:rStyle w:val="VerbatimChar"/>
        </w:rPr>
        <w:t xml:space="preserve">OutcomeAckReceived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t xml:space="preserve">processi/task BPMN:</w:t>
      </w:r>
      <w:r>
        <w:t xml:space="preserve"> </w:t>
      </w:r>
      <w:r>
        <w:rPr>
          <w:rStyle w:val="VerbatimChar"/>
        </w:rPr>
        <w:t xml:space="preserve">dotted.lowercase</w:t>
      </w:r>
      <w:r>
        <w:t xml:space="preserve"> </w:t>
      </w:r>
      <w:r>
        <w:t xml:space="preserve">(</w:t>
      </w:r>
      <w:r>
        <w:rPr>
          <w:rStyle w:val="VerbatimChar"/>
        </w:rPr>
        <w:t xml:space="preserve">anc.main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task.acceptPractice</w:t>
      </w:r>
      <w:r>
        <w:t xml:space="preserve">).</w:t>
      </w:r>
    </w:p>
    <w:bookmarkEnd w:id="9"/>
    <w:bookmarkStart w:id="10" w:name="specifiche-di-dominio"/>
    <w:p>
      <w:pPr>
        <w:pStyle w:val="Heading3"/>
      </w:pPr>
      <w:r>
        <w:t xml:space="preserve">Specifiche di dominio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appianTicketID</w:t>
      </w:r>
      <w:r>
        <w:t xml:space="preserve"> </w:t>
      </w:r>
      <w:r>
        <w:t xml:space="preserve">(camelCase) preservato come chiave di riconciliazione cross-sistema.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idWorkItem</w:t>
      </w:r>
      <w:r>
        <w:t xml:space="preserve">: chiave di idempotenza in ingresso da BPM.</w:t>
      </w:r>
    </w:p>
    <w:p>
      <w:pPr>
        <w:pStyle w:val="Compact"/>
        <w:numPr>
          <w:ilvl w:val="0"/>
          <w:numId w:val="1003"/>
        </w:numPr>
      </w:pPr>
      <w:r>
        <w:t xml:space="preserve">Stati pratica in maiuscolo separati da underscore:</w:t>
      </w:r>
      <w:r>
        <w:t xml:space="preserve"> </w:t>
      </w:r>
      <w:r>
        <w:rPr>
          <w:rStyle w:val="VerbatimChar"/>
        </w:rPr>
        <w:t xml:space="preserve">APERTA</w:t>
      </w:r>
      <w:r>
        <w:t xml:space="preserve">,</w:t>
      </w:r>
      <w:r>
        <w:t xml:space="preserve"> </w:t>
      </w:r>
      <w:r>
        <w:rPr>
          <w:rStyle w:val="VerbatimChar"/>
        </w:rPr>
        <w:t xml:space="preserve">IN_LAVORAZIONE</w:t>
      </w:r>
      <w:r>
        <w:t xml:space="preserve">,</w:t>
      </w:r>
      <w:r>
        <w:t xml:space="preserve"> </w:t>
      </w:r>
      <w:r>
        <w:rPr>
          <w:rStyle w:val="VerbatimChar"/>
        </w:rPr>
        <w:t xml:space="preserve">IN_ATTESA_CONFERMA_BPM</w:t>
      </w:r>
      <w:r>
        <w:t xml:space="preserve">,</w:t>
      </w:r>
      <w:r>
        <w:t xml:space="preserve"> </w:t>
      </w:r>
      <w:r>
        <w:rPr>
          <w:rStyle w:val="VerbatimChar"/>
        </w:rPr>
        <w:t xml:space="preserve">CHIUSA_OK</w:t>
      </w:r>
      <w:r>
        <w:t xml:space="preserve">,</w:t>
      </w:r>
      <w:r>
        <w:t xml:space="preserve"> </w:t>
      </w:r>
      <w:r>
        <w:rPr>
          <w:rStyle w:val="VerbatimChar"/>
        </w:rPr>
        <w:t xml:space="preserve">CHIUSA_KO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Codici esito BPM: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KO</w:t>
      </w:r>
      <w:r>
        <w:t xml:space="preserve">; mapping causali → array</w:t>
      </w:r>
      <w:r>
        <w:t xml:space="preserve"> </w:t>
      </w:r>
      <w:r>
        <w:rPr>
          <w:rStyle w:val="VerbatimChar"/>
        </w:rPr>
        <w:t xml:space="preserve">koCodes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resultCode</w:t>
      </w:r>
      <w:r>
        <w:t xml:space="preserve">: numerico negativo per errori (</w:t>
      </w:r>
      <w:r>
        <w:rPr>
          <w:rStyle w:val="VerbatimChar"/>
        </w:rPr>
        <w:t xml:space="preserve">-4</w:t>
      </w:r>
      <w:r>
        <w:t xml:space="preserve"> </w:t>
      </w:r>
      <w:r>
        <w:t xml:space="preserve">payload non valido,</w:t>
      </w:r>
      <w:r>
        <w:t xml:space="preserve"> </w:t>
      </w:r>
      <w:r>
        <w:rPr>
          <w:rStyle w:val="VerbatimChar"/>
        </w:rPr>
        <w:t xml:space="preserve">-5</w:t>
      </w:r>
      <w:r>
        <w:t xml:space="preserve"> </w:t>
      </w:r>
      <w:r>
        <w:t xml:space="preserve">idempotenza);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per success.</w:t>
      </w:r>
    </w:p>
    <w:bookmarkEnd w:id="10"/>
    <w:bookmarkEnd w:id="11"/>
    <w:bookmarkStart w:id="12" w:name="Xc8631540883aa3f77f2f1117438caf9263908f0"/>
    <w:p>
      <w:pPr>
        <w:pStyle w:val="Heading2"/>
      </w:pPr>
      <w:r>
        <w:t xml:space="preserve">2. Regole di modularizzazione</w:t>
      </w:r>
    </w:p>
    <w:p>
      <w:pPr>
        <w:pStyle w:val="Compact"/>
        <w:numPr>
          <w:ilvl w:val="0"/>
          <w:numId w:val="1004"/>
        </w:numPr>
      </w:pPr>
      <w:r>
        <w:t xml:space="preserve">Ogni</w:t>
      </w:r>
      <w:r>
        <w:t xml:space="preserve"> </w:t>
      </w:r>
      <w:r>
        <w:rPr>
          <w:b/>
          <w:bCs/>
        </w:rPr>
        <w:t xml:space="preserve">bounded context</w:t>
      </w:r>
      <w:r>
        <w:t xml:space="preserve"> </w:t>
      </w:r>
      <w:r>
        <w:t xml:space="preserve">è un package Java/TypeScript dedicato. Nessun import diretto cross-context su classi</w:t>
      </w:r>
      <w:r>
        <w:t xml:space="preserve"> </w:t>
      </w:r>
      <w:r>
        <w:rPr>
          <w:rStyle w:val="VerbatimChar"/>
        </w:rPr>
        <w:t xml:space="preserve">domain/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persistence/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Comunicazione cross-context</w:t>
      </w:r>
      <w:r>
        <w:t xml:space="preserve"> </w:t>
      </w:r>
      <w:r>
        <w:rPr>
          <w:b/>
          <w:bCs/>
        </w:rPr>
        <w:t xml:space="preserve">solo tramite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API applicative del context (</w:t>
      </w:r>
      <w:r>
        <w:rPr>
          <w:rStyle w:val="VerbatimChar"/>
        </w:rPr>
        <w:t xml:space="preserve">api/</w:t>
      </w:r>
      <w:r>
        <w:t xml:space="preserve">),</w:t>
      </w:r>
    </w:p>
    <w:p>
      <w:pPr>
        <w:pStyle w:val="Compact"/>
        <w:numPr>
          <w:ilvl w:val="1"/>
          <w:numId w:val="1005"/>
        </w:numPr>
      </w:pPr>
      <w:r>
        <w:t xml:space="preserve">eventi di dominio (</w:t>
      </w:r>
      <w:r>
        <w:rPr>
          <w:rStyle w:val="VerbatimChar"/>
        </w:rPr>
        <w:t xml:space="preserve">events/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Le tabelle DB di un context non possono essere accedute in JOIN da un altro context: query aggregate (es. supervisione) usano viste o servizi pubblicati.</w:t>
      </w:r>
    </w:p>
    <w:p>
      <w:pPr>
        <w:pStyle w:val="Compact"/>
        <w:numPr>
          <w:ilvl w:val="0"/>
          <w:numId w:val="1004"/>
        </w:numPr>
      </w:pPr>
      <w:r>
        <w:t xml:space="preserve">Modulo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contiene SOLO: tipi tecnici, security, audit, outbox, errori comuni, configurazione web. Vietato inserire logica di business.</w:t>
      </w:r>
    </w:p>
    <w:p>
      <w:pPr>
        <w:pStyle w:val="Compact"/>
        <w:numPr>
          <w:ilvl w:val="0"/>
          <w:numId w:val="1004"/>
        </w:numPr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features/&lt;area&gt;/</w:t>
      </w:r>
      <w:r>
        <w:t xml:space="preserve"> </w:t>
      </w:r>
      <w:r>
        <w:t xml:space="preserve">non può importare da un'altra</w:t>
      </w:r>
      <w:r>
        <w:t xml:space="preserve"> </w:t>
      </w:r>
      <w:r>
        <w:rPr>
          <w:rStyle w:val="VerbatimChar"/>
        </w:rPr>
        <w:t xml:space="preserve">features/</w:t>
      </w:r>
      <w:r>
        <w:t xml:space="preserve"> </w:t>
      </w:r>
      <w:r>
        <w:t xml:space="preserve">(riusare via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).</w:t>
      </w:r>
    </w:p>
    <w:bookmarkEnd w:id="12"/>
    <w:bookmarkStart w:id="15" w:name="X7f8b9b24a581871b0a888bf24e656ff1af62e88"/>
    <w:p>
      <w:pPr>
        <w:pStyle w:val="Heading2"/>
      </w:pPr>
      <w:r>
        <w:t xml:space="preserve">3. Dipendenze consentite / vietate</w:t>
      </w:r>
    </w:p>
    <w:bookmarkStart w:id="13" w:name="X80de9c972aee4ef57dfe4a9ebc4dd0600b6ed99"/>
    <w:p>
      <w:pPr>
        <w:pStyle w:val="Heading3"/>
      </w:pPr>
      <w:r>
        <w:t xml:space="preserve">Consentite (allineate al Catalogo Tecnologico e ai vincoli Poste)</w:t>
      </w:r>
    </w:p>
    <w:p>
      <w:pPr>
        <w:pStyle w:val="Compact"/>
        <w:numPr>
          <w:ilvl w:val="0"/>
          <w:numId w:val="1006"/>
        </w:numPr>
      </w:pPr>
      <w:r>
        <w:t xml:space="preserve">Backend: Java/OpenJDK 21, Spring Boot 3.x, Flowable 7 embedded, MariaDB driver, MinIO/S3 client.</w:t>
      </w:r>
    </w:p>
    <w:p>
      <w:pPr>
        <w:pStyle w:val="Compact"/>
        <w:numPr>
          <w:ilvl w:val="0"/>
          <w:numId w:val="1006"/>
        </w:numPr>
      </w:pPr>
      <w:r>
        <w:t xml:space="preserve">Frontend: React + TypeScript, libreria UI open source, libreria viewer documenti open source.</w:t>
      </w:r>
    </w:p>
    <w:p>
      <w:pPr>
        <w:pStyle w:val="Compact"/>
        <w:numPr>
          <w:ilvl w:val="0"/>
          <w:numId w:val="1006"/>
        </w:numPr>
      </w:pPr>
      <w:r>
        <w:t xml:space="preserve">Infra POC: Docker, Docker Compose, NGINX.</w:t>
      </w:r>
    </w:p>
    <w:p>
      <w:pPr>
        <w:pStyle w:val="Compact"/>
        <w:numPr>
          <w:ilvl w:val="0"/>
          <w:numId w:val="1006"/>
        </w:numPr>
      </w:pPr>
      <w:r>
        <w:t xml:space="preserve">Test: JUnit 5, AssertJ, Testcontainers (per integration test su MariaDB/MinIO).</w:t>
      </w:r>
    </w:p>
    <w:bookmarkEnd w:id="13"/>
    <w:bookmarkStart w:id="14" w:name="vietate-allineate-ai-vincoli"/>
    <w:p>
      <w:pPr>
        <w:pStyle w:val="Heading3"/>
      </w:pPr>
      <w:r>
        <w:t xml:space="preserve">Vietate (allineate ai vincoli)</w:t>
      </w:r>
    </w:p>
    <w:p>
      <w:pPr>
        <w:pStyle w:val="Compact"/>
        <w:numPr>
          <w:ilvl w:val="0"/>
          <w:numId w:val="1007"/>
        </w:numPr>
      </w:pPr>
      <w:r>
        <w:t xml:space="preserve">Dipendenze Oracle (DB, JDK proprietario, IAM proprietario).</w:t>
      </w:r>
    </w:p>
    <w:p>
      <w:pPr>
        <w:pStyle w:val="Compact"/>
        <w:numPr>
          <w:ilvl w:val="0"/>
          <w:numId w:val="1007"/>
        </w:numPr>
      </w:pPr>
      <w:r>
        <w:t xml:space="preserve">Componenti SaaS proprietari (Auth0, Pinecone, Celonis, MuleSoft, ecc.).</w:t>
      </w:r>
    </w:p>
    <w:p>
      <w:pPr>
        <w:pStyle w:val="Compact"/>
        <w:numPr>
          <w:ilvl w:val="0"/>
          <w:numId w:val="1007"/>
        </w:numPr>
      </w:pPr>
      <w:r>
        <w:t xml:space="preserve">Licenze non OSI-approved (BUSL, SSPL): es. Vault HashiCorp, Redis ≥7.4 (usare Valkey se necessario).</w:t>
      </w:r>
    </w:p>
    <w:p>
      <w:pPr>
        <w:pStyle w:val="Compact"/>
        <w:numPr>
          <w:ilvl w:val="0"/>
          <w:numId w:val="1007"/>
        </w:numPr>
      </w:pPr>
      <w:r>
        <w:t xml:space="preserve">Camunda 7 CE (archiviato).</w:t>
      </w:r>
    </w:p>
    <w:p>
      <w:pPr>
        <w:pStyle w:val="Compact"/>
        <w:numPr>
          <w:ilvl w:val="0"/>
          <w:numId w:val="1007"/>
        </w:numPr>
      </w:pPr>
      <w:r>
        <w:t xml:space="preserve">Framework giovani/instabili o non documentati a livello enterprise.</w:t>
      </w:r>
    </w:p>
    <w:p>
      <w:pPr>
        <w:pStyle w:val="Compact"/>
        <w:numPr>
          <w:ilvl w:val="0"/>
          <w:numId w:val="1007"/>
        </w:numPr>
      </w:pPr>
      <w:r>
        <w:t xml:space="preserve">Cloud-specific managed services (AWS API Gateway, Azure APIM, ecc.).</w:t>
      </w:r>
    </w:p>
    <w:p>
      <w:pPr>
        <w:pStyle w:val="Compact"/>
        <w:numPr>
          <w:ilvl w:val="0"/>
          <w:numId w:val="1007"/>
        </w:numPr>
      </w:pPr>
      <w:r>
        <w:t xml:space="preserve">Microservizi prematuri in POC (mantenere modular monolith).</w:t>
      </w:r>
    </w:p>
    <w:bookmarkEnd w:id="14"/>
    <w:bookmarkEnd w:id="15"/>
    <w:bookmarkStart w:id="16" w:name="X2e4a0a41149e07e4d0869bfac5ece1e42194049"/>
    <w:p>
      <w:pPr>
        <w:pStyle w:val="Heading2"/>
      </w:pPr>
      <w:r>
        <w:t xml:space="preserve">4. Principi implementativi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API-first</w:t>
      </w:r>
      <w:r>
        <w:t xml:space="preserve">: contratto OpenAPI definito prima del codice (</w:t>
      </w:r>
      <w:r>
        <w:rPr>
          <w:rStyle w:val="VerbatimChar"/>
        </w:rPr>
        <w:t xml:space="preserve">contracts/openapi/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Contract-first verso BPM</w:t>
      </w:r>
      <w:r>
        <w:t xml:space="preserve">: schema dei payload IA v1.4 versionato e immutabile in POC.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Idempotenza</w:t>
      </w:r>
      <w:r>
        <w:t xml:space="preserve"> </w:t>
      </w:r>
      <w:r>
        <w:t xml:space="preserve">end-to-end: ogni mutazione critica (apertura pratica, ack esito) supporta retry sicuro.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Pure functions per esito checklist</w:t>
      </w:r>
      <w:r>
        <w:t xml:space="preserve">: nessun side-effect; output deterministico dalle risposte.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Outbox pattern</w:t>
      </w:r>
      <w:r>
        <w:t xml:space="preserve"> </w:t>
      </w:r>
      <w:r>
        <w:t xml:space="preserve">per eventi di dominio: persistere evento nella stessa transazione del cambio stato; dispatcher in-process in POC, broker nel target.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Audit by default</w:t>
      </w:r>
      <w:r>
        <w:t xml:space="preserve">: ogni mutazione produce evento; il consumatore audit non è opzionale.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dato sensibile in log</w:t>
      </w:r>
      <w:r>
        <w:t xml:space="preserve">: PII oscurata; log JSON strutturato.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Test pyramid</w:t>
      </w:r>
      <w:r>
        <w:t xml:space="preserve">: unit &gt; integration &gt; smoke E2E; TestContainers per integration su MariaDB/MinIO.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Configurabilità</w:t>
      </w:r>
      <w:r>
        <w:t xml:space="preserve">: nessun valore di ambiente hardcoded; tutto via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+ variabili.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Sicurezza minima POC</w:t>
      </w:r>
      <w:r>
        <w:t xml:space="preserve">: TLS opzionale in locale ma supportato; in target obbligatorio. Auth Basic accettabile solo come fallback dichiarato dai vincoli.</w:t>
      </w:r>
    </w:p>
    <w:bookmarkEnd w:id="16"/>
    <w:bookmarkStart w:id="17" w:name="X0869962a0792d3213144d9b1e942a7423df2506"/>
    <w:p>
      <w:pPr>
        <w:pStyle w:val="Heading2"/>
      </w:pPr>
      <w:r>
        <w:t xml:space="preserve">5. Divergenze segnalate al Coordinator</w:t>
      </w:r>
    </w:p>
    <w:p>
      <w:pPr>
        <w:pStyle w:val="BlockText"/>
      </w:pPr>
      <w:r>
        <w:t xml:space="preserve">Per Consistency Rule, NON corrette autonomamente.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D1 — DB transazionale</w:t>
      </w:r>
      <w:r>
        <w:t xml:space="preserve">: il</w:t>
      </w:r>
      <w:r>
        <w:t xml:space="preserve"> </w:t>
      </w:r>
      <w:r>
        <w:rPr>
          <w:rStyle w:val="VerbatimChar"/>
        </w:rPr>
        <w:t xml:space="preserve">Catalogo Tecnologico</w:t>
      </w:r>
      <w:r>
        <w:t xml:space="preserve"> </w:t>
      </w:r>
      <w:r>
        <w:t xml:space="preserve">(DOC2) raccomanda</w:t>
      </w:r>
      <w:r>
        <w:t xml:space="preserve"> </w:t>
      </w:r>
      <w:r>
        <w:rPr>
          <w:b/>
          <w:bCs/>
        </w:rPr>
        <w:t xml:space="preserve">PostgreSQL</w:t>
      </w:r>
      <w:r>
        <w:t xml:space="preserve">. I</w:t>
      </w:r>
      <w:r>
        <w:t xml:space="preserve"> </w:t>
      </w:r>
      <w:r>
        <w:rPr>
          <w:rStyle w:val="VerbatimChar"/>
        </w:rPr>
        <w:t xml:space="preserve">Vincoli Architetturali Emersi</w:t>
      </w:r>
      <w:r>
        <w:t xml:space="preserve"> </w:t>
      </w:r>
      <w:r>
        <w:t xml:space="preserve">impongono</w:t>
      </w:r>
      <w:r>
        <w:t xml:space="preserve"> </w:t>
      </w:r>
      <w:r>
        <w:rPr>
          <w:b/>
          <w:bCs/>
        </w:rPr>
        <w:t xml:space="preserve">MariaDB</w:t>
      </w:r>
      <w:r>
        <w:t xml:space="preserve"> </w:t>
      </w:r>
      <w:r>
        <w:t xml:space="preserve">(asset Poste). Adozione attuale:</w:t>
      </w:r>
      <w:r>
        <w:t xml:space="preserve"> </w:t>
      </w:r>
      <w:r>
        <w:rPr>
          <w:b/>
          <w:bCs/>
        </w:rPr>
        <w:t xml:space="preserve">MariaDB</w:t>
      </w:r>
      <w:r>
        <w:t xml:space="preserve">, con vincolo "SQL standard, compatibile con altri DB". Decisione finale al Coordinator/Stakeholder.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D2 — IAM</w:t>
      </w:r>
      <w:r>
        <w:t xml:space="preserve">: target documentato è Keycloak + AD/Entra. POC usa Basic Auth come fallback esplicitamente previsto dai vincoli. Da confermare il provider AD specifico per l'integrazione target.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D3 — API Gateway</w:t>
      </w:r>
      <w:r>
        <w:t xml:space="preserve">: target documentato è APISIX. POC usa NGINX come reverse proxy. APISIX nei vincoli è marcato "provato ma con criticità"; KONG citato come alternativa. Scelta target da consolidare.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D4 — Compatibilità DB</w:t>
      </w:r>
      <w:r>
        <w:t xml:space="preserve">: la richiesta di "SQL standard / compatibile con altri DB" implica vincoli su funzioni MariaDB-specifiche. Da formalizzare un sotto-set SQL ammesso con il DBA.</w:t>
      </w:r>
    </w:p>
    <w:bookmarkEnd w:id="17"/>
    <w:bookmarkStart w:id="18" w:name="Xace4cf63f87292ae1c985fff90b078fb7f3f15a"/>
    <w:p>
      <w:pPr>
        <w:pStyle w:val="Heading2"/>
      </w:pPr>
      <w:r>
        <w:t xml:space="preserve">6. Vincoli di compliance preservati (Poste / regolamentari)</w:t>
      </w:r>
    </w:p>
    <w:p>
      <w:pPr>
        <w:pStyle w:val="Compact"/>
        <w:numPr>
          <w:ilvl w:val="0"/>
          <w:numId w:val="1010"/>
        </w:numPr>
      </w:pPr>
      <w:r>
        <w:t xml:space="preserve">TLS sui canali esterni.</w:t>
      </w:r>
    </w:p>
    <w:p>
      <w:pPr>
        <w:pStyle w:val="Compact"/>
        <w:numPr>
          <w:ilvl w:val="0"/>
          <w:numId w:val="1010"/>
        </w:numPr>
      </w:pPr>
      <w:r>
        <w:t xml:space="preserve">Auditabilità completa (ogni azione tracciata: cap. 04 §6, cap. 06 §3).</w:t>
      </w:r>
    </w:p>
    <w:p>
      <w:pPr>
        <w:pStyle w:val="Compact"/>
        <w:numPr>
          <w:ilvl w:val="0"/>
          <w:numId w:val="1010"/>
        </w:numPr>
      </w:pPr>
      <w:r>
        <w:t xml:space="preserve">Separazione ambiente sviluppo locale vs runtime condiviso (vincolo §5).</w:t>
      </w:r>
    </w:p>
    <w:p>
      <w:pPr>
        <w:pStyle w:val="Compact"/>
        <w:numPr>
          <w:ilvl w:val="0"/>
          <w:numId w:val="1010"/>
        </w:numPr>
      </w:pPr>
      <w:r>
        <w:t xml:space="preserve">RBAC su gruppi gerarchici stile Appian preservato (ruoli OPERATORE, SUPERVISORE; gruppo GRUPPO_OPERATORE_ANC).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2026-05-12T17:47:38Z</dcterms:created>
  <dcterms:modified xsi:type="dcterms:W3CDTF">2026-05-12T17:47:38Z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