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4febbf5a0db8c12d42b1154a96678dcd31f8b0f"/>
    <w:p>
      <w:pPr>
        <w:pStyle w:val="Heading1"/>
      </w:pPr>
      <w:r>
        <w:t xml:space="preserve">10 - POC Runtime Simplification Matrix</w:t>
      </w:r>
    </w:p>
    <w:p>
      <w:pPr>
        <w:pStyle w:val="BlockText"/>
      </w:pPr>
      <w:r>
        <w:t xml:space="preserve">Matrice esplicita delle sostituzioni adottate nella POC rispetto all'architettura target. Ogni riga documenta: cosa prevede il target, cosa adotta la POC, perché, e l'impatto evolutivo per arrivare al target senza rifondare.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Componente architetturale (target)</w:t>
            </w:r>
          </w:p>
        </w:tc>
        <w:tc>
          <w:tcPr/>
          <w:p>
            <w:pPr>
              <w:pStyle w:val="Compact"/>
            </w:pPr>
            <w:r>
              <w:t xml:space="preserve">Framework / servizio enterprise previsto</w:t>
            </w:r>
          </w:p>
        </w:tc>
        <w:tc>
          <w:tcPr/>
          <w:p>
            <w:pPr>
              <w:pStyle w:val="Compact"/>
            </w:pPr>
            <w:r>
              <w:t xml:space="preserve">Sostituzione adottata in POC</w:t>
            </w:r>
          </w:p>
        </w:tc>
        <w:tc>
          <w:tcPr/>
          <w:p>
            <w:pPr>
              <w:pStyle w:val="Compact"/>
            </w:pPr>
            <w:r>
              <w:t xml:space="preserve">Motivazione</w:t>
            </w:r>
          </w:p>
        </w:tc>
        <w:tc>
          <w:tcPr/>
          <w:p>
            <w:pPr>
              <w:pStyle w:val="Compact"/>
            </w:pPr>
            <w:r>
              <w:t xml:space="preserve">Impatto evolutivo verso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</w:pPr>
            <w:r>
              <w:t xml:space="preserve">Kubernetes (Vincoli §4 + DOC2)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</w:pPr>
            <w:r>
              <w:t xml:space="preserve">Esecuzione locale singola, nessun K8s sul PC</w:t>
            </w:r>
          </w:p>
        </w:tc>
        <w:tc>
          <w:tcPr/>
          <w:p>
            <w:pPr>
              <w:pStyle w:val="Compact"/>
            </w:pPr>
            <w:r>
              <w:t xml:space="preserve">Aggiungere manifest K8s/Helm; bounded context, immagini, healthcheck e variabili d'ambiente già pronti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Apache APISIX (DOC2)</w:t>
            </w:r>
          </w:p>
        </w:tc>
        <w:tc>
          <w:tcPr/>
          <w:p>
            <w:pPr>
              <w:pStyle w:val="Compact"/>
            </w:pPr>
            <w:r>
              <w:t xml:space="preserve">NGINX reverse proxy</w:t>
            </w:r>
          </w:p>
        </w:tc>
        <w:tc>
          <w:tcPr/>
          <w:p>
            <w:pPr>
              <w:pStyle w:val="Compact"/>
            </w:pPr>
            <w:r>
              <w:t xml:space="preserve">APISIX richiede etcd + plugin runtime; oversized per POC</w:t>
            </w:r>
          </w:p>
        </w:tc>
        <w:tc>
          <w:tcPr/>
          <w:p>
            <w:pPr>
              <w:pStyle w:val="Compact"/>
            </w:pPr>
            <w:r>
              <w:t xml:space="preserve">Sostituzione del reverse proxy con APISIX: routing e header invariati; aggiunte policy (rate limit, OIDC)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Keycloak + AD/Entra (DOC2 + Vincoli §6)</w:t>
            </w:r>
          </w:p>
        </w:tc>
        <w:tc>
          <w:tcPr/>
          <w:p>
            <w:pPr>
              <w:pStyle w:val="Compact"/>
            </w:pPr>
            <w:r>
              <w:t xml:space="preserve">Basic Auth + tabella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con ruoli</w:t>
            </w:r>
          </w:p>
        </w:tc>
        <w:tc>
          <w:tcPr/>
          <w:p>
            <w:pPr>
              <w:pStyle w:val="Compact"/>
            </w:pPr>
            <w:r>
              <w:t xml:space="preserve">AD non disponibile localmente; vincoli ammettono fallback Basic per test</w:t>
            </w:r>
          </w:p>
        </w:tc>
        <w:tc>
          <w:tcPr/>
          <w:p>
            <w:pPr>
              <w:pStyle w:val="Compact"/>
            </w:pPr>
            <w:r>
              <w:t xml:space="preserve">Introduzione Keycloak: l'AUTH cambia da Basic a JWT/OIDC. I controller usano già un'astrazione</w:t>
            </w:r>
            <w:r>
              <w:t xml:space="preserve"> </w:t>
            </w:r>
            <w:r>
              <w:rPr>
                <w:rStyle w:val="VerbatimChar"/>
              </w:rPr>
              <w:t xml:space="preserve">Principal</w:t>
            </w:r>
            <w:r>
              <w:t xml:space="preserve"> </w:t>
            </w:r>
            <w:r>
              <w:t xml:space="preserve">con ruoli → modifica solo del filtro di sicurezza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BPM esterno (sistema BPM Poste)</w:t>
            </w:r>
          </w:p>
        </w:tc>
        <w:tc>
          <w:tcPr/>
          <w:p>
            <w:pPr>
              <w:pStyle w:val="Compact"/>
            </w:pPr>
            <w:r>
              <w:t xml:space="preserve">Sistema BPM Poste reale (IA v1.4)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bpm-stub</w:t>
            </w:r>
            <w:r>
              <w:t xml:space="preserve"> </w:t>
            </w:r>
            <w:r>
              <w:t xml:space="preserve">container REST</w:t>
            </w:r>
          </w:p>
        </w:tc>
        <w:tc>
          <w:tcPr/>
          <w:p>
            <w:pPr>
              <w:pStyle w:val="Compact"/>
            </w:pPr>
            <w:r>
              <w:t xml:space="preserve">Sistema non disponibile localmente</w:t>
            </w:r>
          </w:p>
        </w:tc>
        <w:tc>
          <w:tcPr/>
          <w:p>
            <w:pPr>
              <w:pStyle w:val="Compact"/>
            </w:pPr>
            <w:r>
              <w:t xml:space="preserve">Sostituire base URL del client e credenziali; payload IA v1.4 invariato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Sinergia / PIX</w:t>
            </w:r>
          </w:p>
        </w:tc>
        <w:tc>
          <w:tcPr/>
          <w:p>
            <w:pPr>
              <w:pStyle w:val="Compact"/>
            </w:pPr>
            <w:r>
              <w:t xml:space="preserve">Sistema Sinergia reale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sinergia-stub</w:t>
            </w:r>
            <w:r>
              <w:t xml:space="preserve"> </w:t>
            </w: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Sistema non disponibile localmente</w:t>
            </w:r>
          </w:p>
        </w:tc>
        <w:tc>
          <w:tcPr/>
          <w:p>
            <w:pPr>
              <w:pStyle w:val="Compact"/>
            </w:pPr>
            <w:r>
              <w:t xml:space="preserve">Idem (cambio endpoint/credenziali)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 Lake</w:t>
            </w:r>
          </w:p>
        </w:tc>
        <w:tc>
          <w:tcPr/>
          <w:p>
            <w:pPr>
              <w:pStyle w:val="Compact"/>
            </w:pPr>
            <w:r>
              <w:t xml:space="preserve">Pipeline reale verso Data Lake</w:t>
            </w:r>
          </w:p>
        </w:tc>
        <w:tc>
          <w:tcPr/>
          <w:p>
            <w:pPr>
              <w:pStyle w:val="Compact"/>
            </w:pPr>
            <w:r>
              <w:t xml:space="preserve">Placeholder log su file</w:t>
            </w:r>
          </w:p>
        </w:tc>
        <w:tc>
          <w:tcPr/>
          <w:p>
            <w:pPr>
              <w:pStyle w:val="Compact"/>
            </w:pPr>
            <w:r>
              <w:t xml:space="preserve">Non disponibile localmente; FUTURE_ENTERPRISE per la POC</w:t>
            </w:r>
          </w:p>
        </w:tc>
        <w:tc>
          <w:tcPr/>
          <w:p>
            <w:pPr>
              <w:pStyle w:val="Compact"/>
            </w:pPr>
            <w:r>
              <w:t xml:space="preserve">Aggiungere produttore eventi sul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  <w:r>
              <w:t xml:space="preserve">; nessun cambio del modello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Object storage S3 enterprise / proprietario (Vincoli §2)</w:t>
            </w:r>
          </w:p>
        </w:tc>
        <w:tc>
          <w:tcPr/>
          <w:p>
            <w:pPr>
              <w:pStyle w:val="Compact"/>
            </w:pPr>
            <w:r>
              <w:t xml:space="preserve">MinIO single-node (S3-compatible)</w:t>
            </w:r>
          </w:p>
        </w:tc>
        <w:tc>
          <w:tcPr/>
          <w:p>
            <w:pPr>
              <w:pStyle w:val="Compact"/>
            </w:pPr>
            <w:r>
              <w:t xml:space="preserve">Compatibilità API S3 garantita</w:t>
            </w:r>
          </w:p>
        </w:tc>
        <w:tc>
          <w:tcPr/>
          <w:p>
            <w:pPr>
              <w:pStyle w:val="Compact"/>
            </w:pPr>
            <w:r>
              <w:t xml:space="preserve">Cambiare endpoint/credenziali S3; nessun refactoring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DB transazionale (HA)</w:t>
            </w:r>
          </w:p>
        </w:tc>
        <w:tc>
          <w:tcPr/>
          <w:p>
            <w:pPr>
              <w:pStyle w:val="Compact"/>
            </w:pPr>
            <w:r>
              <w:t xml:space="preserve">MariaDB cluster HA (Vincoli §1)</w:t>
            </w:r>
          </w:p>
        </w:tc>
        <w:tc>
          <w:tcPr/>
          <w:p>
            <w:pPr>
              <w:pStyle w:val="Compact"/>
            </w:pPr>
            <w:r>
              <w:t xml:space="preserve">MariaDB single-node</w:t>
            </w:r>
          </w:p>
        </w:tc>
        <w:tc>
          <w:tcPr/>
          <w:p>
            <w:pPr>
              <w:pStyle w:val="Compact"/>
            </w:pPr>
            <w:r>
              <w:t xml:space="preserve">Esecuzione locale, niente cluster</w:t>
            </w:r>
          </w:p>
        </w:tc>
        <w:tc>
          <w:tcPr/>
          <w:p>
            <w:pPr>
              <w:pStyle w:val="Compact"/>
            </w:pPr>
            <w:r>
              <w:t xml:space="preserve">Configurazione HA aggiunta in target; schema applicativo invariato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Broker eventi (audit/notifiche)</w:t>
            </w:r>
          </w:p>
        </w:tc>
        <w:tc>
          <w:tcPr/>
          <w:p>
            <w:pPr>
              <w:pStyle w:val="Compact"/>
            </w:pPr>
            <w:r>
              <w:t xml:space="preserve">Message broker / event streaming (DOC2)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  <w:r>
              <w:t xml:space="preserve"> </w:t>
            </w:r>
            <w:r>
              <w:rPr>
                <w:b/>
                <w:bCs/>
              </w:rPr>
              <w:t xml:space="preserve">outbox</w:t>
            </w:r>
            <w:r>
              <w:t xml:space="preserve"> </w:t>
            </w:r>
            <w:r>
              <w:t xml:space="preserve">+ dispatcher in-process</w:t>
            </w:r>
          </w:p>
        </w:tc>
        <w:tc>
          <w:tcPr/>
          <w:p>
            <w:pPr>
              <w:pStyle w:val="Compact"/>
            </w:pPr>
            <w:r>
              <w:t xml:space="preserve">Evita Kafka/RabbitMQ in POC</w:t>
            </w:r>
          </w:p>
        </w:tc>
        <w:tc>
          <w:tcPr/>
          <w:p>
            <w:pPr>
              <w:pStyle w:val="Compact"/>
            </w:pPr>
            <w:r>
              <w:t xml:space="preserve">Aggiungere broker (es. RabbitMQ/Kafka): produttori invariati, consumer rimpiazzati da subscriber del broker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BPM engine deploy model</w:t>
            </w:r>
          </w:p>
        </w:tc>
        <w:tc>
          <w:tcPr/>
          <w:p>
            <w:pPr>
              <w:pStyle w:val="Compact"/>
            </w:pPr>
            <w:r>
              <w:t xml:space="preserve">Flowable 7 servizio dedicato (DOC2)</w:t>
            </w:r>
          </w:p>
        </w:tc>
        <w:tc>
          <w:tcPr/>
          <w:p>
            <w:pPr>
              <w:pStyle w:val="Compact"/>
            </w:pPr>
            <w:r>
              <w:t xml:space="preserve">Flowable 7</w:t>
            </w:r>
            <w:r>
              <w:t xml:space="preserve"> </w:t>
            </w:r>
            <w:r>
              <w:rPr>
                <w:b/>
                <w:bCs/>
              </w:rPr>
              <w:t xml:space="preserve">embedded</w:t>
            </w:r>
            <w:r>
              <w:t xml:space="preserve"> </w:t>
            </w:r>
            <w:r>
              <w:t xml:space="preserve">nel monolite</w:t>
            </w:r>
          </w:p>
        </w:tc>
        <w:tc>
          <w:tcPr/>
          <w:p>
            <w:pPr>
              <w:pStyle w:val="Compact"/>
            </w:pPr>
            <w:r>
              <w:t xml:space="preserve">Riduce numero di container; mantiene contratti</w:t>
            </w:r>
          </w:p>
        </w:tc>
        <w:tc>
          <w:tcPr/>
          <w:p>
            <w:pPr>
              <w:pStyle w:val="Compact"/>
            </w:pPr>
            <w:r>
              <w:t xml:space="preserve">Estrazione del modulo</w:t>
            </w:r>
            <w:r>
              <w:t xml:space="preserve"> </w:t>
            </w:r>
            <w:r>
              <w:rPr>
                <w:rStyle w:val="VerbatimChar"/>
              </w:rPr>
              <w:t xml:space="preserve">workflow/</w:t>
            </w:r>
            <w:r>
              <w:t xml:space="preserve"> </w:t>
            </w:r>
            <w:r>
              <w:t xml:space="preserve">come servizio separato, definizioni BPMN già condivise via</w:t>
            </w:r>
            <w:r>
              <w:t xml:space="preserve"> </w:t>
            </w:r>
            <w:r>
              <w:rPr>
                <w:rStyle w:val="VerbatimChar"/>
              </w:rPr>
              <w:t xml:space="preserve">workflows/bpmn/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Modello applicativo</w:t>
            </w:r>
          </w:p>
        </w:tc>
        <w:tc>
          <w:tcPr/>
          <w:p>
            <w:pPr>
              <w:pStyle w:val="Compact"/>
            </w:pPr>
            <w:r>
              <w:t xml:space="preserve">Few-services per macro-modulo</w:t>
            </w:r>
          </w:p>
        </w:tc>
        <w:tc>
          <w:tcPr/>
          <w:p>
            <w:pPr>
              <w:pStyle w:val="Compact"/>
            </w:pPr>
            <w:r>
              <w:t xml:space="preserve">Modular monolith con i 6 BC come moduli interni</w:t>
            </w:r>
          </w:p>
        </w:tc>
        <w:tc>
          <w:tcPr/>
          <w:p>
            <w:pPr>
              <w:pStyle w:val="Compact"/>
            </w:pPr>
            <w:r>
              <w:t xml:space="preserve">Riduce overhead operativo della POC</w:t>
            </w:r>
          </w:p>
        </w:tc>
        <w:tc>
          <w:tcPr/>
          <w:p>
            <w:pPr>
              <w:pStyle w:val="Compact"/>
            </w:pPr>
            <w:r>
              <w:t xml:space="preserve">Split per package Maven/Gradle in moduli runtime; API REST già pubblicate, schema DB già isolato per 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mTLS / Service mesh</w:t>
            </w:r>
          </w:p>
        </w:tc>
        <w:tc>
          <w:tcPr/>
          <w:p>
            <w:pPr>
              <w:pStyle w:val="Compact"/>
            </w:pPr>
            <w:r>
              <w:t xml:space="preserve">Cilium / Istio (DOC2)</w:t>
            </w:r>
          </w:p>
        </w:tc>
        <w:tc>
          <w:tcPr/>
          <w:p>
            <w:pPr>
              <w:pStyle w:val="Compact"/>
            </w:pPr>
            <w:r>
              <w:t xml:space="preserve">Solo TLS sul reverse proxy (opzionale in POC)</w:t>
            </w:r>
          </w:p>
        </w:tc>
        <w:tc>
          <w:tcPr/>
          <w:p>
            <w:pPr>
              <w:pStyle w:val="Compact"/>
            </w:pPr>
            <w:r>
              <w:t xml:space="preserve">Service mesh ingiustificato sotto K8s assente</w:t>
            </w:r>
          </w:p>
        </w:tc>
        <w:tc>
          <w:tcPr/>
          <w:p>
            <w:pPr>
              <w:pStyle w:val="Compact"/>
            </w:pPr>
            <w:r>
              <w:t xml:space="preserve">Introduzione service mesh quando si passa a K8s con ≥10 servizi (allineato all'anti-pattern DOC1)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Observability stack</w:t>
            </w:r>
          </w:p>
        </w:tc>
        <w:tc>
          <w:tcPr/>
          <w:p>
            <w:pPr>
              <w:pStyle w:val="Compact"/>
            </w:pPr>
            <w:r>
              <w:t xml:space="preserve">Stack centralizzato metriche/log/trace (DOC2)</w:t>
            </w:r>
          </w:p>
        </w:tc>
        <w:tc>
          <w:tcPr/>
          <w:p>
            <w:pPr>
              <w:pStyle w:val="Compact"/>
            </w:pPr>
            <w:r>
              <w:t xml:space="preserve">Log JSON su stdout + Spring Actuator</w:t>
            </w:r>
          </w:p>
        </w:tc>
        <w:tc>
          <w:tcPr/>
          <w:p>
            <w:pPr>
              <w:pStyle w:val="Compact"/>
            </w:pPr>
            <w:r>
              <w:t xml:space="preserve">Locale; tracing predisposto ma non attivato</w:t>
            </w:r>
          </w:p>
        </w:tc>
        <w:tc>
          <w:tcPr/>
          <w:p>
            <w:pPr>
              <w:pStyle w:val="Compact"/>
            </w:pPr>
            <w:r>
              <w:t xml:space="preserve">Aggiungere agent OpenTelemetry; istrumentazione applicativa invariata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Pipeline CI/CD</w:t>
            </w:r>
          </w:p>
        </w:tc>
        <w:tc>
          <w:tcPr/>
          <w:p>
            <w:pPr>
              <w:pStyle w:val="Compact"/>
            </w:pPr>
            <w:r>
              <w:t xml:space="preserve">CI/CD + GitOps (ArgoCD) (DOC2)</w:t>
            </w:r>
          </w:p>
        </w:tc>
        <w:tc>
          <w:tcPr/>
          <w:p>
            <w:pPr>
              <w:pStyle w:val="Compact"/>
            </w:pPr>
            <w:r>
              <w:t xml:space="preserve">Build locale via</w:t>
            </w:r>
            <w:r>
              <w:t xml:space="preserve"> </w:t>
            </w:r>
            <w:r>
              <w:rPr>
                <w:rStyle w:val="VerbatimChar"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Nessuna pipeline necessaria all'esecuzione POC</w:t>
            </w:r>
          </w:p>
        </w:tc>
        <w:tc>
          <w:tcPr/>
          <w:p>
            <w:pPr>
              <w:pStyle w:val="Compact"/>
            </w:pPr>
            <w:r>
              <w:t xml:space="preserve">Introduzione pipeline + GitOps; Dockerfile e immagini riutilizzabili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t xml:space="preserve">OpenBao / Vault (DOC2)</w:t>
            </w:r>
          </w:p>
        </w:tc>
        <w:tc>
          <w:tcPr/>
          <w:p>
            <w:pPr>
              <w:pStyle w:val="Compact"/>
            </w:pPr>
            <w:r>
              <w:t xml:space="preserve">Variabili d'ambiente +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Sostituzione del meccanismo di lettura secret; codice applicativo invariato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Cache distribuita</w:t>
            </w:r>
          </w:p>
        </w:tc>
        <w:tc>
          <w:tcPr/>
          <w:p>
            <w:pPr>
              <w:pStyle w:val="Compact"/>
            </w:pPr>
            <w:r>
              <w:t xml:space="preserve">Valkey / Redis (DOC2)</w:t>
            </w:r>
          </w:p>
        </w:tc>
        <w:tc>
          <w:tcPr/>
          <w:p>
            <w:pPr>
              <w:pStyle w:val="Compact"/>
            </w:pPr>
            <w:r>
              <w:t xml:space="preserve">Cache in-process (Caffeine) o assente</w:t>
            </w:r>
          </w:p>
        </w:tc>
        <w:tc>
          <w:tcPr/>
          <w:p>
            <w:pPr>
              <w:pStyle w:val="Compact"/>
            </w:pPr>
            <w:r>
              <w:t xml:space="preserve">Volumi POC bassi</w:t>
            </w:r>
          </w:p>
        </w:tc>
        <w:tc>
          <w:tcPr/>
          <w:p>
            <w:pPr>
              <w:pStyle w:val="Compact"/>
            </w:pPr>
            <w:r>
              <w:t xml:space="preserve">Introduzione cache distribuita: pattern di accesso invariato (interfaccia repository/cache)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Multi-utente runtime condiviso</w:t>
            </w:r>
          </w:p>
        </w:tc>
        <w:tc>
          <w:tcPr/>
          <w:p>
            <w:pPr>
              <w:pStyle w:val="Compact"/>
            </w:pPr>
            <w:r>
              <w:t xml:space="preserve">Ambiente centralizzato per demo (Vincoli §5)</w:t>
            </w:r>
          </w:p>
        </w:tc>
        <w:tc>
          <w:tcPr/>
          <w:p>
            <w:pPr>
              <w:pStyle w:val="Compact"/>
            </w:pPr>
            <w:r>
              <w:t xml:space="preserve">Singola istanza locale (un dev alla volta)</w:t>
            </w:r>
          </w:p>
        </w:tc>
        <w:tc>
          <w:tcPr/>
          <w:p>
            <w:pPr>
              <w:pStyle w:val="Compact"/>
            </w:pPr>
            <w:r>
              <w:t xml:space="preserve">Limite esplicito dei vincoli</w:t>
            </w:r>
          </w:p>
        </w:tc>
        <w:tc>
          <w:tcPr/>
          <w:p>
            <w:pPr>
              <w:pStyle w:val="Compact"/>
            </w:pPr>
            <w:r>
              <w:t xml:space="preserve">Deploy su ambiente demo condiviso seguendo vincolo "non parallelo" o passaggio a istanze multiple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Frontend meta-framework</w:t>
            </w:r>
          </w:p>
        </w:tc>
        <w:tc>
          <w:tcPr/>
          <w:p>
            <w:pPr>
              <w:pStyle w:val="Compact"/>
            </w:pPr>
            <w:r>
              <w:t xml:space="preserve">Next.js (DOC2)</w:t>
            </w:r>
          </w:p>
        </w:tc>
        <w:tc>
          <w:tcPr/>
          <w:p>
            <w:pPr>
              <w:pStyle w:val="Compact"/>
            </w:pPr>
            <w:r>
              <w:t xml:space="preserve">React SPA buildata staticamente, servita da NGINX</w:t>
            </w:r>
          </w:p>
        </w:tc>
        <w:tc>
          <w:tcPr/>
          <w:p>
            <w:pPr>
              <w:pStyle w:val="Compact"/>
            </w:pPr>
            <w:r>
              <w:t xml:space="preserve">SSR non richiesto dal dominio (UI interna BO)</w:t>
            </w:r>
          </w:p>
        </w:tc>
        <w:tc>
          <w:tcPr/>
          <w:p>
            <w:pPr>
              <w:pStyle w:val="Compact"/>
            </w:pPr>
            <w:r>
              <w:t xml:space="preserve">Migrazione a Next.js opzionale; struttura</w:t>
            </w:r>
            <w:r>
              <w:t xml:space="preserve"> </w:t>
            </w:r>
            <w:r>
              <w:rPr>
                <w:rStyle w:val="VerbatimChar"/>
              </w:rPr>
              <w:t xml:space="preserve">features/</w:t>
            </w:r>
            <w:r>
              <w:t xml:space="preserve"> </w:t>
            </w:r>
            <w:r>
              <w:t xml:space="preserve">già modulare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Conservazione documentale a norma</w:t>
            </w:r>
          </w:p>
        </w:tc>
        <w:tc>
          <w:tcPr/>
          <w:p>
            <w:pPr>
              <w:pStyle w:val="Compact"/>
            </w:pPr>
            <w:r>
              <w:t xml:space="preserve">ECM / archiviazione long-term</w:t>
            </w:r>
          </w:p>
        </w:tc>
        <w:tc>
          <w:tcPr/>
          <w:p>
            <w:pPr>
              <w:pStyle w:val="Compact"/>
            </w:pPr>
            <w:r>
              <w:t xml:space="preserve">Object storage MinIO senza politiche di retention</w:t>
            </w:r>
          </w:p>
        </w:tc>
        <w:tc>
          <w:tcPr/>
          <w:p>
            <w:pPr>
              <w:pStyle w:val="Compact"/>
            </w:pPr>
            <w:r>
              <w:t xml:space="preserve">OUT_OF_SCOPE per la POC (BA)</w:t>
            </w:r>
          </w:p>
        </w:tc>
        <w:tc>
          <w:tcPr/>
          <w:p>
            <w:pPr>
              <w:pStyle w:val="Compact"/>
            </w:pPr>
            <w:r>
              <w:t xml:space="preserve">Integrazione ECM o policy di retention; metadati allegati già strutturati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Process mining</w:t>
            </w:r>
          </w:p>
        </w:tc>
        <w:tc>
          <w:tcPr/>
          <w:p>
            <w:pPr>
              <w:pStyle w:val="Compact"/>
            </w:pPr>
            <w:r>
              <w:t xml:space="preserve">PM4Py + dashboard (DOC2)</w:t>
            </w:r>
          </w:p>
        </w:tc>
        <w:tc>
          <w:tcPr/>
          <w:p>
            <w:pPr>
              <w:pStyle w:val="Compact"/>
            </w:pPr>
            <w:r>
              <w:t xml:space="preserve">Non presente in POC</w:t>
            </w:r>
          </w:p>
        </w:tc>
        <w:tc>
          <w:tcPr/>
          <w:p>
            <w:pPr>
              <w:pStyle w:val="Compact"/>
            </w:pPr>
            <w:r>
              <w:t xml:space="preserve">FUTURE_ENTERPRISE</w:t>
            </w:r>
          </w:p>
        </w:tc>
        <w:tc>
          <w:tcPr/>
          <w:p>
            <w:pPr>
              <w:pStyle w:val="Compact"/>
            </w:pPr>
            <w:r>
              <w:t xml:space="preserve">Eventi di dominio già emessi: producer per event log XES/OCEL aggiungibile senza refactoring di workflow</w:t>
            </w:r>
          </w:p>
        </w:tc>
      </w:tr>
    </w:tbl>
    <w:bookmarkStart w:id="9" w:name="coerenza-con-principi-doc1"/>
    <w:p>
      <w:pPr>
        <w:pStyle w:val="Heading2"/>
      </w:pPr>
      <w:r>
        <w:t xml:space="preserve">Coerenza con principi DOC1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 No vendor lock-in</w:t>
      </w:r>
      <w:r>
        <w:t xml:space="preserve">: tutte le sostituzioni POC sono OSI-approved; nessuna API cloud-proprietaria.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P2 Cloud-native</w:t>
      </w:r>
      <w:r>
        <w:t xml:space="preserve">: container come unità di deploy mantenuta; passaggio a K8s solo configurazione/manifest.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P4 API-first</w:t>
      </w:r>
      <w:r>
        <w:t xml:space="preserve">: contratti applicativi e IA v1.4 invariati nelle sostituzioni 3, 4, 5, 7, 9, 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P8 Scalabilità progressiva</w:t>
      </w:r>
      <w:r>
        <w:t xml:space="preserve">: il monolith modulare (riga 11) è esattamente il pattern raccomandato (DOC1 §3.5 / anti-pattern "Microservizi dallo Sprint 1").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P9 DevOps</w:t>
      </w:r>
      <w:r>
        <w:t xml:space="preserve">: la mancanza di pipeline (riga 14) è una semplificazione esplicita, non un debito architetturale: la struttura repository è già pronta.</w:t>
      </w:r>
    </w:p>
    <w:bookmarkEnd w:id="9"/>
    <w:bookmarkStart w:id="10" w:name="cosa-non-viene-semplificato-invariante"/>
    <w:p>
      <w:pPr>
        <w:pStyle w:val="Heading2"/>
      </w:pPr>
      <w:r>
        <w:t xml:space="preserve">Cosa NON viene semplificato (invariante)</w:t>
      </w:r>
    </w:p>
    <w:p>
      <w:pPr>
        <w:pStyle w:val="Compact"/>
        <w:numPr>
          <w:ilvl w:val="0"/>
          <w:numId w:val="1002"/>
        </w:numPr>
      </w:pPr>
      <w:r>
        <w:t xml:space="preserve">Bounded context e responsabilità (cap. 01).</w:t>
      </w:r>
    </w:p>
    <w:p>
      <w:pPr>
        <w:pStyle w:val="Compact"/>
        <w:numPr>
          <w:ilvl w:val="0"/>
          <w:numId w:val="1002"/>
        </w:numPr>
      </w:pPr>
      <w:r>
        <w:t xml:space="preserve">Workflow BPMN ANC e human task (cap. 04).</w:t>
      </w:r>
    </w:p>
    <w:p>
      <w:pPr>
        <w:pStyle w:val="Compact"/>
        <w:numPr>
          <w:ilvl w:val="0"/>
          <w:numId w:val="1002"/>
        </w:numPr>
      </w:pPr>
      <w:r>
        <w:t xml:space="preserve">Lifecycle pratica + ownership transizioni (cap. 06).</w:t>
      </w:r>
    </w:p>
    <w:p>
      <w:pPr>
        <w:pStyle w:val="Compact"/>
        <w:numPr>
          <w:ilvl w:val="0"/>
          <w:numId w:val="1002"/>
        </w:numPr>
      </w:pPr>
      <w:r>
        <w:t xml:space="preserve">Contratti API verso FE e contratto IA v1.4 verso BPM (cap. 05).</w:t>
      </w:r>
    </w:p>
    <w:p>
      <w:pPr>
        <w:pStyle w:val="Compact"/>
        <w:numPr>
          <w:ilvl w:val="0"/>
          <w:numId w:val="1002"/>
        </w:numPr>
      </w:pPr>
      <w:r>
        <w:t xml:space="preserve">Schema dati logico (cap. 09; modello fisico a cura DBA).</w:t>
      </w:r>
    </w:p>
    <w:p>
      <w:pPr>
        <w:pStyle w:val="Compact"/>
        <w:numPr>
          <w:ilvl w:val="0"/>
          <w:numId w:val="1002"/>
        </w:numPr>
      </w:pPr>
      <w:r>
        <w:t xml:space="preserve">Convenzioni di naming, modularizzazione e dipendenze (cap. 08).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2026-05-12T17:47:43Z</dcterms:created>
  <dcterms:modified xsi:type="dcterms:W3CDTF">2026-05-12T17:47:43Z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