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c01d144c4d11a7add5445a145b35abd083ea338"/>
    <w:p>
      <w:pPr>
        <w:pStyle w:val="Heading1"/>
      </w:pPr>
      <w:r>
        <w:t xml:space="preserve">01 - Glossario e Assunzioni</w:t>
      </w:r>
    </w:p>
    <w:p>
      <w:pPr>
        <w:pStyle w:val="BlockText"/>
      </w:pPr>
      <w:r>
        <w:t xml:space="preserve">Fonte:</w:t>
      </w:r>
      <w:r>
        <w:t xml:space="preserve"> </w:t>
      </w:r>
      <w:r>
        <w:rPr>
          <w:rStyle w:val="VerbatimChar"/>
        </w:rPr>
        <w:t xml:space="preserve">docs/requirements/Attivazione nuova carta_Discovery.docx</w:t>
      </w:r>
      <w:r>
        <w:t xml:space="preserve"> </w:t>
      </w:r>
      <w:r>
        <w:t xml:space="preserve">Baseline: comportamento esistente della soluzione "Attivazione Nuova Carta" (ANC) sulla Scrivania Digitale (SD) di Poste Italiane, attualmente implementata sulla piattaforma low-code</w:t>
      </w:r>
      <w:r>
        <w:t xml:space="preserve"> </w:t>
      </w:r>
      <w:r>
        <w:rPr>
          <w:b/>
          <w:bCs/>
        </w:rPr>
        <w:t xml:space="preserve">Appian</w:t>
      </w:r>
      <w:r>
        <w:t xml:space="preserve">.</w:t>
      </w:r>
      <w:r>
        <w:t xml:space="preserve"> </w:t>
      </w:r>
      <w:r>
        <w:t xml:space="preserve">Obiettivo del porting:</w:t>
      </w:r>
      <w:r>
        <w:t xml:space="preserve"> </w:t>
      </w:r>
      <w:r>
        <w:rPr>
          <w:b/>
          <w:bCs/>
        </w:rPr>
        <w:t xml:space="preserve">ricostruzione open source</w:t>
      </w:r>
      <w:r>
        <w:t xml:space="preserve"> </w:t>
      </w:r>
      <w:r>
        <w:t xml:space="preserve">della Scrivania Digitale preservando il comportamento funzionale esistente.</w:t>
      </w:r>
    </w:p>
    <w:bookmarkStart w:id="9" w:name="X12f0377a8591a326e31102bb95404a0d1978ea9"/>
    <w:p>
      <w:pPr>
        <w:pStyle w:val="Heading2"/>
      </w:pPr>
      <w:r>
        <w:t xml:space="preserve">1. Termini Business (dominio operativo)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Termine</w:t>
            </w:r>
          </w:p>
        </w:tc>
        <w:tc>
          <w:tcPr/>
          <w:p>
            <w:pPr>
              <w:pStyle w:val="Compact"/>
            </w:pPr>
            <w:r>
              <w:t xml:space="preserve">Definizione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 (Attivazione Nuova Carta)</w:t>
            </w:r>
          </w:p>
        </w:tc>
        <w:tc>
          <w:tcPr/>
          <w:p>
            <w:pPr>
              <w:pStyle w:val="Compact"/>
            </w:pPr>
            <w:r>
              <w:t xml:space="preserve">Processo di Back Office per attivare una carta sostitutiva a seguito di blocco per furto/smarrimento.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Pratica</w:t>
            </w:r>
          </w:p>
        </w:tc>
        <w:tc>
          <w:tcPr/>
          <w:p>
            <w:pPr>
              <w:pStyle w:val="Compact"/>
            </w:pPr>
            <w:r>
              <w:t xml:space="preserve">Istanza di lavorazione creata in SD a fronte di una richiesta BPM. Identificata da Pratica N° (oggi emessa dalla runtime Appian; nel porting generata internamente dall'applicazione open source).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/ Attività</w:t>
            </w:r>
          </w:p>
        </w:tc>
        <w:tc>
          <w:tcPr/>
          <w:p>
            <w:pPr>
              <w:pStyle w:val="Compact"/>
            </w:pPr>
            <w:r>
              <w:t xml:space="preserve">Singola unità di lavoro generata automaticamente per ogni nuova pratica, presente in "Lista Attività".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Verbale di Denuncia</w:t>
            </w:r>
          </w:p>
        </w:tc>
        <w:tc>
          <w:tcPr/>
          <w:p>
            <w:pPr>
              <w:pStyle w:val="Compact"/>
            </w:pPr>
            <w:r>
              <w:t xml:space="preserve">Documento ufficiale di furto/smarrimento da verificare.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Carta (tagliata)</w:t>
            </w:r>
          </w:p>
        </w:tc>
        <w:tc>
          <w:tcPr/>
          <w:p>
            <w:pPr>
              <w:pStyle w:val="Compact"/>
            </w:pPr>
            <w:r>
              <w:t xml:space="preserve">Immagine della carta bloccata, oggetto di verifica conformità.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Tipizzazione Documento</w:t>
            </w:r>
          </w:p>
        </w:tc>
        <w:tc>
          <w:tcPr/>
          <w:p>
            <w:pPr>
              <w:pStyle w:val="Compact"/>
            </w:pPr>
            <w:r>
              <w:t xml:space="preserve">Azione manuale dell'operatore: dichiara se l'allegato è Verbale o Carta. Irreversibile.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Checklist di Conformità</w:t>
            </w:r>
          </w:p>
        </w:tc>
        <w:tc>
          <w:tcPr/>
          <w:p>
            <w:pPr>
              <w:pStyle w:val="Compact"/>
            </w:pPr>
            <w:r>
              <w:t xml:space="preserve">Insieme di controlli standardizzati (leggibilità, firme, timbri, ecc.) eseguiti dall'operatore.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Esito SD</w:t>
            </w:r>
          </w:p>
        </w:tc>
        <w:tc>
          <w:tcPr/>
          <w:p>
            <w:pPr>
              <w:pStyle w:val="Compact"/>
            </w:pPr>
            <w:r>
              <w:t xml:space="preserve">Risultato finale calcolato automaticamente da SD (OK / KO) sulla base della checklist.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 Multipli</w:t>
            </w:r>
          </w:p>
        </w:tc>
        <w:tc>
          <w:tcPr/>
          <w:p>
            <w:pPr>
              <w:pStyle w:val="Compact"/>
            </w:pPr>
            <w:r>
              <w:t xml:space="preserve">Pratica respinta per più motivi: tutti i codici di KO vengono inviati a BPM.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Presa in Carico</w:t>
            </w:r>
          </w:p>
        </w:tc>
        <w:tc>
          <w:tcPr/>
          <w:p>
            <w:pPr>
              <w:pStyle w:val="Compact"/>
            </w:pPr>
            <w:r>
              <w:t xml:space="preserve">Azione di "ACCETTA" che assegna il task all'operatore e cambia stato pratica in "In Lavorazione".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 Attività (Coda Lavorazioni)</w:t>
            </w:r>
          </w:p>
        </w:tc>
        <w:tc>
          <w:tcPr/>
          <w:p>
            <w:pPr>
              <w:pStyle w:val="Compact"/>
            </w:pPr>
            <w:r>
              <w:t xml:space="preserve">Vista dei task assegnati o disponibili per l'operatore.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Segnalazioni</w:t>
            </w:r>
          </w:p>
        </w:tc>
        <w:tc>
          <w:tcPr/>
          <w:p>
            <w:pPr>
              <w:pStyle w:val="Compact"/>
            </w:pPr>
            <w:r>
              <w:t xml:space="preserve">Modulo per inoltrare segnalazioni verso il sistema esterno Sinergia (PIX).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Riassegnazione</w:t>
            </w:r>
          </w:p>
        </w:tc>
        <w:tc>
          <w:tcPr/>
          <w:p>
            <w:pPr>
              <w:pStyle w:val="Compact"/>
            </w:pPr>
            <w:r>
              <w:t xml:space="preserve">Azione del Supervisore: spostare un task tra gruppo/utente.</w:t>
            </w:r>
          </w:p>
        </w:tc>
      </w:tr>
    </w:tbl>
    <w:bookmarkEnd w:id="9"/>
    <w:bookmarkStart w:id="10" w:name="X42e267a6c02caf8c047de26a5e74f2d12ab3458"/>
    <w:p>
      <w:pPr>
        <w:pStyle w:val="Heading2"/>
      </w:pPr>
      <w:r>
        <w:t xml:space="preserve">2. Termini Tecnici e Integrazioni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Termine</w:t>
            </w:r>
          </w:p>
        </w:tc>
        <w:tc>
          <w:tcPr/>
          <w:p>
            <w:pPr>
              <w:pStyle w:val="Compact"/>
            </w:pPr>
            <w:r>
              <w:t xml:space="preserve">Definizione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BPM</w:t>
            </w:r>
          </w:p>
        </w:tc>
        <w:tc>
          <w:tcPr/>
          <w:p>
            <w:pPr>
              <w:pStyle w:val="Compact"/>
            </w:pPr>
            <w:r>
              <w:t xml:space="preserve">Business Process Management: sistema esterno orchestratore. Invia richieste e riceve esiti.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 (Scrivania Digitale)</w:t>
            </w:r>
          </w:p>
        </w:tc>
        <w:tc>
          <w:tcPr/>
          <w:p>
            <w:pPr>
              <w:pStyle w:val="Compact"/>
            </w:pPr>
            <w:r>
              <w:t xml:space="preserve">Applicazione di Back Office, oggetto del porting.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</w:pPr>
            <w:r>
              <w:t xml:space="preserve">Back Office Automation: ambito tecnologico Poste.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Appian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Piattaforma low-code legacy</w:t>
            </w:r>
            <w:r>
              <w:t xml:space="preserve"> </w:t>
            </w:r>
            <w:r>
              <w:t xml:space="preserve">su cui è attualmente implementata la Scrivania Digitale ANC. È la sorgente del porting, NON un sistema esterno con cui integrarsi nel target.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appianTicketID</w:t>
            </w:r>
          </w:p>
        </w:tc>
        <w:tc>
          <w:tcPr/>
          <w:p>
            <w:pPr>
              <w:pStyle w:val="Compact"/>
            </w:pPr>
            <w:r>
              <w:t xml:space="preserve">Identificativo univoco della pratica generato al recepimento di una richiesta.</w:t>
            </w:r>
            <w:r>
              <w:t xml:space="preserve"> </w:t>
            </w:r>
            <w:r>
              <w:rPr>
                <w:b/>
                <w:bCs/>
              </w:rPr>
              <w:t xml:space="preserve">Chiave primaria di riconciliazione</w:t>
            </w:r>
            <w:r>
              <w:t xml:space="preserve"> </w:t>
            </w:r>
            <w:r>
              <w:t xml:space="preserve">tra BPM, DataLake e Sinergia (PIX). Il nome del campo deve essere preservato nel porting per compatibilità di interfaccia; il valore sarà emesso dall'applicazione open source.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Porting open source</w:t>
            </w:r>
          </w:p>
        </w:tc>
        <w:tc>
          <w:tcPr/>
          <w:p>
            <w:pPr>
              <w:pStyle w:val="Compact"/>
            </w:pPr>
            <w:r>
              <w:t xml:space="preserve">Ricostruzione della Scrivania Digitale su tecnologie open source preservando il comportamento funzionale esistente e i contratti d'interfaccia (incluso</w:t>
            </w:r>
            <w:r>
              <w:t xml:space="preserve"> </w:t>
            </w:r>
            <w:r>
              <w:rPr>
                <w:rStyle w:val="VerbatimChar"/>
              </w:rPr>
              <w:t xml:space="preserve">appianTicketID</w:t>
            </w:r>
            <w:r>
              <w:t xml:space="preserve">) verso BPM, DataLake, Sinergia. La definizione dello stack è demandata all'Architect.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 End (FE)</w:t>
            </w:r>
          </w:p>
        </w:tc>
        <w:tc>
          <w:tcPr/>
          <w:p>
            <w:pPr>
              <w:pStyle w:val="Compact"/>
            </w:pPr>
            <w:r>
              <w:t xml:space="preserve">Canale cliente che carica i documenti (verbale o carta). Non fornisce tipizzazione automatica.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ID_WORKITEM</w:t>
            </w:r>
          </w:p>
        </w:tc>
        <w:tc>
          <w:tcPr/>
          <w:p>
            <w:pPr>
              <w:pStyle w:val="Compact"/>
            </w:pPr>
            <w:r>
              <w:t xml:space="preserve">Identificativo univoco inviato da BPM, base per controllo idempotenza.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CODICE_DOC_ID</w:t>
            </w:r>
          </w:p>
        </w:tc>
        <w:tc>
          <w:tcPr/>
          <w:p>
            <w:pPr>
              <w:pStyle w:val="Compact"/>
            </w:pPr>
            <w:r>
              <w:t xml:space="preserve">Codice del documento allegato (valori ammessi: 1, 2, 3).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Sinergia / PIX (SAC-SBO)</w:t>
            </w:r>
          </w:p>
        </w:tc>
        <w:tc>
          <w:tcPr/>
          <w:p>
            <w:pPr>
              <w:pStyle w:val="Compact"/>
            </w:pPr>
            <w:r>
              <w:t xml:space="preserve">Sistema esterno per gestione segnalazioni e ticket.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Lake</w:t>
            </w:r>
          </w:p>
        </w:tc>
        <w:tc>
          <w:tcPr/>
          <w:p>
            <w:pPr>
              <w:pStyle w:val="Compact"/>
            </w:pPr>
            <w:r>
              <w:t xml:space="preserve">Sistema di archiviazione/analytics impattato.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 Agreement (IA)</w:t>
            </w:r>
          </w:p>
        </w:tc>
        <w:tc>
          <w:tcPr/>
          <w:p>
            <w:pPr>
              <w:pStyle w:val="Compact"/>
            </w:pPr>
            <w:r>
              <w:t xml:space="preserve">Documento contrattuale: "Interface Agreement Servizi SD per BPM_ANC_ver1.4".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SubmitWorkItem 1.1</w:t>
            </w:r>
          </w:p>
        </w:tc>
        <w:tc>
          <w:tcPr/>
          <w:p>
            <w:pPr>
              <w:pStyle w:val="Compact"/>
            </w:pPr>
            <w:r>
              <w:t xml:space="preserve">Servizio Swagger per invio task verso BPM.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Idempotenza</w:t>
            </w:r>
          </w:p>
        </w:tc>
        <w:tc>
          <w:tcPr/>
          <w:p>
            <w:pPr>
              <w:pStyle w:val="Compact"/>
            </w:pPr>
            <w:r>
              <w:t xml:space="preserve">Logica che impedisce creazione di pratiche duplicate per ID_WORKITEM esistente.</w:t>
            </w:r>
          </w:p>
        </w:tc>
      </w:tr>
    </w:tbl>
    <w:bookmarkEnd w:id="10"/>
    <w:bookmarkStart w:id="13" w:name="X44859b73613c9ea5828b45b8a3f9d727ced9ea0"/>
    <w:p>
      <w:pPr>
        <w:pStyle w:val="Heading2"/>
      </w:pPr>
      <w:r>
        <w:t xml:space="preserve">3. Attori</w:t>
      </w:r>
    </w:p>
    <w:bookmarkStart w:id="11" w:name="attori-umani"/>
    <w:p>
      <w:pPr>
        <w:pStyle w:val="Heading3"/>
      </w:pPr>
      <w:r>
        <w:t xml:space="preserve">Attori Umani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Operatore BO / Specialista ANC</w:t>
      </w:r>
      <w:r>
        <w:t xml:space="preserve">: presa in carico, tipizzazione, checklist, chiusura pratica.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Supervisore ANC</w:t>
      </w:r>
      <w:r>
        <w:t xml:space="preserve">: monitoraggio, riassegnazione task, governance segnalazioni Sinergia.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Cliente</w:t>
      </w:r>
      <w:r>
        <w:t xml:space="preserve">: indirettamente, carica i documenti tramite Front End (non interagisce con SD).</w:t>
      </w:r>
    </w:p>
    <w:bookmarkEnd w:id="11"/>
    <w:bookmarkStart w:id="12" w:name="attori-di-sistema"/>
    <w:p>
      <w:pPr>
        <w:pStyle w:val="Heading3"/>
      </w:pPr>
      <w:r>
        <w:t xml:space="preserve">Attori di Sistema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Scrivania Digitale (SD)</w:t>
      </w:r>
      <w:r>
        <w:t xml:space="preserve"> </w:t>
      </w:r>
      <w:r>
        <w:rPr>
          <w:i/>
          <w:iCs/>
        </w:rPr>
        <w:t xml:space="preserve">(nel porting: applicazione open source; oggi: implementata su Appian)</w:t>
      </w:r>
      <w:r>
        <w:t xml:space="preserve">: crea pratica/task, calcola esito, invia esito a BPM. Nel porting genera internamente l'identificativo Pratica N° (oggi prodotto dalla runtime Appian).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BPM</w:t>
      </w:r>
      <w:r>
        <w:t xml:space="preserve">: invia richieste apertura, riceve esiti, conferma chiusura.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Sinergia (PIX)</w:t>
      </w:r>
      <w:r>
        <w:t xml:space="preserve">: ricezione segnalazioni e ticket.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Lake</w:t>
      </w:r>
      <w:r>
        <w:t xml:space="preserve">: ricezione dati per archiviazione/analisi.</w:t>
      </w:r>
    </w:p>
    <w:bookmarkEnd w:id="12"/>
    <w:bookmarkEnd w:id="13"/>
    <w:bookmarkStart w:id="16" w:name="X6613e4245a75e88013480f423ae1cd188d10e18"/>
    <w:p>
      <w:pPr>
        <w:pStyle w:val="Heading2"/>
      </w:pPr>
      <w:r>
        <w:t xml:space="preserve">4. Scope</w:t>
      </w:r>
    </w:p>
    <w:bookmarkStart w:id="14" w:name="X0142369389ffc020643240ea1a8280a81191813"/>
    <w:p>
      <w:pPr>
        <w:pStyle w:val="Heading3"/>
      </w:pPr>
      <w:r>
        <w:t xml:space="preserve">IN SCOPE (Baseline esistente da preservare)</w:t>
      </w:r>
    </w:p>
    <w:p>
      <w:pPr>
        <w:pStyle w:val="Compact"/>
        <w:numPr>
          <w:ilvl w:val="0"/>
          <w:numId w:val="1003"/>
        </w:numPr>
      </w:pPr>
      <w:r>
        <w:t xml:space="preserve">Porting della Scrivania Digitale ANC dalla piattaforma Appian a tecnologie open source,</w:t>
      </w:r>
      <w:r>
        <w:t xml:space="preserve"> </w:t>
      </w:r>
      <w:r>
        <w:rPr>
          <w:b/>
          <w:bCs/>
        </w:rPr>
        <w:t xml:space="preserve">preservando il comportamento funzionale</w:t>
      </w:r>
      <w:r>
        <w:t xml:space="preserve"> </w:t>
      </w:r>
      <w:r>
        <w:t xml:space="preserve">descritto nel Discovery.</w:t>
      </w:r>
    </w:p>
    <w:p>
      <w:pPr>
        <w:pStyle w:val="Compact"/>
        <w:numPr>
          <w:ilvl w:val="0"/>
          <w:numId w:val="1003"/>
        </w:numPr>
      </w:pPr>
      <w:r>
        <w:t xml:space="preserve">Integrazione BPM ↔ SD: apertura pratica e invio esito.</w:t>
      </w:r>
    </w:p>
    <w:p>
      <w:pPr>
        <w:pStyle w:val="Compact"/>
        <w:numPr>
          <w:ilvl w:val="0"/>
          <w:numId w:val="1003"/>
        </w:numPr>
      </w:pPr>
      <w:r>
        <w:t xml:space="preserve">Ciclo di vita pratica: Aperta → In Lavorazione → In Attesa Conferma BPM → Chiusa OK/KO.</w:t>
      </w:r>
    </w:p>
    <w:p>
      <w:pPr>
        <w:pStyle w:val="Compact"/>
        <w:numPr>
          <w:ilvl w:val="0"/>
          <w:numId w:val="1003"/>
        </w:numPr>
      </w:pPr>
      <w:r>
        <w:t xml:space="preserve">Lista Attività con presa in carico esplicita ("ACCETTA").</w:t>
      </w:r>
    </w:p>
    <w:p>
      <w:pPr>
        <w:pStyle w:val="Compact"/>
        <w:numPr>
          <w:ilvl w:val="0"/>
          <w:numId w:val="1003"/>
        </w:numPr>
      </w:pPr>
      <w:r>
        <w:t xml:space="preserve">Tipizzazione manuale documento (Verbale / Carta) — irreversibile.</w:t>
      </w:r>
    </w:p>
    <w:p>
      <w:pPr>
        <w:pStyle w:val="Compact"/>
        <w:numPr>
          <w:ilvl w:val="0"/>
          <w:numId w:val="1003"/>
        </w:numPr>
      </w:pPr>
      <w:r>
        <w:t xml:space="preserve">Checklist conformità (Verbale e Carta), salvataggio bozza, modifica, calcolo esito automatico.</w:t>
      </w:r>
    </w:p>
    <w:p>
      <w:pPr>
        <w:pStyle w:val="Compact"/>
        <w:numPr>
          <w:ilvl w:val="0"/>
          <w:numId w:val="1003"/>
        </w:numPr>
      </w:pPr>
      <w:r>
        <w:t xml:space="preserve">Causali KO formali (Intestazione, Firme, Timbro, Dichiarazione, Carta Poste Italiane).</w:t>
      </w:r>
    </w:p>
    <w:p>
      <w:pPr>
        <w:pStyle w:val="Compact"/>
        <w:numPr>
          <w:ilvl w:val="0"/>
          <w:numId w:val="1003"/>
        </w:numPr>
      </w:pPr>
      <w:r>
        <w:t xml:space="preserve">Visualizzatore allegati integrato con fallback download manuale.</w:t>
      </w:r>
    </w:p>
    <w:p>
      <w:pPr>
        <w:pStyle w:val="Compact"/>
        <w:numPr>
          <w:ilvl w:val="0"/>
          <w:numId w:val="1003"/>
        </w:numPr>
      </w:pPr>
      <w:r>
        <w:t xml:space="preserve">Lista Pratiche con filtri (stato, date, esito), ordinamento, export Excel, paginazione.</w:t>
      </w:r>
    </w:p>
    <w:p>
      <w:pPr>
        <w:pStyle w:val="Compact"/>
        <w:numPr>
          <w:ilvl w:val="0"/>
          <w:numId w:val="1003"/>
        </w:numPr>
      </w:pPr>
      <w:r>
        <w:t xml:space="preserve">Dettaglio Pratica: Riepilogo, Cronologia, Stati, Azioni Correlate.</w:t>
      </w:r>
    </w:p>
    <w:p>
      <w:pPr>
        <w:pStyle w:val="Compact"/>
        <w:numPr>
          <w:ilvl w:val="0"/>
          <w:numId w:val="1003"/>
        </w:numPr>
      </w:pPr>
      <w:r>
        <w:t xml:space="preserve">Profilo Supervisore: Riassegna Attività (a gruppo o utente), monitoraggio.</w:t>
      </w:r>
    </w:p>
    <w:p>
      <w:pPr>
        <w:pStyle w:val="Compact"/>
        <w:numPr>
          <w:ilvl w:val="0"/>
          <w:numId w:val="1003"/>
        </w:numPr>
      </w:pPr>
      <w:r>
        <w:t xml:space="preserve">Dashboard Segnalazioni verso Sinergia (PIX).</w:t>
      </w:r>
    </w:p>
    <w:p>
      <w:pPr>
        <w:pStyle w:val="Compact"/>
        <w:numPr>
          <w:ilvl w:val="0"/>
          <w:numId w:val="1003"/>
        </w:numPr>
      </w:pPr>
      <w:r>
        <w:t xml:space="preserve">Reporting Home: contatori real-time, istogrammi (Pratiche Giornaliere, Lavorate, per Stato).</w:t>
      </w:r>
    </w:p>
    <w:p>
      <w:pPr>
        <w:pStyle w:val="Compact"/>
        <w:numPr>
          <w:ilvl w:val="0"/>
          <w:numId w:val="1003"/>
        </w:numPr>
      </w:pPr>
      <w:r>
        <w:t xml:space="preserve">Home Page: tab Home/Attività/Pratiche, link favoriti, widget posta elettronica.</w:t>
      </w:r>
    </w:p>
    <w:p>
      <w:pPr>
        <w:pStyle w:val="Compact"/>
        <w:numPr>
          <w:ilvl w:val="0"/>
          <w:numId w:val="1003"/>
        </w:numPr>
      </w:pPr>
      <w:r>
        <w:t xml:space="preserve">Help in linea checklist ("Mostra Descrizione").</w:t>
      </w:r>
    </w:p>
    <w:bookmarkEnd w:id="14"/>
    <w:bookmarkStart w:id="15" w:name="out-of-scope-poc"/>
    <w:p>
      <w:pPr>
        <w:pStyle w:val="Heading3"/>
      </w:pPr>
      <w:r>
        <w:t xml:space="preserve">OUT OF SCOPE (POC)</w:t>
      </w:r>
    </w:p>
    <w:p>
      <w:pPr>
        <w:pStyle w:val="Compact"/>
        <w:numPr>
          <w:ilvl w:val="0"/>
          <w:numId w:val="1004"/>
        </w:numPr>
      </w:pPr>
      <w:r>
        <w:t xml:space="preserve">Ridisegno funzionale o nuove capability non presenti.</w:t>
      </w:r>
    </w:p>
    <w:p>
      <w:pPr>
        <w:pStyle w:val="Compact"/>
        <w:numPr>
          <w:ilvl w:val="0"/>
          <w:numId w:val="1004"/>
        </w:numPr>
      </w:pPr>
      <w:r>
        <w:t xml:space="preserve">Tipizzazione automatica lato Front End.</w:t>
      </w:r>
    </w:p>
    <w:p>
      <w:pPr>
        <w:pStyle w:val="Compact"/>
        <w:numPr>
          <w:ilvl w:val="0"/>
          <w:numId w:val="1004"/>
        </w:numPr>
      </w:pPr>
      <w:r>
        <w:t xml:space="preserve">Migrazione dati storici dalla piattaforma Appian legacy.</w:t>
      </w:r>
    </w:p>
    <w:p>
      <w:pPr>
        <w:pStyle w:val="Compact"/>
        <w:numPr>
          <w:ilvl w:val="0"/>
          <w:numId w:val="1004"/>
        </w:numPr>
      </w:pPr>
      <w:r>
        <w:t xml:space="preserve">Coesistenza/strangler con l'istanza Appian in produzione.</w:t>
      </w:r>
    </w:p>
    <w:p>
      <w:pPr>
        <w:pStyle w:val="Compact"/>
        <w:numPr>
          <w:ilvl w:val="0"/>
          <w:numId w:val="1004"/>
        </w:numPr>
      </w:pPr>
      <w:r>
        <w:t xml:space="preserve">Logica di business interna a BPM, Sinergia, Data Lake.</w:t>
      </w:r>
    </w:p>
    <w:p>
      <w:pPr>
        <w:pStyle w:val="Compact"/>
        <w:numPr>
          <w:ilvl w:val="0"/>
          <w:numId w:val="1004"/>
        </w:numPr>
      </w:pPr>
      <w:r>
        <w:t xml:space="preserve">Autenticazione SSO enterprise (in POC: login locale minimale).</w:t>
      </w:r>
    </w:p>
    <w:p>
      <w:pPr>
        <w:pStyle w:val="Compact"/>
        <w:numPr>
          <w:ilvl w:val="0"/>
          <w:numId w:val="1004"/>
        </w:numPr>
      </w:pPr>
      <w:r>
        <w:t xml:space="preserve">Reportistica avanzata oltre i 3 istogrammi mensili.</w:t>
      </w:r>
    </w:p>
    <w:p>
      <w:pPr>
        <w:pStyle w:val="Compact"/>
        <w:numPr>
          <w:ilvl w:val="0"/>
          <w:numId w:val="1004"/>
        </w:numPr>
      </w:pPr>
      <w:r>
        <w:t xml:space="preserve">Mobile / responsive enterprise.</w:t>
      </w:r>
    </w:p>
    <w:bookmarkEnd w:id="15"/>
    <w:bookmarkEnd w:id="16"/>
    <w:bookmarkStart w:id="17" w:name="X89f149884ec17591c495d2101345d94a82bdc8d"/>
    <w:p>
      <w:pPr>
        <w:pStyle w:val="Heading2"/>
      </w:pPr>
      <w:r>
        <w:t xml:space="preserve">5. Vincoli funzionali (baseline)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V1 – Idempotenza</w:t>
      </w:r>
      <w:r>
        <w:t xml:space="preserve">: ID_WORKITEM duplicato → errore (</w:t>
      </w:r>
      <w:r>
        <w:rPr>
          <w:rStyle w:val="VerbatimChar"/>
        </w:rPr>
        <w:t xml:space="preserve">resultCode: -5</w:t>
      </w:r>
      <w:r>
        <w:t xml:space="preserve">), nessuna creazione.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V2 – Documenti obbligatori</w:t>
      </w:r>
      <w:r>
        <w:t xml:space="preserve">: richiesta BPM senza oggetto</w:t>
      </w:r>
      <w:r>
        <w:t xml:space="preserve"> </w:t>
      </w:r>
      <w:r>
        <w:rPr>
          <w:rStyle w:val="VerbatimChar"/>
        </w:rPr>
        <w:t xml:space="preserve">DOCUMENTI</w:t>
      </w:r>
      <w:r>
        <w:t xml:space="preserve"> </w:t>
      </w:r>
      <w:r>
        <w:t xml:space="preserve">→ rifiutata.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V3 – Validazione CODICE_DOC_ID</w:t>
      </w:r>
      <w:r>
        <w:t xml:space="preserve">: valori ammessi 1,2,3; altrimenti</w:t>
      </w:r>
      <w:r>
        <w:t xml:space="preserve"> </w:t>
      </w:r>
      <w:r>
        <w:rPr>
          <w:rStyle w:val="VerbatimChar"/>
        </w:rPr>
        <w:t xml:space="preserve">resultCode: -4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V4 – Singola tipologia</w:t>
      </w:r>
      <w:r>
        <w:t xml:space="preserve">: ogni pratica gestisce un solo tipo (Verbale OPPURE Carta).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V5 – Tipizzazione irreversibile</w:t>
      </w:r>
      <w:r>
        <w:t xml:space="preserve">: una volta confermata, non modificabile.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V6 – Presa in carico obbligatoria</w:t>
      </w:r>
      <w:r>
        <w:t xml:space="preserve">: senza "ACCETTA" non si lavora la pratica.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V7 – Esito automatico</w:t>
      </w:r>
      <w:r>
        <w:t xml:space="preserve">: calcolato dal sistema, non forzabile manualmente.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V8 – Cascata KO</w:t>
      </w:r>
      <w:r>
        <w:t xml:space="preserve">: documento "non presente" → tutti controlli automaticamente KO.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V9 – Causale obbligatoria</w:t>
      </w:r>
      <w:r>
        <w:t xml:space="preserve">: se "idoneità formale" = NO → causale obbligatoria (Intestazione/Firme/Timbro/Dichiarazione/Carta Poste Italiane).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V10 – KO Multipli</w:t>
      </w:r>
      <w:r>
        <w:t xml:space="preserve">: tutti i motivi devono essere comunicati a BPM.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V11 – Stato finale condizionato</w:t>
      </w:r>
      <w:r>
        <w:t xml:space="preserve">: chiusura definitiva (Chiusa OK/KO) solo dopo conferma BPM.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V12 – Note solo in caso di Respinta</w:t>
      </w:r>
      <w:r>
        <w:t xml:space="preserve">: facoltative.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V13 – Riassegnazione</w:t>
      </w:r>
      <w:r>
        <w:t xml:space="preserve">: solo profilo Supervisore.</w:t>
      </w:r>
    </w:p>
    <w:bookmarkEnd w:id="17"/>
    <w:bookmarkStart w:id="18" w:name="X23e7799c64af61a66b729f83c5d5721085ebeb8"/>
    <w:p>
      <w:pPr>
        <w:pStyle w:val="Heading2"/>
      </w:pPr>
      <w:r>
        <w:t xml:space="preserve">6. Assunzioni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A0</w:t>
      </w:r>
      <w:r>
        <w:t xml:space="preserve">: Il porting è</w:t>
      </w:r>
      <w:r>
        <w:t xml:space="preserve"> </w:t>
      </w:r>
      <w:r>
        <w:rPr>
          <w:b/>
          <w:bCs/>
        </w:rPr>
        <w:t xml:space="preserve">rebuild open source</w:t>
      </w:r>
      <w:r>
        <w:t xml:space="preserve"> </w:t>
      </w:r>
      <w:r>
        <w:t xml:space="preserve">della Scrivania Digitale ANC oggi su Appian. La piattaforma Appian è sorgente di analisi,</w:t>
      </w:r>
      <w:r>
        <w:t xml:space="preserve"> </w:t>
      </w:r>
      <w:r>
        <w:rPr>
          <w:b/>
          <w:bCs/>
        </w:rPr>
        <w:t xml:space="preserve">non un sistema esterno</w:t>
      </w:r>
      <w:r>
        <w:t xml:space="preserve"> </w:t>
      </w:r>
      <w:r>
        <w:t xml:space="preserve">con cui integrarsi nel target. L'identificativo "Pratica N°" — oggi emesso dalla runtime Appian — sarà generato dall'applicazione target.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A1</w:t>
      </w:r>
      <w:r>
        <w:t xml:space="preserve">: La POC ricostruisce funzionalmente la baseline; non sono richieste integrazioni reali con BPM/Sinergia/DataLake → si useranno</w:t>
      </w:r>
      <w:r>
        <w:t xml:space="preserve"> </w:t>
      </w:r>
      <w:r>
        <w:rPr>
          <w:b/>
          <w:bCs/>
        </w:rPr>
        <w:t xml:space="preserve">stub/mock</w:t>
      </w:r>
      <w:r>
        <w:t xml:space="preserve"> </w:t>
      </w:r>
      <w:r>
        <w:t xml:space="preserve">lato porting.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A2</w:t>
      </w:r>
      <w:r>
        <w:t xml:space="preserve">: Autenticazione: due ruoli funzionali (</w:t>
      </w:r>
      <w:r>
        <w:rPr>
          <w:rStyle w:val="VerbatimChar"/>
        </w:rPr>
        <w:t xml:space="preserve">OPERATORE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SUPERVISORE</w:t>
      </w:r>
      <w:r>
        <w:t xml:space="preserve">). Le scelte tecnologiche (provider IAM, fallback locale) sono demandate all'Architect.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A3</w:t>
      </w:r>
      <w:r>
        <w:t xml:space="preserve">: Le scelte tecnologiche su persistenza, storage allegati, framework FE/BE, runtime e integrazione sono</w:t>
      </w:r>
      <w:r>
        <w:t xml:space="preserve"> </w:t>
      </w:r>
      <w:r>
        <w:rPr>
          <w:b/>
          <w:bCs/>
        </w:rPr>
        <w:t xml:space="preserve">demandate all'Architect</w:t>
      </w:r>
      <w:r>
        <w:t xml:space="preserve">. Il BA fissa esclusivamente requisiti funzionali e contratti d'interfaccia esistenti.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A4</w:t>
      </w:r>
      <w:r>
        <w:t xml:space="preserve">: Le API verso BPM verranno simulate con stub che rispettano il contratto funzionale (campi e payload) dell'Interface Agreement v1.4 esistente.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A5</w:t>
      </w:r>
      <w:r>
        <w:t xml:space="preserve">: I codici causale KO e i resultCode (-4, -5) sono trattati come baseline immutabile.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A6</w:t>
      </w:r>
      <w:r>
        <w:t xml:space="preserve">: La UX a due colonne (dati+checklist a sinistra, viewer a destra) è vincolante.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A7</w:t>
      </w:r>
      <w:r>
        <w:t xml:space="preserve">: I 3 istogrammi mensili e i contatori real-time sono parte CORE della Home Supervisore.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A8</w:t>
      </w:r>
      <w:r>
        <w:t xml:space="preserve">: La Dashboard Segnalazioni Sinergia in POC è un modulo "skeleton" (CRUD locale + simulazione invio).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A9</w:t>
      </w:r>
      <w:r>
        <w:t xml:space="preserve">: Il widget posta elettronica e i link favoriti sono OPTIONAL_POC.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A10</w:t>
      </w:r>
      <w:r>
        <w:t xml:space="preserve">: La conservazione su Data Lake è OUT_OF_SCOPE per la POC (placeholder).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2026-05-12T17:46:49Z</dcterms:created>
  <dcterms:modified xsi:type="dcterms:W3CDTF">2026-05-12T17:46:49Z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