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249cec99fae343d2ad5980b7b230ed115b8675"/>
    <w:p>
      <w:pPr>
        <w:pStyle w:val="Heading1"/>
      </w:pPr>
      <w:r>
        <w:t xml:space="preserve">07 - Risk &amp; Open Questions</w:t>
      </w:r>
    </w:p>
    <w:p>
      <w:pPr>
        <w:pStyle w:val="BlockText"/>
      </w:pPr>
      <w:r>
        <w:t xml:space="preserve">Solo elementi realmente bloccanti o ambigui ai fini del porting (max 10).</w:t>
      </w:r>
    </w:p>
    <w:bookmarkStart w:id="16" w:name="risk"/>
    <w:p>
      <w:pPr>
        <w:pStyle w:val="Heading2"/>
      </w:pPr>
      <w:r>
        <w:t xml:space="preserve">Risk</w:t>
      </w:r>
    </w:p>
    <w:bookmarkStart w:id="9" w:name="X476ff2fa9fd45dc39f6462c385d2b0550d5b7fe"/>
    <w:p>
      <w:pPr>
        <w:pStyle w:val="Heading3"/>
      </w:pPr>
      <w:r>
        <w:t xml:space="preserve">R1 – Comportamento "Passed with defect" su chiusura task (ST46/ST47)</w:t>
      </w:r>
    </w:p>
    <w:p>
      <w:pPr>
        <w:pStyle w:val="FirstParagraph"/>
      </w:pPr>
      <w:r>
        <w:rPr>
          <w:b/>
          <w:bCs/>
        </w:rPr>
        <w:t xml:space="preserve">Descrizione</w:t>
      </w:r>
      <w:r>
        <w:t xml:space="preserve">: i Test Book riportano la chiusura pratica (Approvata e Respinta) come "Passed with defect". Non è chiaro se i difetti siano stati risolti o se rappresentino la baseline.</w:t>
      </w:r>
      <w:r>
        <w:t xml:space="preserve"> </w:t>
      </w:r>
      <w:r>
        <w:rPr>
          <w:b/>
          <w:bCs/>
        </w:rPr>
        <w:t xml:space="preserve">Impatto</w:t>
      </w:r>
      <w:r>
        <w:t xml:space="preserve">: replicare bug indesiderati o ignorare comportamenti reali del legacy.</w:t>
      </w:r>
      <w:r>
        <w:t xml:space="preserve"> </w:t>
      </w:r>
      <w:r>
        <w:rPr>
          <w:b/>
          <w:bCs/>
        </w:rPr>
        <w:t xml:space="preserve">Mitigazione</w:t>
      </w:r>
      <w:r>
        <w:t xml:space="preserve">: in Sprint 6, definire esplicitamente l'esito atteso "ideale" e segnalare al Coordinator se si individuano discrepanze rispetto al legacy.</w:t>
      </w:r>
    </w:p>
    <w:bookmarkEnd w:id="9"/>
    <w:bookmarkStart w:id="10" w:name="X145205c035a865903b299de1d149e48a2aaff2b"/>
    <w:p>
      <w:pPr>
        <w:pStyle w:val="Heading3"/>
      </w:pPr>
      <w:r>
        <w:t xml:space="preserve">R2 – Mapping completo CODICE_DOC_ID → combinazioni allegati</w:t>
      </w:r>
    </w:p>
    <w:p>
      <w:pPr>
        <w:pStyle w:val="FirstParagraph"/>
      </w:pPr>
      <w:r>
        <w:rPr>
          <w:b/>
          <w:bCs/>
        </w:rPr>
        <w:t xml:space="preserve">Descrizione</w:t>
      </w:r>
      <w:r>
        <w:t xml:space="preserve">: il Discovery dichiara dominio {1,2,3} ma non descrive in modo esplicito a quale combinazione (solo Verbale / solo Carta / entrambi) corrisponda ciascun codice.</w:t>
      </w:r>
      <w:r>
        <w:t xml:space="preserve"> </w:t>
      </w:r>
      <w:r>
        <w:rPr>
          <w:b/>
          <w:bCs/>
        </w:rPr>
        <w:t xml:space="preserve">Impatto</w:t>
      </w:r>
      <w:r>
        <w:t xml:space="preserve">: errori in C1.2 e nella generazione del task corretto.</w:t>
      </w:r>
      <w:r>
        <w:t xml:space="preserve"> </w:t>
      </w:r>
      <w:r>
        <w:rPr>
          <w:b/>
          <w:bCs/>
        </w:rPr>
        <w:t xml:space="preserve">Mitigazione</w:t>
      </w:r>
      <w:r>
        <w:t xml:space="preserve">: assumere mapping inferito (1=Verbale, 2=Carta, 3=Entrambi) e validare con stakeholder.</w:t>
      </w:r>
    </w:p>
    <w:bookmarkEnd w:id="10"/>
    <w:bookmarkStart w:id="11" w:name="X8e1a7cab55dd033a624c7e79322aa59e6582cbb"/>
    <w:p>
      <w:pPr>
        <w:pStyle w:val="Heading3"/>
      </w:pPr>
      <w:r>
        <w:t xml:space="preserve">R3 – Mapping causali KO → codici motivazione BPM</w:t>
      </w:r>
    </w:p>
    <w:p>
      <w:pPr>
        <w:pStyle w:val="FirstParagraph"/>
      </w:pPr>
      <w:r>
        <w:rPr>
          <w:b/>
          <w:bCs/>
        </w:rPr>
        <w:t xml:space="preserve">Descrizione</w:t>
      </w:r>
      <w:r>
        <w:t xml:space="preserve">: il Discovery cita le causali (Intestazione/Firme/Timbro/Dichiarazione/Carta PI) ma non esplicita i codici inviati a BPM.</w:t>
      </w:r>
      <w:r>
        <w:t xml:space="preserve"> </w:t>
      </w:r>
      <w:r>
        <w:rPr>
          <w:b/>
          <w:bCs/>
        </w:rPr>
        <w:t xml:space="preserve">Impatto</w:t>
      </w:r>
      <w:r>
        <w:t xml:space="preserve">: invio esiti incompleto o errato verso BPM (C5.4/C5.5).</w:t>
      </w:r>
      <w:r>
        <w:t xml:space="preserve"> </w:t>
      </w:r>
      <w:r>
        <w:rPr>
          <w:b/>
          <w:bCs/>
        </w:rPr>
        <w:t xml:space="preserve">Mitigazione</w:t>
      </w:r>
      <w:r>
        <w:t xml:space="preserve">: chiedere accesso a "Interface Agreement Servizi SD per BPM_ANC_ver1.4" o stipulare codici fittizi documentati.</w:t>
      </w:r>
    </w:p>
    <w:bookmarkEnd w:id="11"/>
    <w:bookmarkStart w:id="12" w:name="Xc484dc3f27a44d3fec2c3d6661d651289567145"/>
    <w:p>
      <w:pPr>
        <w:pStyle w:val="Heading3"/>
      </w:pPr>
      <w:r>
        <w:t xml:space="preserve">R4 – Comportamento checklist quando pratica contiene entrambi i documenti (CODICE_DOC_ID=3)</w:t>
      </w:r>
    </w:p>
    <w:p>
      <w:pPr>
        <w:pStyle w:val="FirstParagraph"/>
      </w:pPr>
      <w:r>
        <w:rPr>
          <w:b/>
          <w:bCs/>
        </w:rPr>
        <w:t xml:space="preserve">Descrizione</w:t>
      </w:r>
      <w:r>
        <w:t xml:space="preserve">: il vincolo V4 dice "ogni pratica un solo tipo da controllare", ma il cliente può aver caricato entrambi. Non è chiaro se l'operatore debba scegliere uno o se il sistema generi due task.</w:t>
      </w:r>
      <w:r>
        <w:t xml:space="preserve"> </w:t>
      </w:r>
      <w:r>
        <w:rPr>
          <w:b/>
          <w:bCs/>
        </w:rPr>
        <w:t xml:space="preserve">Impatto</w:t>
      </w:r>
      <w:r>
        <w:t xml:space="preserve">: rischio di processo non allineato al legacy.</w:t>
      </w:r>
      <w:r>
        <w:t xml:space="preserve"> </w:t>
      </w:r>
      <w:r>
        <w:rPr>
          <w:b/>
          <w:bCs/>
        </w:rPr>
        <w:t xml:space="preserve">Mitigazione</w:t>
      </w:r>
      <w:r>
        <w:t xml:space="preserve">: assumere "operatore sceglie uno solo" salvo conferma diversa.</w:t>
      </w:r>
    </w:p>
    <w:bookmarkEnd w:id="12"/>
    <w:bookmarkStart w:id="13" w:name="X6101f76a403308b57a73840ce04ed0de92fbfff"/>
    <w:p>
      <w:pPr>
        <w:pStyle w:val="Heading3"/>
      </w:pPr>
      <w:r>
        <w:t xml:space="preserve">R5 – Logica calcolo esito su controlli facoltativi</w:t>
      </w:r>
    </w:p>
    <w:p>
      <w:pPr>
        <w:pStyle w:val="FirstParagraph"/>
      </w:pPr>
      <w:r>
        <w:rPr>
          <w:b/>
          <w:bCs/>
        </w:rPr>
        <w:t xml:space="preserve">Descrizione</w:t>
      </w:r>
      <w:r>
        <w:t xml:space="preserve">: il controllo "corrispondenza numero carta" è facoltativo. Se l'operatore lo lascia vuoto, conta come SI, NO o neutro nel calcolo?</w:t>
      </w:r>
      <w:r>
        <w:t xml:space="preserve"> </w:t>
      </w:r>
      <w:r>
        <w:rPr>
          <w:b/>
          <w:bCs/>
        </w:rPr>
        <w:t xml:space="preserve">Impatto</w:t>
      </w:r>
      <w:r>
        <w:t xml:space="preserve">: errori sull'esito (C5.1) per scenari borderline.</w:t>
      </w:r>
      <w:r>
        <w:t xml:space="preserve"> </w:t>
      </w:r>
      <w:r>
        <w:rPr>
          <w:b/>
          <w:bCs/>
        </w:rPr>
        <w:t xml:space="preserve">Mitigazione</w:t>
      </w:r>
      <w:r>
        <w:t xml:space="preserve">: assumere "neutro / non concorre", come scritto in AC-E6.03.</w:t>
      </w:r>
    </w:p>
    <w:bookmarkEnd w:id="13"/>
    <w:bookmarkStart w:id="14" w:name="X857dc065c3cad594fd1d8fcd61da41209238958"/>
    <w:p>
      <w:pPr>
        <w:pStyle w:val="Heading3"/>
      </w:pPr>
      <w:r>
        <w:t xml:space="preserve">R6 – Affidabilità del visualizzatore integrato (criticità tecnica nota)</w:t>
      </w:r>
    </w:p>
    <w:p>
      <w:pPr>
        <w:pStyle w:val="FirstParagraph"/>
      </w:pPr>
      <w:r>
        <w:rPr>
          <w:b/>
          <w:bCs/>
        </w:rPr>
        <w:t xml:space="preserve">Descrizione</w:t>
      </w:r>
      <w:r>
        <w:t xml:space="preserve">: il Discovery segnala criticità ricorrenti del viewer; il download manuale è il fallback ufficiale.</w:t>
      </w:r>
      <w:r>
        <w:t xml:space="preserve"> </w:t>
      </w:r>
      <w:r>
        <w:rPr>
          <w:b/>
          <w:bCs/>
        </w:rPr>
        <w:t xml:space="preserve">Impatto</w:t>
      </w:r>
      <w:r>
        <w:t xml:space="preserve">: la robustezza del visualizzatore degli allegati condiziona l'usabilità dell'istruttoria.</w:t>
      </w:r>
      <w:r>
        <w:t xml:space="preserve"> </w:t>
      </w:r>
      <w:r>
        <w:rPr>
          <w:b/>
          <w:bCs/>
        </w:rPr>
        <w:t xml:space="preserve">Mitigazione</w:t>
      </w:r>
      <w:r>
        <w:t xml:space="preserve">: in S4 selezionare una soluzione di visualizzazione robusta (scelta tecnologica a cura dell'Architect); test su file reali del cliente.</w:t>
      </w:r>
    </w:p>
    <w:bookmarkEnd w:id="14"/>
    <w:bookmarkStart w:id="15" w:name="Xf93a83f7a3988fa08ce3938e2db1c31cd1c78bb"/>
    <w:p>
      <w:pPr>
        <w:pStyle w:val="Heading3"/>
      </w:pPr>
      <w:r>
        <w:t xml:space="preserve">R7 – Orchestrazione transitorio "In Attesa Conferma BPM" senza ack</w:t>
      </w:r>
    </w:p>
    <w:p>
      <w:pPr>
        <w:pStyle w:val="FirstParagraph"/>
      </w:pPr>
      <w:r>
        <w:rPr>
          <w:b/>
          <w:bCs/>
        </w:rPr>
        <w:t xml:space="preserve">Descrizione</w:t>
      </w:r>
      <w:r>
        <w:t xml:space="preserve">: se BPM non conferma mai (timeout), la pratica resta bloccata in stato transitorio.</w:t>
      </w:r>
      <w:r>
        <w:t xml:space="preserve"> </w:t>
      </w:r>
      <w:r>
        <w:rPr>
          <w:b/>
          <w:bCs/>
        </w:rPr>
        <w:t xml:space="preserve">Impatto</w:t>
      </w:r>
      <w:r>
        <w:t xml:space="preserve">: pratiche fantasma; nessun meccanismo di retry/escalation descritto nel Discovery.</w:t>
      </w:r>
      <w:r>
        <w:t xml:space="preserve"> </w:t>
      </w:r>
      <w:r>
        <w:rPr>
          <w:b/>
          <w:bCs/>
        </w:rPr>
        <w:t xml:space="preserve">Mitigazione</w:t>
      </w:r>
      <w:r>
        <w:t xml:space="preserve">: in POC implementare ack immediato dello stub; segnalare al Coordinator come gap potenziale.</w:t>
      </w:r>
    </w:p>
    <w:bookmarkEnd w:id="15"/>
    <w:bookmarkEnd w:id="16"/>
    <w:bookmarkStart w:id="20" w:name="open-questions"/>
    <w:p>
      <w:pPr>
        <w:pStyle w:val="Heading2"/>
      </w:pPr>
      <w:r>
        <w:t xml:space="preserve">Open Questions</w:t>
      </w:r>
    </w:p>
    <w:bookmarkStart w:id="17" w:name="q1--ruolo-cliente-in-sd"/>
    <w:p>
      <w:pPr>
        <w:pStyle w:val="Heading3"/>
      </w:pPr>
      <w:r>
        <w:t xml:space="preserve">Q1 – Ruolo Cliente in SD</w:t>
      </w:r>
    </w:p>
    <w:p>
      <w:pPr>
        <w:pStyle w:val="FirstParagraph"/>
      </w:pPr>
      <w:r>
        <w:t xml:space="preserve">È confermato che il Cliente NON interagisce con SD (solo Front End)? Documenti coerenti, ma vale formalizzare per scope.</w:t>
      </w:r>
    </w:p>
    <w:bookmarkEnd w:id="17"/>
    <w:bookmarkStart w:id="18" w:name="q2--conservazione-documentale-a-norma"/>
    <w:p>
      <w:pPr>
        <w:pStyle w:val="Heading3"/>
      </w:pPr>
      <w:r>
        <w:t xml:space="preserve">Q2 – Conservazione documentale a norma</w:t>
      </w:r>
    </w:p>
    <w:p>
      <w:pPr>
        <w:pStyle w:val="FirstParagraph"/>
      </w:pPr>
      <w:r>
        <w:t xml:space="preserve">La conservazione degli allegati (verbali, carte) è demandata a sistemi esterni (Data Lake?) o deve risiedere in SD? Discovery non chiarisce.</w:t>
      </w:r>
    </w:p>
    <w:bookmarkEnd w:id="18"/>
    <w:bookmarkStart w:id="19" w:name="q3--multi-tenant--più-gruppi-operativi"/>
    <w:p>
      <w:pPr>
        <w:pStyle w:val="Heading3"/>
      </w:pPr>
      <w:r>
        <w:t xml:space="preserve">Q3 – Multi-tenant / Più gruppi operativi</w:t>
      </w:r>
    </w:p>
    <w:p>
      <w:pPr>
        <w:pStyle w:val="FirstParagraph"/>
      </w:pPr>
      <w:r>
        <w:t xml:space="preserve">Esiste un solo "Gruppo Operatore ANC" o sono previsti più gruppi (per filiale/regione)? Impatto su modello dati e riassegnazione (C6.x).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2026-05-12T17:47:06Z</dcterms:created>
  <dcterms:modified xsi:type="dcterms:W3CDTF">2026-05-12T17:47:06Z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