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63155c1773558ef640556684815967a44515ba9"/>
    <w:p>
      <w:pPr>
        <w:pStyle w:val="Heading1"/>
      </w:pPr>
      <w:r>
        <w:t xml:space="preserve">05 - Strategia Migrazioni</w:t>
      </w:r>
    </w:p>
    <w:p>
      <w:pPr>
        <w:pStyle w:val="BlockText"/>
      </w:pPr>
      <w:r>
        <w:t xml:space="preserve">Strumento:</w:t>
      </w:r>
      <w:r>
        <w:t xml:space="preserve"> </w:t>
      </w:r>
      <w:r>
        <w:rPr>
          <w:b/>
          <w:bCs/>
        </w:rPr>
        <w:t xml:space="preserve">Flyway Community</w:t>
      </w:r>
      <w:r>
        <w:t xml:space="preserve"> </w:t>
      </w:r>
      <w:r>
        <w:t xml:space="preserve">(compatibile con MariaDB e PostgreSQL — entrambi gli scenari sopravvivono alla divergenza D1 segnalata dall'Architect). Convenzione versioning:</w:t>
      </w:r>
      <w:r>
        <w:t xml:space="preserve"> </w:t>
      </w:r>
      <w:r>
        <w:rPr>
          <w:rStyle w:val="VerbatimChar"/>
        </w:rPr>
        <w:t xml:space="preserve">V&lt;n&gt;__&lt;descrizione_snake_case&gt;.sql</w:t>
      </w:r>
      <w:r>
        <w:t xml:space="preserve">. Repeatable migrations</w:t>
      </w:r>
      <w:r>
        <w:t xml:space="preserve"> </w:t>
      </w:r>
      <w:r>
        <w:rPr>
          <w:rStyle w:val="VerbatimChar"/>
        </w:rPr>
        <w:t xml:space="preserve">R__*.sql</w:t>
      </w:r>
      <w:r>
        <w:t xml:space="preserve"> </w:t>
      </w:r>
      <w:r>
        <w:t xml:space="preserve">riservate a viste e seed di catalogo.</w:t>
      </w:r>
    </w:p>
    <w:bookmarkStart w:id="9" w:name="X338884eee197f21eb4a5eadb019d5e89e4acb5b"/>
    <w:p>
      <w:pPr>
        <w:pStyle w:val="Heading2"/>
      </w:pPr>
      <w:r>
        <w:t xml:space="preserve">1. Layout repository</w:t>
      </w:r>
    </w:p>
    <w:p>
      <w:pPr>
        <w:pStyle w:val="SourceCode"/>
      </w:pPr>
      <w:r>
        <w:rPr>
          <w:rStyle w:val="VerbatimChar"/>
        </w:rPr>
        <w:t xml:space="preserve">infra/</w:t>
      </w:r>
      <w:r>
        <w:br/>
      </w:r>
      <w:r>
        <w:rPr>
          <w:rStyle w:val="VerbatimChar"/>
        </w:rPr>
        <w:t xml:space="preserve">└── db/</w:t>
      </w:r>
      <w:r>
        <w:br/>
      </w:r>
      <w:r>
        <w:rPr>
          <w:rStyle w:val="VerbatimChar"/>
        </w:rPr>
        <w:t xml:space="preserve">    └── migrations/</w:t>
      </w:r>
      <w:r>
        <w:br/>
      </w:r>
      <w:r>
        <w:rPr>
          <w:rStyle w:val="VerbatimChar"/>
        </w:rPr>
        <w:t xml:space="preserve">        ├── V1__init_iam.sql</w:t>
      </w:r>
      <w:r>
        <w:br/>
      </w:r>
      <w:r>
        <w:rPr>
          <w:rStyle w:val="VerbatimChar"/>
        </w:rPr>
        <w:t xml:space="preserve">        ├── V2__bc1_practice.sql</w:t>
      </w:r>
      <w:r>
        <w:br/>
      </w:r>
      <w:r>
        <w:rPr>
          <w:rStyle w:val="VerbatimChar"/>
        </w:rPr>
        <w:t xml:space="preserve">        ├── V3__bc2_task.sql</w:t>
      </w:r>
      <w:r>
        <w:br/>
      </w:r>
      <w:r>
        <w:rPr>
          <w:rStyle w:val="VerbatimChar"/>
        </w:rPr>
        <w:t xml:space="preserve">        ├── V4__bc3_document_checklist.sql</w:t>
      </w:r>
      <w:r>
        <w:br/>
      </w:r>
      <w:r>
        <w:rPr>
          <w:rStyle w:val="VerbatimChar"/>
        </w:rPr>
        <w:t xml:space="preserve">        ├── V5__bc4_bpm_integration_outbox.sql</w:t>
      </w:r>
      <w:r>
        <w:br/>
      </w:r>
      <w:r>
        <w:rPr>
          <w:rStyle w:val="VerbatimChar"/>
        </w:rPr>
        <w:t xml:space="preserve">        ├── V6__bc6_signal.sql</w:t>
      </w:r>
      <w:r>
        <w:br/>
      </w:r>
      <w:r>
        <w:rPr>
          <w:rStyle w:val="VerbatimChar"/>
        </w:rPr>
        <w:t xml:space="preserve">        ├── V7__audit.sql</w:t>
      </w:r>
      <w:r>
        <w:br/>
      </w:r>
      <w:r>
        <w:rPr>
          <w:rStyle w:val="VerbatimChar"/>
        </w:rPr>
        <w:t xml:space="preserve">        ├── R__seed_roles_groups.sql</w:t>
      </w:r>
      <w:r>
        <w:br/>
      </w:r>
      <w:r>
        <w:rPr>
          <w:rStyle w:val="VerbatimChar"/>
        </w:rPr>
        <w:t xml:space="preserve">        ├── R__seed_checklist_catalog.sql</w:t>
      </w:r>
      <w:r>
        <w:br/>
      </w:r>
      <w:r>
        <w:rPr>
          <w:rStyle w:val="VerbatimChar"/>
        </w:rPr>
        <w:t xml:space="preserve">        └── R__seed_users_demo.sql</w:t>
      </w:r>
    </w:p>
    <w:p>
      <w:pPr>
        <w:pStyle w:val="BlockText"/>
      </w:pPr>
      <w:r>
        <w:t xml:space="preserve">Le migrazioni della POC sono</w:t>
      </w:r>
      <w:r>
        <w:t xml:space="preserve"> </w:t>
      </w:r>
      <w:r>
        <w:rPr>
          <w:b/>
          <w:bCs/>
        </w:rPr>
        <w:t xml:space="preserve">additive</w:t>
      </w:r>
      <w:r>
        <w:t xml:space="preserve">: nessun</w:t>
      </w:r>
      <w:r>
        <w:t xml:space="preserve"> </w:t>
      </w:r>
      <w:r>
        <w:rPr>
          <w:rStyle w:val="VerbatimChar"/>
        </w:rPr>
        <w:t xml:space="preserve">DROP TABLE</w:t>
      </w:r>
      <w:r>
        <w:t xml:space="preserve"> </w:t>
      </w:r>
      <w:r>
        <w:t xml:space="preserve">su tabelle non vuote in produzione. Le</w:t>
      </w:r>
      <w:r>
        <w:t xml:space="preserve"> </w:t>
      </w:r>
      <w:r>
        <w:rPr>
          <w:rStyle w:val="VerbatimChar"/>
        </w:rPr>
        <w:t xml:space="preserve">R__</w:t>
      </w:r>
      <w:r>
        <w:t xml:space="preserve"> </w:t>
      </w:r>
      <w:r>
        <w:t xml:space="preserve">(repeatable) vengono ri-applicate quando cambia l'hash → ideali per cataloghi statici.</w:t>
      </w:r>
    </w:p>
    <w:bookmarkEnd w:id="9"/>
    <w:bookmarkStart w:id="10" w:name="Xcc74425eddc0dcc79ad038ce93a411a28e1a17f"/>
    <w:p>
      <w:pPr>
        <w:pStyle w:val="Heading2"/>
      </w:pPr>
      <w:r>
        <w:t xml:space="preserve">2. Versionamento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Versione</w:t>
            </w:r>
          </w:p>
        </w:tc>
        <w:tc>
          <w:tcPr/>
          <w:p>
            <w:pPr>
              <w:pStyle w:val="Compact"/>
            </w:pPr>
            <w:r>
              <w:t xml:space="preserve">Scopo</w:t>
            </w:r>
          </w:p>
        </w:tc>
        <w:tc>
          <w:tcPr/>
          <w:p>
            <w:pPr>
              <w:pStyle w:val="Compact"/>
            </w:pPr>
            <w:r>
              <w:t xml:space="preserve">Reversibile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</w:t>
            </w:r>
          </w:p>
        </w:tc>
        <w:tc>
          <w:tcPr/>
          <w:p>
            <w:pPr>
              <w:pStyle w:val="Compact"/>
            </w:pPr>
            <w:r>
              <w:t xml:space="preserve">Schema IAM (utenti, ruoli, gruppi, associazioni)</w:t>
            </w:r>
          </w:p>
        </w:tc>
        <w:tc>
          <w:tcPr/>
          <w:p>
            <w:pPr>
              <w:pStyle w:val="Compact"/>
            </w:pPr>
            <w:r>
              <w:t xml:space="preserve">sì (drop iniziale)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</w:t>
            </w:r>
          </w:p>
        </w:tc>
        <w:tc>
          <w:tcPr/>
          <w:p>
            <w:pPr>
              <w:pStyle w:val="Compact"/>
            </w:pPr>
            <w:r>
              <w:t xml:space="preserve">Schema BC1:</w:t>
            </w:r>
            <w:r>
              <w:t xml:space="preserve"> </w:t>
            </w:r>
            <w:r>
              <w:rPr>
                <w:rStyle w:val="VerbatimChar"/>
              </w:rPr>
              <w:t xml:space="preserve">practice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client_data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card_data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practice_state_history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related_action</w:t>
            </w:r>
          </w:p>
        </w:tc>
        <w:tc>
          <w:tcPr/>
          <w:p>
            <w:pPr>
              <w:pStyle w:val="Compact"/>
            </w:pPr>
            <w:r>
              <w:t xml:space="preserve">sì</w:t>
            </w:r>
          </w:p>
        </w:tc>
      </w:tr>
      <w:tr>
        <w:tc>
          <w:tcPr/>
          <w:p>
            <w:pPr>
              <w:pStyle w:val="Compact"/>
            </w:pPr>
            <w:r>
              <w:t xml:space="preserve">V3</w:t>
            </w:r>
          </w:p>
        </w:tc>
        <w:tc>
          <w:tcPr/>
          <w:p>
            <w:pPr>
              <w:pStyle w:val="Compact"/>
            </w:pPr>
            <w:r>
              <w:t xml:space="preserve">Schema BC2:</w:t>
            </w:r>
            <w:r>
              <w:t xml:space="preserve"> </w:t>
            </w:r>
            <w:r>
              <w:rPr>
                <w:rStyle w:val="VerbatimChar"/>
              </w:rPr>
              <w:t xml:space="preserve">task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task_assignment_history</w:t>
            </w:r>
          </w:p>
        </w:tc>
        <w:tc>
          <w:tcPr/>
          <w:p>
            <w:pPr>
              <w:pStyle w:val="Compact"/>
            </w:pPr>
            <w:r>
              <w:t xml:space="preserve">sì</w:t>
            </w:r>
          </w:p>
        </w:tc>
      </w:tr>
      <w:tr>
        <w:tc>
          <w:tcPr/>
          <w:p>
            <w:pPr>
              <w:pStyle w:val="Compact"/>
            </w:pPr>
            <w:r>
              <w:t xml:space="preserve">V4</w:t>
            </w:r>
          </w:p>
        </w:tc>
        <w:tc>
          <w:tcPr/>
          <w:p>
            <w:pPr>
              <w:pStyle w:val="Compact"/>
            </w:pPr>
            <w:r>
              <w:t xml:space="preserve">Schema BC3:</w:t>
            </w:r>
            <w:r>
              <w:t xml:space="preserve"> </w:t>
            </w:r>
            <w:r>
              <w:rPr>
                <w:rStyle w:val="VerbatimChar"/>
              </w:rPr>
              <w:t xml:space="preserve">attachment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checklist_item_catalog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checklist_response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practice_outcome</w:t>
            </w:r>
          </w:p>
        </w:tc>
        <w:tc>
          <w:tcPr/>
          <w:p>
            <w:pPr>
              <w:pStyle w:val="Compact"/>
            </w:pPr>
            <w:r>
              <w:t xml:space="preserve">sì</w:t>
            </w:r>
          </w:p>
        </w:tc>
      </w:tr>
      <w:tr>
        <w:tc>
          <w:tcPr/>
          <w:p>
            <w:pPr>
              <w:pStyle w:val="Compact"/>
            </w:pPr>
            <w:r>
              <w:t xml:space="preserve">V5</w:t>
            </w:r>
          </w:p>
        </w:tc>
        <w:tc>
          <w:tcPr/>
          <w:p>
            <w:pPr>
              <w:pStyle w:val="Compact"/>
            </w:pPr>
            <w:r>
              <w:t xml:space="preserve">Schema BC4:</w:t>
            </w:r>
            <w:r>
              <w:t xml:space="preserve"> </w:t>
            </w:r>
            <w:r>
              <w:rPr>
                <w:rStyle w:val="VerbatimChar"/>
              </w:rPr>
              <w:t xml:space="preserve">bpm_inbound_message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bpm_outbound_message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event_outbox</w:t>
            </w:r>
          </w:p>
        </w:tc>
        <w:tc>
          <w:tcPr/>
          <w:p>
            <w:pPr>
              <w:pStyle w:val="Compact"/>
            </w:pPr>
            <w:r>
              <w:t xml:space="preserve">sì</w:t>
            </w:r>
          </w:p>
        </w:tc>
      </w:tr>
      <w:tr>
        <w:tc>
          <w:tcPr/>
          <w:p>
            <w:pPr>
              <w:pStyle w:val="Compact"/>
            </w:pPr>
            <w:r>
              <w:t xml:space="preserve">V6</w:t>
            </w:r>
          </w:p>
        </w:tc>
        <w:tc>
          <w:tcPr/>
          <w:p>
            <w:pPr>
              <w:pStyle w:val="Compact"/>
            </w:pPr>
            <w:r>
              <w:t xml:space="preserve">Schema BC6:</w:t>
            </w:r>
            <w:r>
              <w:t xml:space="preserve"> </w:t>
            </w:r>
            <w:r>
              <w:rPr>
                <w:rStyle w:val="VerbatimChar"/>
              </w:rPr>
              <w:t xml:space="preserve">signal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signal_state_history</w:t>
            </w:r>
          </w:p>
        </w:tc>
        <w:tc>
          <w:tcPr/>
          <w:p>
            <w:pPr>
              <w:pStyle w:val="Compact"/>
            </w:pPr>
            <w:r>
              <w:t xml:space="preserve">sì</w:t>
            </w:r>
          </w:p>
        </w:tc>
      </w:tr>
      <w:tr>
        <w:tc>
          <w:tcPr/>
          <w:p>
            <w:pPr>
              <w:pStyle w:val="Compact"/>
            </w:pPr>
            <w:r>
              <w:t xml:space="preserve">V7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audit_event</w:t>
            </w:r>
            <w:r>
              <w:t xml:space="preserve"> </w:t>
            </w:r>
            <w:r>
              <w:t xml:space="preserve">+ indici trasversali</w:t>
            </w:r>
          </w:p>
        </w:tc>
        <w:tc>
          <w:tcPr/>
          <w:p>
            <w:pPr>
              <w:pStyle w:val="Compact"/>
            </w:pPr>
            <w:r>
              <w:t xml:space="preserve">sì</w:t>
            </w:r>
          </w:p>
        </w:tc>
      </w:tr>
      <w:tr>
        <w:tc>
          <w:tcPr/>
          <w:p>
            <w:pPr>
              <w:pStyle w:val="Compact"/>
            </w:pPr>
            <w:r>
              <w:t xml:space="preserve">R__seed_roles_groups</w:t>
            </w:r>
          </w:p>
        </w:tc>
        <w:tc>
          <w:tcPr/>
          <w:p>
            <w:pPr>
              <w:pStyle w:val="Compact"/>
            </w:pPr>
            <w:r>
              <w:t xml:space="preserve">seed ruoli + gruppi base</w:t>
            </w:r>
          </w:p>
        </w:tc>
        <w:tc>
          <w:tcPr/>
          <w:p>
            <w:pPr>
              <w:pStyle w:val="Compact"/>
            </w:pPr>
            <w:r>
              <w:t xml:space="preserve">idempotente (UPSERT)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R__seed_checklist_catalog</w:t>
            </w:r>
          </w:p>
        </w:tc>
        <w:tc>
          <w:tcPr/>
          <w:p>
            <w:pPr>
              <w:pStyle w:val="Compact"/>
            </w:pPr>
            <w:r>
              <w:t xml:space="preserve">seed catalogo item checklist (Verbale, Carta)</w:t>
            </w:r>
          </w:p>
        </w:tc>
        <w:tc>
          <w:tcPr/>
          <w:p>
            <w:pPr>
              <w:pStyle w:val="Compact"/>
            </w:pPr>
            <w:r>
              <w:t xml:space="preserve">idempotente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R__seed_users_demo</w:t>
            </w:r>
          </w:p>
        </w:tc>
        <w:tc>
          <w:tcPr/>
          <w:p>
            <w:pPr>
              <w:pStyle w:val="Compact"/>
            </w:pPr>
            <w:r>
              <w:t xml:space="preserve">utenti demo POC (password BCrypt)</w:t>
            </w:r>
          </w:p>
        </w:tc>
        <w:tc>
          <w:tcPr/>
          <w:p>
            <w:pPr>
              <w:pStyle w:val="Compact"/>
            </w:pPr>
            <w:r>
              <w:t xml:space="preserve">idempotente;</w:t>
            </w:r>
            <w:r>
              <w:t xml:space="preserve"> </w:t>
            </w:r>
            <w:r>
              <w:rPr>
                <w:b/>
                <w:bCs/>
              </w:rPr>
              <w:t xml:space="preserve">solo POC</w:t>
            </w:r>
            <w:r>
              <w:t xml:space="preserve">, escluso in target via Flyway placeholder</w:t>
            </w:r>
          </w:p>
        </w:tc>
      </w:tr>
    </w:tbl>
    <w:bookmarkEnd w:id="10"/>
    <w:bookmarkStart w:id="11" w:name="X8a7e51d871b25e734fd80a5ec970c96f9edf07e"/>
    <w:p>
      <w:pPr>
        <w:pStyle w:val="Heading2"/>
      </w:pPr>
      <w:r>
        <w:t xml:space="preserve">3. Configurazione Flyway</w:t>
      </w:r>
    </w:p>
    <w:p>
      <w:pPr>
        <w:pStyle w:val="FirstParagraph"/>
      </w:pPr>
      <w:r>
        <w:rPr>
          <w:rStyle w:val="VerbatimChar"/>
        </w:rPr>
        <w:t xml:space="preserve">application.yml</w:t>
      </w:r>
      <w:r>
        <w:t xml:space="preserve"> </w:t>
      </w:r>
      <w:r>
        <w:t xml:space="preserve">(POC):</w:t>
      </w:r>
    </w:p>
    <w:p>
      <w:pPr>
        <w:pStyle w:val="SourceCode"/>
      </w:pPr>
      <w:r>
        <w:rPr>
          <w:rStyle w:val="FunctionTok"/>
        </w:rPr>
        <w:t xml:space="preserve">spring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datasource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jdbc:mariadb://mariadb:3306/anc?useUnicode=true&amp;characterEncoding=utf8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username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anc_app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${DB_PASSWORD}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flyway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baseline-on-migrate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locations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classpath:db/migration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placeholders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seed_demo_enabled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"true"</w:t>
      </w:r>
      <w:r>
        <w:rPr>
          <w:rStyle w:val="CommentTok"/>
        </w:rPr>
        <w:t xml:space="preserve">     # false in target</w:t>
      </w:r>
    </w:p>
    <w:p>
      <w:pPr>
        <w:pStyle w:val="FirstParagraph"/>
      </w:pPr>
      <w:r>
        <w:t xml:space="preserve">Le repeatable per i seed POC includono guard:</w:t>
      </w:r>
    </w:p>
    <w:p>
      <w:pPr>
        <w:pStyle w:val="SourceCode"/>
      </w:pPr>
      <w:r>
        <w:rPr>
          <w:rStyle w:val="CommentTok"/>
        </w:rPr>
        <w:t xml:space="preserve">-- R__seed_users_demo.sql</w:t>
      </w:r>
      <w:r>
        <w:br/>
      </w:r>
      <w:r>
        <w:rPr>
          <w:rStyle w:val="CommentTok"/>
        </w:rPr>
        <w:t xml:space="preserve">-- Eseguito solo se placeholder seed_demo_enabled = true (controllato applicativamente)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app_user (username, password_hash, full_name, active)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.)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DUPLICATE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full_name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(full_name);</w:t>
      </w:r>
    </w:p>
    <w:bookmarkEnd w:id="11"/>
    <w:bookmarkStart w:id="12" w:name="X0c6361e6e475a257f5d4a7d03355a89f3dbe75b"/>
    <w:p>
      <w:pPr>
        <w:pStyle w:val="Heading2"/>
      </w:pPr>
      <w:r>
        <w:t xml:space="preserve">4. Convenzioni di scrittura migrazioni</w:t>
      </w:r>
    </w:p>
    <w:p>
      <w:pPr>
        <w:pStyle w:val="Compact"/>
        <w:numPr>
          <w:ilvl w:val="0"/>
          <w:numId w:val="1001"/>
        </w:numPr>
      </w:pPr>
      <w:r>
        <w:t xml:space="preserve">Una migrazione = una unità logica (un BC o una funzionalità).</w:t>
      </w:r>
    </w:p>
    <w:p>
      <w:pPr>
        <w:pStyle w:val="Compact"/>
        <w:numPr>
          <w:ilvl w:val="0"/>
          <w:numId w:val="1001"/>
        </w:numPr>
      </w:pPr>
      <w:r>
        <w:t xml:space="preserve">Mai modificare una migrazione già applicata in ambiente condiviso → creare una nuova versione</w:t>
      </w:r>
      <w:r>
        <w:t xml:space="preserve"> </w:t>
      </w:r>
      <w:r>
        <w:rPr>
          <w:rStyle w:val="VerbatimChar"/>
        </w:rPr>
        <w:t xml:space="preserve">V&lt;n+1&gt;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Vincoli</w:t>
      </w:r>
      <w:r>
        <w:t xml:space="preserve"> </w:t>
      </w:r>
      <w:r>
        <w:rPr>
          <w:rStyle w:val="VerbatimChar"/>
        </w:rPr>
        <w:t xml:space="preserve">FK</w:t>
      </w:r>
      <w:r>
        <w:t xml:space="preserve"> </w:t>
      </w:r>
      <w:r>
        <w:t xml:space="preserve">aggiunti contestualmente alle tabelle (non in migrazione separata) per evitare stati intermedi inconsistenti.</w:t>
      </w:r>
    </w:p>
    <w:p>
      <w:pPr>
        <w:pStyle w:val="Compact"/>
        <w:numPr>
          <w:ilvl w:val="0"/>
          <w:numId w:val="1001"/>
        </w:numPr>
      </w:pPr>
      <w:r>
        <w:t xml:space="preserve">Indici secondari nella stessa migrazione che crea la tabella.</w:t>
      </w:r>
    </w:p>
    <w:p>
      <w:pPr>
        <w:pStyle w:val="Compact"/>
        <w:numPr>
          <w:ilvl w:val="0"/>
          <w:numId w:val="1001"/>
        </w:numPr>
      </w:pPr>
      <w:r>
        <w:t xml:space="preserve">Naming: tabelle/colonne</w:t>
      </w:r>
      <w:r>
        <w:t xml:space="preserve"> </w:t>
      </w:r>
      <w:r>
        <w:rPr>
          <w:rStyle w:val="VerbatimChar"/>
        </w:rPr>
        <w:t xml:space="preserve">snake_case</w:t>
      </w:r>
      <w:r>
        <w:t xml:space="preserve">, vincoli con prefisso (</w:t>
      </w:r>
      <w:r>
        <w:rPr>
          <w:rStyle w:val="VerbatimChar"/>
        </w:rPr>
        <w:t xml:space="preserve">pk_</w:t>
      </w:r>
      <w:r>
        <w:t xml:space="preserve">,</w:t>
      </w:r>
      <w:r>
        <w:t xml:space="preserve"> </w:t>
      </w:r>
      <w:r>
        <w:rPr>
          <w:rStyle w:val="VerbatimChar"/>
        </w:rPr>
        <w:t xml:space="preserve">fk_</w:t>
      </w:r>
      <w:r>
        <w:t xml:space="preserve">,</w:t>
      </w:r>
      <w:r>
        <w:t xml:space="preserve"> </w:t>
      </w:r>
      <w:r>
        <w:rPr>
          <w:rStyle w:val="VerbatimChar"/>
        </w:rPr>
        <w:t xml:space="preserve">uk_</w:t>
      </w:r>
      <w:r>
        <w:t xml:space="preserve">,</w:t>
      </w:r>
      <w:r>
        <w:t xml:space="preserve"> </w:t>
      </w:r>
      <w:r>
        <w:rPr>
          <w:rStyle w:val="VerbatimChar"/>
        </w:rPr>
        <w:t xml:space="preserve">idx_</w:t>
      </w:r>
      <w:r>
        <w:t xml:space="preserve">,</w:t>
      </w:r>
      <w:r>
        <w:t xml:space="preserve"> </w:t>
      </w:r>
      <w:r>
        <w:rPr>
          <w:rStyle w:val="VerbatimChar"/>
        </w:rPr>
        <w:t xml:space="preserve">chk_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Charset/collation esplicitati a livello tabella.</w:t>
      </w:r>
    </w:p>
    <w:bookmarkEnd w:id="12"/>
    <w:bookmarkStart w:id="13" w:name="Xfca7008682d1fd526c4b0d59c3af6ed330d8e2f"/>
    <w:p>
      <w:pPr>
        <w:pStyle w:val="Heading2"/>
      </w:pPr>
      <w:r>
        <w:t xml:space="preserve">5. Strategia per ambienti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Ambiente</w:t>
            </w:r>
          </w:p>
        </w:tc>
        <w:tc>
          <w:tcPr/>
          <w:p>
            <w:pPr>
              <w:pStyle w:val="Compact"/>
            </w:pPr>
            <w:r>
              <w:t xml:space="preserve">Comportamento Flyway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Sviluppo locale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flyway:enabled=true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clean</w:t>
            </w:r>
            <w:r>
              <w:t xml:space="preserve"> </w:t>
            </w:r>
            <w:r>
              <w:t xml:space="preserve">consentito (drop+recreate ok)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POC condivisa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flyway:enabled=true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clean-disabled=true</w:t>
            </w:r>
            <w:r>
              <w:t xml:space="preserve">; seed demo abilitato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flyway:enabled=true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clean-disabled=true</w:t>
            </w:r>
            <w:r>
              <w:t xml:space="preserve">, seed demo</w:t>
            </w:r>
            <w:r>
              <w:t xml:space="preserve"> </w:t>
            </w:r>
            <w:r>
              <w:rPr>
                <w:b/>
                <w:bCs/>
              </w:rPr>
              <w:t xml:space="preserve">disabilitato</w:t>
            </w:r>
          </w:p>
        </w:tc>
      </w:tr>
    </w:tbl>
    <w:bookmarkEnd w:id="13"/>
    <w:bookmarkStart w:id="14" w:name="Xcf69da2f2a2007554faf25d0b21e98b825980e6"/>
    <w:p>
      <w:pPr>
        <w:pStyle w:val="Heading2"/>
      </w:pPr>
      <w:r>
        <w:t xml:space="preserve">6. Rollback strategy (POC)</w:t>
      </w:r>
    </w:p>
    <w:p>
      <w:pPr>
        <w:pStyle w:val="Compact"/>
        <w:numPr>
          <w:ilvl w:val="0"/>
          <w:numId w:val="1002"/>
        </w:numPr>
      </w:pPr>
      <w:r>
        <w:t xml:space="preserve">POC: rollback non automatizzato. In caso di necessità → ripristino DB da volume Docker o re-create con</w:t>
      </w:r>
      <w:r>
        <w:t xml:space="preserve"> </w:t>
      </w:r>
      <w:r>
        <w:rPr>
          <w:rStyle w:val="VerbatimChar"/>
        </w:rPr>
        <w:t xml:space="preserve">clean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Target: ogni migrazione "rischiosa" (es. drop colonna) viene preceduta da migrazione di compatibilità (deprecation window), seguita dalla rimozione effettiva. Non applicabile in POC.</w:t>
      </w:r>
    </w:p>
    <w:bookmarkEnd w:id="14"/>
    <w:bookmarkStart w:id="16" w:name="X3b00e87f24802ba943ce226b7fecc3df51c9b8e"/>
    <w:p>
      <w:pPr>
        <w:pStyle w:val="Heading2"/>
      </w:pPr>
      <w:r>
        <w:t xml:space="preserve">7. Seed minimo iniziale (anteprima)</w:t>
      </w:r>
    </w:p>
    <w:p>
      <w:pPr>
        <w:pStyle w:val="FirstParagraph"/>
      </w:pPr>
      <w:r>
        <w:t xml:space="preserve">Dettagliato nel deliverable</w:t>
      </w:r>
      <w:r>
        <w:t xml:space="preserve"> </w:t>
      </w:r>
      <w:hyperlink r:id="rId15">
        <w:r>
          <w:rPr>
            <w:rStyle w:val="Hyperlink"/>
          </w:rPr>
          <w:t xml:space="preserve">06_Dati_POC</w:t>
        </w:r>
      </w:hyperlink>
      <w:r>
        <w:t xml:space="preserve">. Include:</w:t>
      </w:r>
    </w:p>
    <w:p>
      <w:pPr>
        <w:pStyle w:val="Compact"/>
        <w:numPr>
          <w:ilvl w:val="0"/>
          <w:numId w:val="1003"/>
        </w:numPr>
      </w:pPr>
      <w:r>
        <w:t xml:space="preserve">3 ruoli:</w:t>
      </w:r>
      <w:r>
        <w:t xml:space="preserve"> </w:t>
      </w:r>
      <w:r>
        <w:rPr>
          <w:rStyle w:val="VerbatimChar"/>
        </w:rPr>
        <w:t xml:space="preserve">OPERATORE_ANC</w:t>
      </w:r>
      <w:r>
        <w:t xml:space="preserve">,</w:t>
      </w:r>
      <w:r>
        <w:t xml:space="preserve"> </w:t>
      </w:r>
      <w:r>
        <w:rPr>
          <w:rStyle w:val="VerbatimChar"/>
        </w:rPr>
        <w:t xml:space="preserve">SUPERVISORE_ANC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1 gruppo:</w:t>
      </w:r>
      <w:r>
        <w:t xml:space="preserve"> </w:t>
      </w:r>
      <w:r>
        <w:rPr>
          <w:rStyle w:val="VerbatimChar"/>
        </w:rPr>
        <w:t xml:space="preserve">GRUPPO_OPERATORE_ANC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4 utenti demo (operatori + supervisore + admin) con password BCrypt;</w:t>
      </w:r>
    </w:p>
    <w:p>
      <w:pPr>
        <w:pStyle w:val="Compact"/>
        <w:numPr>
          <w:ilvl w:val="0"/>
          <w:numId w:val="1003"/>
        </w:numPr>
      </w:pPr>
      <w:r>
        <w:t xml:space="preserve">catalogo checklist Verbale (≈8 item) e Carta (≈6 item) con causali KO baseline;</w:t>
      </w:r>
    </w:p>
    <w:p>
      <w:pPr>
        <w:pStyle w:val="Compact"/>
        <w:numPr>
          <w:ilvl w:val="0"/>
          <w:numId w:val="1003"/>
        </w:numPr>
      </w:pPr>
      <w:r>
        <w:t xml:space="preserve">nessuna pratica seed in DB (le pratiche demo si creano via stub BPM, esercitando il workflow reale).</w:t>
      </w:r>
    </w:p>
    <w:bookmarkEnd w:id="16"/>
    <w:bookmarkStart w:id="17" w:name="X71ff924f198f80e1d592c1fb6ac9919029fb328"/>
    <w:p>
      <w:pPr>
        <w:pStyle w:val="Heading2"/>
      </w:pPr>
      <w:r>
        <w:t xml:space="preserve">8. Workflow CI/CD migrazioni (POC)</w:t>
      </w:r>
    </w:p>
    <w:p>
      <w:pPr>
        <w:pStyle w:val="Compact"/>
        <w:numPr>
          <w:ilvl w:val="0"/>
          <w:numId w:val="1004"/>
        </w:numPr>
      </w:pPr>
      <w:r>
        <w:t xml:space="preserve">Sviluppatore crea</w:t>
      </w:r>
      <w:r>
        <w:t xml:space="preserve"> </w:t>
      </w:r>
      <w:r>
        <w:rPr>
          <w:rStyle w:val="VerbatimChar"/>
        </w:rPr>
        <w:t xml:space="preserve">V&lt;n&gt;__nome.sql</w:t>
      </w:r>
      <w:r>
        <w:t xml:space="preserve"> </w:t>
      </w:r>
      <w:r>
        <w:t xml:space="preserve">in branch.</w:t>
      </w:r>
    </w:p>
    <w:p>
      <w:pPr>
        <w:pStyle w:val="Compact"/>
        <w:numPr>
          <w:ilvl w:val="0"/>
          <w:numId w:val="1004"/>
        </w:numPr>
      </w:pPr>
      <w:r>
        <w:t xml:space="preserve">Pipeline esegue</w:t>
      </w:r>
      <w:r>
        <w:t xml:space="preserve"> </w:t>
      </w:r>
      <w:r>
        <w:rPr>
          <w:rStyle w:val="VerbatimChar"/>
        </w:rPr>
        <w:t xml:space="preserve">mvn flyway:validate</w:t>
      </w:r>
      <w:r>
        <w:t xml:space="preserve"> </w:t>
      </w:r>
      <w:r>
        <w:t xml:space="preserve">su DB ephemeral.</w:t>
      </w:r>
    </w:p>
    <w:p>
      <w:pPr>
        <w:pStyle w:val="Compact"/>
        <w:numPr>
          <w:ilvl w:val="0"/>
          <w:numId w:val="1004"/>
        </w:numPr>
      </w:pPr>
      <w:r>
        <w:t xml:space="preserve">Su merge → deploy POC esegue</w:t>
      </w:r>
      <w:r>
        <w:t xml:space="preserve"> </w:t>
      </w:r>
      <w:r>
        <w:rPr>
          <w:rStyle w:val="VerbatimChar"/>
        </w:rPr>
        <w:t xml:space="preserve">flyway:migrate</w:t>
      </w:r>
      <w:r>
        <w:t xml:space="preserve"> </w:t>
      </w:r>
      <w:r>
        <w:t xml:space="preserve">automaticamente (idempotente).</w:t>
      </w:r>
    </w:p>
    <w:p>
      <w:pPr>
        <w:pStyle w:val="Compact"/>
        <w:numPr>
          <w:ilvl w:val="0"/>
          <w:numId w:val="1004"/>
        </w:numPr>
      </w:pPr>
      <w:r>
        <w:t xml:space="preserve">Tag versione applicativa coincide con max migration version.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06_Dati_POC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06_Dati_POC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2026-05-12T17:56:43Z</dcterms:created>
  <dcterms:modified xsi:type="dcterms:W3CDTF">2026-05-12T17:56:43Z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