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0.6 - Mise à jour fonctionnelle à valider</w:t>
      </w:r>
    </w:p>
    <w:p>
      <w:pPr>
        <w:jc w:val="center"/>
      </w:pPr>
      <w:r>
        <w:rPr>
          <w:rFonts w:ascii="Calibri" w:hAnsi="Calibri"/>
          <w:i/>
          <w:color w:val="6F7D76"/>
          <w:sz w:val="20"/>
        </w:rPr>
        <w:t>État fonctionnel du 5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Administrer une organisation</w:t>
      </w:r>
    </w:p>
    <w:p>
      <w:pPr>
        <w:spacing w:after="100"/>
        <w:ind w:left="216"/>
      </w:pPr>
      <w:r>
        <w:rPr>
          <w:rFonts w:ascii="Calibri" w:hAnsi="Calibri"/>
          <w:color w:val="173F35"/>
          <w:sz w:val="21"/>
        </w:rPr>
        <w:t>9. Mon compte et session</w:t>
      </w:r>
    </w:p>
    <w:p>
      <w:pPr>
        <w:spacing w:after="100"/>
        <w:ind w:left="216"/>
      </w:pPr>
      <w:r>
        <w:rPr>
          <w:rFonts w:ascii="Calibri" w:hAnsi="Calibri"/>
          <w:color w:val="173F35"/>
          <w:sz w:val="21"/>
        </w:rPr>
        <w:t>10. Administration de la plateforme</w:t>
      </w:r>
    </w:p>
    <w:p>
      <w:pPr>
        <w:spacing w:after="100"/>
        <w:ind w:left="216"/>
      </w:pPr>
      <w:r>
        <w:rPr>
          <w:rFonts w:ascii="Calibri" w:hAnsi="Calibri"/>
          <w:color w:val="173F35"/>
          <w:sz w:val="21"/>
        </w:rPr>
        <w:t>11. Dépannage de premier niveau</w:t>
      </w:r>
    </w:p>
    <w:p>
      <w:pPr>
        <w:spacing w:after="100"/>
        <w:ind w:left="216"/>
      </w:pPr>
      <w:r>
        <w:rPr>
          <w:rFonts w:ascii="Calibri" w:hAnsi="Calibri"/>
          <w:color w:val="173F35"/>
          <w:sz w:val="21"/>
        </w:rPr>
        <w:t>12. Glossaire</w:t>
      </w:r>
    </w:p>
    <w:p>
      <w:pPr>
        <w:spacing w:after="100"/>
        <w:ind w:left="216"/>
      </w:pPr>
      <w:r>
        <w:rPr>
          <w:rFonts w:ascii="Calibri" w:hAnsi="Calibri"/>
          <w:color w:val="173F35"/>
          <w:sz w:val="21"/>
        </w:rPr>
        <w:t>13.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 prospect dans le pipeline, sans contourner la permission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rappels, opportunités, automatisations commerciales et la facturation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imports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et confirmer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2" name="Picture 2"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2"/>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3" name="Picture 3"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3"/>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4" name="Picture 4"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4"/>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Administrer une organisation</w:t>
      </w:r>
    </w:p>
    <w:p>
      <w:pPr>
        <w:pStyle w:val="Heading2"/>
      </w:pPr>
      <w:r>
        <w:t>8.1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8.2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8.3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8.4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9.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10. Administration de la plateforme</w:t>
      </w:r>
    </w:p>
    <w:p>
      <w:r>
        <w:rPr>
          <w:rFonts w:ascii="Calibri" w:hAnsi="Calibri"/>
        </w:rPr>
        <w:t>Cette section s'adresse uniquement aux administrateurs de plateforme.</w:t>
      </w:r>
    </w:p>
    <w:p>
      <w:pPr>
        <w:pStyle w:val="Heading2"/>
      </w:pPr>
      <w:r>
        <w:t>10.1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10.2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11.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1"/>
      </w:pPr>
      <w:r>
        <w:t>12.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13.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0.6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