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0.1 - Première édition à valider</w:t>
      </w:r>
    </w:p>
    <w:p>
      <w:pPr>
        <w:jc w:val="center"/>
      </w:pPr>
      <w:r>
        <w:rPr>
          <w:rFonts w:ascii="Calibri" w:hAnsi="Calibri"/>
          <w:i/>
          <w:color w:val="6F7D76"/>
          <w:sz w:val="20"/>
        </w:rPr>
        <w:t>État fonctionnel du 25 août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Documenter les sources et acquisitions</w:t>
      </w:r>
    </w:p>
    <w:p>
      <w:pPr>
        <w:spacing w:after="100"/>
        <w:ind w:left="216"/>
      </w:pPr>
      <w:r>
        <w:rPr>
          <w:rFonts w:ascii="Calibri" w:hAnsi="Calibri"/>
          <w:color w:val="173F35"/>
          <w:sz w:val="21"/>
        </w:rPr>
        <w:t>6. Conservation et déclarations d'import</w:t>
      </w:r>
    </w:p>
    <w:p>
      <w:pPr>
        <w:spacing w:after="100"/>
        <w:ind w:left="216"/>
      </w:pPr>
      <w:r>
        <w:rPr>
          <w:rFonts w:ascii="Calibri" w:hAnsi="Calibri"/>
          <w:color w:val="173F35"/>
          <w:sz w:val="21"/>
        </w:rPr>
        <w:t>7. Administrer une organisation</w:t>
      </w:r>
    </w:p>
    <w:p>
      <w:pPr>
        <w:spacing w:after="100"/>
        <w:ind w:left="216"/>
      </w:pPr>
      <w:r>
        <w:rPr>
          <w:rFonts w:ascii="Calibri" w:hAnsi="Calibri"/>
          <w:color w:val="173F35"/>
          <w:sz w:val="21"/>
        </w:rPr>
        <w:t>8. Mon compte et session</w:t>
      </w:r>
    </w:p>
    <w:p>
      <w:pPr>
        <w:spacing w:after="100"/>
        <w:ind w:left="216"/>
      </w:pPr>
      <w:r>
        <w:rPr>
          <w:rFonts w:ascii="Calibri" w:hAnsi="Calibri"/>
          <w:color w:val="173F35"/>
          <w:sz w:val="21"/>
        </w:rPr>
        <w:t>9. Administration de la plateforme</w:t>
      </w:r>
    </w:p>
    <w:p>
      <w:pPr>
        <w:spacing w:after="100"/>
        <w:ind w:left="216"/>
      </w:pPr>
      <w:r>
        <w:rPr>
          <w:rFonts w:ascii="Calibri" w:hAnsi="Calibri"/>
          <w:color w:val="173F35"/>
          <w:sz w:val="21"/>
        </w:rPr>
        <w:t>10. Dépannage de premier niveau</w:t>
      </w:r>
    </w:p>
    <w:p>
      <w:pPr>
        <w:spacing w:after="100"/>
        <w:ind w:left="216"/>
      </w:pPr>
      <w:r>
        <w:rPr>
          <w:rFonts w:ascii="Calibri" w:hAnsi="Calibri"/>
          <w:color w:val="173F35"/>
          <w:sz w:val="21"/>
        </w:rPr>
        <w:t>11. Glossaire</w:t>
      </w:r>
    </w:p>
    <w:p>
      <w:pPr>
        <w:spacing w:after="100"/>
        <w:ind w:left="216"/>
      </w:pPr>
      <w:r>
        <w:rPr>
          <w:rFonts w:ascii="Calibri" w:hAnsi="Calibri"/>
          <w:color w:val="173F35"/>
          <w:sz w:val="21"/>
        </w:rPr>
        <w:t>12.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Note de transition : le nom cible du produit est Marketteo CRM. Certains écrans du dépôt affichent encore « Prospect CRM ». Les procédures de ce manuel reprennent les libellés visibles lorsqu'ils sont nécessaires pour trouver une commande.</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des établissements ou créer un prospect manuellement ;</w:t>
      </w:r>
    </w:p>
    <w:p>
      <w:pPr>
        <w:pStyle w:val="ListNumber"/>
      </w:pPr>
      <w:r>
        <w:rPr>
          <w:rFonts w:ascii="Calibri" w:hAnsi="Calibri"/>
        </w:rPr>
        <w:t>ouvrir la fiche du prospect et compléter son profil ;</w:t>
      </w:r>
    </w:p>
    <w:p>
      <w:pPr>
        <w:pStyle w:val="ListNumber"/>
      </w:pPr>
      <w:r>
        <w:rPr>
          <w:rFonts w:ascii="Calibri" w:hAnsi="Calibri"/>
        </w:rPr>
        <w:t>ajouter les personnes et canaux de contact obtenus indépendamment ;</w:t>
      </w:r>
    </w:p>
    <w:p>
      <w:pPr>
        <w:pStyle w:val="ListNumber"/>
      </w:pPr>
      <w:r>
        <w:rPr>
          <w:rFonts w:ascii="Calibri" w:hAnsi="Calibri"/>
        </w:rPr>
        <w:t>vérifier la permission avant toute prise de contact.</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Le bouton « Exporter Excel » des résultats Google est désactivé.</w:t>
      </w:r>
    </w:p>
    <w:p>
      <w:pPr>
        <w:pStyle w:val="ListBullet"/>
      </w:pPr>
      <w:r>
        <w:rPr>
          <w:rFonts w:ascii="Calibri" w:hAnsi="Calibri"/>
        </w:rPr>
        <w:t>Une déclaration d'import CSV enregistre l'intention et le schéma ; aucun fichier n'est encore téléversé ou traité.</w:t>
      </w:r>
    </w:p>
    <w:p>
      <w:pPr>
        <w:pStyle w:val="ListBullet"/>
      </w:pPr>
      <w:r>
        <w:rPr>
          <w:rFonts w:ascii="Calibri" w:hAnsi="Calibri"/>
        </w:rPr>
        <w:t>Le pipeline commercial complet, les tâches, rappels, opportunités et la facturation ne font pas partie de cette édition.</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et acquisitions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et revue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et déclarations d'import</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déclaration, création de hold</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saisissez la latitude et la longitude du centre de recherche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pPr>
        <w:pStyle w:val="Heading2"/>
      </w:pPr>
      <w:r>
        <w:t>3.2 Lire et filtrer les résultats</w:t>
      </w:r>
    </w:p>
    <w:p>
      <w:r>
        <w:rPr>
          <w:rFonts w:ascii="Calibri" w:hAnsi="Calibri"/>
        </w:rPr>
        <w:t>Le tableau indique l'entreprise, la localisation, la distance, l'état et un lien d'ouverture dans Google Maps.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sélectionnez « Ajouter » dans la ligne voulue ;</w:t>
      </w:r>
    </w:p>
    <w:p>
      <w:pPr>
        <w:pStyle w:val="ListNumber"/>
      </w:pPr>
      <w:r>
        <w:rPr>
          <w:rFonts w:ascii="Calibri" w:hAnsi="Calibri"/>
        </w:rPr>
        <w:t>attendez le résultat : « Ajouté » confirme la création et « Déjà au CRM » indique qu'un prospect correspondant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pStyle w:val="Heading1"/>
      </w:pPr>
      <w:r>
        <w:t>4. Gérer les prospects</w:t>
      </w:r>
    </w:p>
    <w:p>
      <w:pPr>
        <w:pStyle w:val="Heading2"/>
      </w:pPr>
      <w:r>
        <w:t>4.1 Consulter le portefeuille</w:t>
      </w:r>
    </w:p>
    <w:p>
      <w:r>
        <w:rPr>
          <w:rFonts w:ascii="Calibri" w:hAnsi="Calibri"/>
        </w:rPr>
        <w:t>Ouvrez « Prospects ». La liste montre le nom interne, l'origine, le secteur et la ville lorsqu'ils sont renseignés, la priorité, la dernière mise à jour et l'état archivé.</w:t>
      </w:r>
    </w:p>
    <w:p>
      <w:pPr>
        <w:pStyle w:val="ListBullet"/>
      </w:pPr>
      <w:r>
        <w:rPr>
          <w:rFonts w:ascii="Calibri" w:hAnsi="Calibri"/>
        </w:rPr>
        <w:t>Recherchez par nom, secteur ou ville,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pStyle w:val="Heading1"/>
      </w:pPr>
      <w:r>
        <w:t>5.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5.1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5.2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6. Conservation et déclarations d'import</w:t>
      </w:r>
    </w:p>
    <w:p>
      <w:r>
        <w:rPr>
          <w:rFonts w:ascii="Calibri" w:hAnsi="Calibri"/>
        </w:rPr>
        <w:t>Ouvrez « Conservation et imports ». Les archivages sont logiques : ils ne suppriment pas physiquement les données.</w:t>
      </w:r>
    </w:p>
    <w:p>
      <w:pPr>
        <w:pStyle w:val="Heading2"/>
      </w:pPr>
      <w:r>
        <w:t>6.1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6.2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6.3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 Le traitement réel du CSV sera documenté lorsqu'il sera disponible.</w:t>
      </w:r>
    </w:p>
    <w:p>
      <w:pPr>
        <w:pStyle w:val="Heading1"/>
      </w:pPr>
      <w:r>
        <w:t>7. Administrer une organisation</w:t>
      </w:r>
    </w:p>
    <w:p>
      <w:pPr>
        <w:pStyle w:val="Heading2"/>
      </w:pPr>
      <w:r>
        <w:t>7.1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7.2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7.3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7.4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pStyle w:val="Heading1"/>
      </w:pPr>
      <w:r>
        <w:t>8.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9. Administration de la plateforme</w:t>
      </w:r>
    </w:p>
    <w:p>
      <w:r>
        <w:rPr>
          <w:rFonts w:ascii="Calibri" w:hAnsi="Calibri"/>
        </w:rPr>
        <w:t>Cette section s'adresse uniquement aux administrateurs de plateforme.</w:t>
      </w:r>
    </w:p>
    <w:p>
      <w:pPr>
        <w:pStyle w:val="Heading2"/>
      </w:pPr>
      <w:r>
        <w:t>9.1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9.2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10.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1"/>
      </w:pPr>
      <w:r>
        <w:t>11. Glossaire</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12.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0.1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