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0.7 - Édition 3.3 préparée pour recette fonctionnelle</w:t>
      </w:r>
    </w:p>
    <w:p>
      <w:pPr>
        <w:jc w:val="center"/>
      </w:pPr>
      <w:r>
        <w:rPr>
          <w:rFonts w:ascii="Calibri" w:hAnsi="Calibri"/>
          <w:i/>
          <w:color w:val="6F7D76"/>
          <w:sz w:val="20"/>
        </w:rPr>
        <w:t>État fonctionnel du 5 septembre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Suivre le pipeline commercial</w:t>
      </w:r>
    </w:p>
    <w:p>
      <w:pPr>
        <w:spacing w:after="100"/>
        <w:ind w:left="216"/>
      </w:pPr>
      <w:r>
        <w:rPr>
          <w:rFonts w:ascii="Calibri" w:hAnsi="Calibri"/>
          <w:color w:val="173F35"/>
          <w:sz w:val="21"/>
        </w:rPr>
        <w:t>6. Documenter les sources et acquisitions</w:t>
      </w:r>
    </w:p>
    <w:p>
      <w:pPr>
        <w:spacing w:after="100"/>
        <w:ind w:left="216"/>
      </w:pPr>
      <w:r>
        <w:rPr>
          <w:rFonts w:ascii="Calibri" w:hAnsi="Calibri"/>
          <w:color w:val="173F35"/>
          <w:sz w:val="21"/>
        </w:rPr>
        <w:t>7. Conservation et déclarations d'import</w:t>
      </w:r>
    </w:p>
    <w:p>
      <w:pPr>
        <w:spacing w:after="100"/>
        <w:ind w:left="216"/>
      </w:pPr>
      <w:r>
        <w:rPr>
          <w:rFonts w:ascii="Calibri" w:hAnsi="Calibri"/>
          <w:color w:val="173F35"/>
          <w:sz w:val="21"/>
        </w:rPr>
        <w:t>8. Administrer une organisation</w:t>
      </w:r>
    </w:p>
    <w:p>
      <w:pPr>
        <w:spacing w:after="100"/>
        <w:ind w:left="216"/>
      </w:pPr>
      <w:r>
        <w:rPr>
          <w:rFonts w:ascii="Calibri" w:hAnsi="Calibri"/>
          <w:color w:val="173F35"/>
          <w:sz w:val="21"/>
        </w:rPr>
        <w:t>9. Mon compte et session</w:t>
      </w:r>
    </w:p>
    <w:p>
      <w:pPr>
        <w:spacing w:after="100"/>
        <w:ind w:left="216"/>
      </w:pPr>
      <w:r>
        <w:rPr>
          <w:rFonts w:ascii="Calibri" w:hAnsi="Calibri"/>
          <w:color w:val="173F35"/>
          <w:sz w:val="21"/>
        </w:rPr>
        <w:t>10. Administration de la plateforme</w:t>
      </w:r>
    </w:p>
    <w:p>
      <w:pPr>
        <w:spacing w:after="100"/>
        <w:ind w:left="216"/>
      </w:pPr>
      <w:r>
        <w:rPr>
          <w:rFonts w:ascii="Calibri" w:hAnsi="Calibri"/>
          <w:color w:val="173F35"/>
          <w:sz w:val="21"/>
        </w:rPr>
        <w:t>11. Dépannage de premier niveau</w:t>
      </w:r>
    </w:p>
    <w:p>
      <w:pPr>
        <w:spacing w:after="100"/>
        <w:ind w:left="216"/>
      </w:pPr>
      <w:r>
        <w:rPr>
          <w:rFonts w:ascii="Calibri" w:hAnsi="Calibri"/>
          <w:color w:val="173F35"/>
          <w:sz w:val="21"/>
        </w:rPr>
        <w:t>12. Glossaire</w:t>
      </w:r>
    </w:p>
    <w:p>
      <w:pPr>
        <w:spacing w:after="100"/>
        <w:ind w:left="216"/>
      </w:pPr>
      <w:r>
        <w:rPr>
          <w:rFonts w:ascii="Calibri" w:hAnsi="Calibri"/>
          <w:color w:val="173F35"/>
          <w:sz w:val="21"/>
        </w:rPr>
        <w:t>13.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 xml:space="preserve">Les libellés visibles de l'application utilisent désormais la marque Marketteo CRM. Les identifiants techniques historiques peuvent encore contenir </w:t>
      </w:r>
      <w:r>
        <w:rPr>
          <w:rFonts w:ascii="Calibri" w:hAnsi="Calibri"/>
          <w:color w:val="173F35"/>
          <w:sz w:val="20"/>
          <w:shd w:fill="F8F2E7"/>
        </w:rPr>
        <w:t>prospect</w:t>
      </w:r>
      <w:r>
        <w:rPr>
          <w:rFonts w:ascii="Calibri" w:hAnsi="Calibri"/>
          <w:color w:val="173F35"/>
          <w:sz w:val="20"/>
        </w:rPr>
        <w:t xml:space="preserve"> ou </w:t>
      </w:r>
      <w:r>
        <w:rPr>
          <w:rFonts w:ascii="Calibri" w:hAnsi="Calibri"/>
          <w:color w:val="173F35"/>
          <w:sz w:val="20"/>
          <w:shd w:fill="F8F2E7"/>
        </w:rPr>
        <w:t>LeadGenerator</w:t>
      </w:r>
      <w:r>
        <w:rPr>
          <w:rFonts w:ascii="Calibri" w:hAnsi="Calibri"/>
          <w:color w:val="173F35"/>
          <w:sz w:val="20"/>
        </w:rPr>
        <w:t xml:space="preserve"> afin de préserver les installations existantes.</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importer ou créer un prospect manuellement ;</w:t>
      </w:r>
    </w:p>
    <w:p>
      <w:pPr>
        <w:pStyle w:val="ListNumber"/>
      </w:pPr>
      <w:r>
        <w:rPr>
          <w:rFonts w:ascii="Calibri" w:hAnsi="Calibri"/>
        </w:rPr>
        <w:t>compléter le profil CRM, les personnes et les canaux obtenus indépendamment ;</w:t>
      </w:r>
    </w:p>
    <w:p>
      <w:pPr>
        <w:pStyle w:val="ListNumber"/>
      </w:pPr>
      <w:r>
        <w:rPr>
          <w:rFonts w:ascii="Calibri" w:hAnsi="Calibri"/>
        </w:rPr>
        <w:t>consigner les interactions déjà réalisées dans la chronologie commerciale ;</w:t>
      </w:r>
    </w:p>
    <w:p>
      <w:pPr>
        <w:pStyle w:val="ListNumber"/>
      </w:pPr>
      <w:r>
        <w:rPr>
          <w:rFonts w:ascii="Calibri" w:hAnsi="Calibri"/>
        </w:rPr>
        <w:t>suivre le prospect dans le pipeline, sans contourner la permission de contact.</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Une limite opérationnelle est appliquée par journée UTC : 20 recherches par utilisateur dans l'organisation active et 100 par organisation. Elle protège le budget technique Google ; ce n'est pas encore un forfait commercial ni une facture.</w:t>
      </w:r>
    </w:p>
    <w:p>
      <w:pPr>
        <w:pStyle w:val="ListBullet"/>
      </w:pPr>
      <w:r>
        <w:rPr>
          <w:rFonts w:ascii="Calibri" w:hAnsi="Calibri"/>
        </w:rPr>
        <w:t>Le bouton « Exporter Excel » des résultats Google est désactivé.</w:t>
      </w:r>
    </w:p>
    <w:p>
      <w:pPr>
        <w:pStyle w:val="ListBullet"/>
      </w:pPr>
      <w:r>
        <w:rPr>
          <w:rFonts w:ascii="Calibri" w:hAnsi="Calibri"/>
        </w:rPr>
        <w:t>L'import accepte uniquement un CSV UTF-8 de 10 Mio ou moins. Les formats Excel, PDF, ZIP et les connecteurs externes ne sont pas pris en charge.</w:t>
      </w:r>
    </w:p>
    <w:p>
      <w:pPr>
        <w:pStyle w:val="ListBullet"/>
      </w:pPr>
      <w:r>
        <w:rPr>
          <w:rFonts w:ascii="Calibri" w:hAnsi="Calibri"/>
        </w:rPr>
        <w:t>Les tâches et rappels sont internes à Marketteo : ils n’envoient aucune notification externe. Les opportunités,</w:t>
      </w:r>
    </w:p>
    <w:p>
      <w:r>
        <w:rPr>
          <w:rFonts w:ascii="Calibri" w:hAnsi="Calibri"/>
        </w:rPr>
        <w:t>automatisations commerciales et la facturation ne font pas partie de cette édition.</w:t>
      </w:r>
    </w:p>
    <w:p>
      <w:pPr>
        <w:pStyle w:val="ListBullet"/>
      </w:pPr>
      <w:r>
        <w:rPr>
          <w:rFonts w:ascii="Calibri" w:hAnsi="Calibri"/>
        </w:rPr>
        <w:t>Les métriques et journaux techniques sont réservés à l’exploitation : ils ne sont pas visibles dans le CRM et ne</w:t>
      </w:r>
    </w:p>
    <w:p>
      <w:r>
        <w:rPr>
          <w:rFonts w:ascii="Calibri" w:hAnsi="Calibri"/>
        </w:rPr>
        <w:t>changent ni les droits commerciaux ni les limites affichées.</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keepNext/>
        <w:spacing w:before="120" w:after="60"/>
        <w:jc w:val="center"/>
      </w:pPr>
      <w:r>
        <w:drawing>
          <wp:inline xmlns:a="http://schemas.openxmlformats.org/drawingml/2006/main" xmlns:pic="http://schemas.openxmlformats.org/drawingml/2006/picture">
            <wp:extent cx="5715000" cy="3214687"/>
            <wp:docPr id="1" name="Picture 1" descr="Écran de connexion Marketteo CRM" title="Écran de connexion Marketteo CRM"/>
            <wp:cNvGraphicFramePr>
              <a:graphicFrameLocks noChangeAspect="1"/>
            </wp:cNvGraphicFramePr>
            <a:graphic>
              <a:graphicData uri="http://schemas.openxmlformats.org/drawingml/2006/picture">
                <pic:pic>
                  <pic:nvPicPr>
                    <pic:cNvPr id="0" name="connexion.png"/>
                    <pic:cNvPicPr/>
                  </pic:nvPicPr>
                  <pic:blipFill>
                    <a:blip r:embed="rId11"/>
                    <a:stretch>
                      <a:fillRect/>
                    </a:stretch>
                  </pic:blipFill>
                  <pic:spPr>
                    <a:xfrm>
                      <a:off x="0" y="0"/>
                      <a:ext cx="5715000" cy="3214687"/>
                    </a:xfrm>
                    <a:prstGeom prst="rect"/>
                  </pic:spPr>
                </pic:pic>
              </a:graphicData>
            </a:graphic>
          </wp:inline>
        </w:drawing>
      </w:r>
    </w:p>
    <w:p>
      <w:pPr>
        <w:keepLines/>
        <w:spacing w:after="200"/>
        <w:jc w:val="center"/>
      </w:pPr>
      <w:r>
        <w:rPr>
          <w:rFonts w:ascii="Calibri" w:hAnsi="Calibri"/>
          <w:i/>
          <w:color w:val="6F7D76"/>
          <w:sz w:val="18"/>
        </w:rPr>
        <w:t>Figure 1 — Écran de connexion Marketteo CRM. Les champs restent volontairement vides dans toute capture diffusée.</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Pipeline commercial</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et déplacer</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Chronologie commerciale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ses saisies</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et acquisitions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et revue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et imports CSV</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du rapport</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Déclarer, téléverser, mapper, valider et confirmer</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saisissez la latitude et la longitude du centre de recherche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r>
        <w:rPr>
          <w:rFonts w:ascii="Calibri" w:hAnsi="Calibri"/>
        </w:rPr>
        <w:t>La limite quotidienne est calculée par le serveur et se remet à zéro à minuit UTC. Lorsqu'elle est atteinte, aucune recherche n'est transmise à Google. Attendez le délai affiché, ou contactez l'administrateur de votre organisation si l'activité prévue nécessite une révision de la configuration.</w:t>
      </w:r>
    </w:p>
    <w:p>
      <w:pPr>
        <w:pStyle w:val="Heading2"/>
      </w:pPr>
      <w:r>
        <w:t>3.2 Lire et filtrer les résultats</w:t>
      </w:r>
    </w:p>
    <w:p>
      <w:r>
        <w:rPr>
          <w:rFonts w:ascii="Calibri" w:hAnsi="Calibri"/>
        </w:rPr>
        <w:t xml:space="preserve">Le tableau indique l'entreprise Google temporaire, son </w:t>
      </w:r>
      <w:r>
        <w:rPr>
          <w:rFonts w:ascii="Consolas" w:hAnsi="Consolas"/>
          <w:color w:val="173F35"/>
          <w:sz w:val="19"/>
          <w:shd w:fill="F8F2E7"/>
        </w:rPr>
        <w:t>place_id</w:t>
      </w:r>
      <w:r>
        <w:rPr>
          <w:rFonts w:ascii="Calibri" w:hAnsi="Calibri"/>
        </w:rPr>
        <w:t xml:space="preserve">, la localisation, la distance, l'état et un lien d'ouverture dans Google Maps. Le </w:t>
      </w:r>
      <w:r>
        <w:rPr>
          <w:rFonts w:ascii="Consolas" w:hAnsi="Consolas"/>
          <w:color w:val="173F35"/>
          <w:sz w:val="19"/>
          <w:shd w:fill="F8F2E7"/>
        </w:rPr>
        <w:t>place_id</w:t>
      </w:r>
      <w:r>
        <w:rPr>
          <w:rFonts w:ascii="Calibri" w:hAnsi="Calibri"/>
        </w:rPr>
        <w:t xml:space="preserve"> est la référence technique Google qui permet d'éviter les doublons ; ce n'est pas le nom commercial du prospect dans Marketteo.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saisissez un « Nom interne CRM » dans la ligne voulue ; ce nom est choisi par votre organisation et ne doit pas être une copie automatique du nom Google ;</w:t>
      </w:r>
    </w:p>
    <w:p>
      <w:pPr>
        <w:pStyle w:val="ListNumber"/>
      </w:pPr>
      <w:r>
        <w:rPr>
          <w:rFonts w:ascii="Calibri" w:hAnsi="Calibri"/>
        </w:rPr>
        <w:t>sélectionnez « Ajouter » dans la ligne ; le bouton reste inaccessible tant que le nom interne est vide ;</w:t>
      </w:r>
    </w:p>
    <w:p>
      <w:pPr>
        <w:pStyle w:val="ListNumber"/>
      </w:pPr>
      <w:r>
        <w:rPr>
          <w:rFonts w:ascii="Calibri" w:hAnsi="Calibri"/>
        </w:rPr>
        <w:t xml:space="preserve">attendez le résultat : « Ajouté » confirme la création et « Déjà au CRM » indique qu'un prospect portant ce </w:t>
      </w:r>
      <w:r>
        <w:rPr>
          <w:rFonts w:ascii="Consolas" w:hAnsi="Consolas"/>
          <w:color w:val="173F35"/>
          <w:sz w:val="19"/>
          <w:shd w:fill="F8F2E7"/>
        </w:rPr>
        <w:t>place_id</w:t>
      </w:r>
      <w:r>
        <w:rPr>
          <w:rFonts w:ascii="Calibri" w:hAnsi="Calibri"/>
        </w:rPr>
        <w:t xml:space="preserve">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renseignez un nom interne pour chacune,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keepNext/>
        <w:spacing w:before="120" w:after="60"/>
        <w:jc w:val="center"/>
      </w:pPr>
      <w:r>
        <w:drawing>
          <wp:inline xmlns:a="http://schemas.openxmlformats.org/drawingml/2006/main" xmlns:pic="http://schemas.openxmlformats.org/drawingml/2006/picture">
            <wp:extent cx="5250709" cy="5120640"/>
            <wp:docPr id="2" name="Picture 2" descr="Recherche ponctuelle et ajout au CRM" title="Recherche ponctuelle et ajout au CRM"/>
            <wp:cNvGraphicFramePr>
              <a:graphicFrameLocks noChangeAspect="1"/>
            </wp:cNvGraphicFramePr>
            <a:graphic>
              <a:graphicData uri="http://schemas.openxmlformats.org/drawingml/2006/picture">
                <pic:pic>
                  <pic:nvPicPr>
                    <pic:cNvPr id="0" name="recherche-et-ajout.png"/>
                    <pic:cNvPicPr/>
                  </pic:nvPicPr>
                  <pic:blipFill>
                    <a:blip r:embed="rId12"/>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2 — Recherche d'établissements et ajout au CRM. Le nom interne est saisi par l'utilisateur avant l'ajout.</w:t>
      </w:r>
    </w:p>
    <w:p>
      <w:pPr>
        <w:pStyle w:val="Heading1"/>
      </w:pPr>
      <w:r>
        <w:t>4. Gérer les prospects</w:t>
      </w:r>
    </w:p>
    <w:p>
      <w:pPr>
        <w:pStyle w:val="Heading2"/>
      </w:pPr>
      <w:r>
        <w:t>4.1 Consulter le portefeuille</w:t>
      </w:r>
    </w:p>
    <w:p>
      <w:r>
        <w:rPr>
          <w:rFonts w:ascii="Calibri" w:hAnsi="Calibri"/>
        </w:rPr>
        <w:t xml:space="preserve">Ouvrez « Prospects ». La liste montre le nom interne, l'origine, le secteur et la ville lorsqu'ils sont renseignés, la priorité, la dernière mise à jour et l'état archivé. Pour un prospect issu de Google, le </w:t>
      </w:r>
      <w:r>
        <w:rPr>
          <w:rFonts w:ascii="Consolas" w:hAnsi="Consolas"/>
          <w:color w:val="173F35"/>
          <w:sz w:val="19"/>
          <w:shd w:fill="F8F2E7"/>
        </w:rPr>
        <w:t>place_id</w:t>
      </w:r>
      <w:r>
        <w:rPr>
          <w:rFonts w:ascii="Calibri" w:hAnsi="Calibri"/>
        </w:rPr>
        <w:t xml:space="preserve"> est affiché séparément et en lecture seule.</w:t>
      </w:r>
    </w:p>
    <w:p>
      <w:pPr>
        <w:pStyle w:val="ListBullet"/>
      </w:pPr>
      <w:r>
        <w:rPr>
          <w:rFonts w:ascii="Calibri" w:hAnsi="Calibri"/>
        </w:rPr>
        <w:t xml:space="preserve">Recherchez par nom, secteur, ville ou </w:t>
      </w:r>
      <w:r>
        <w:rPr>
          <w:rFonts w:ascii="Consolas" w:hAnsi="Consolas"/>
          <w:color w:val="173F35"/>
          <w:sz w:val="19"/>
          <w:shd w:fill="F8F2E7"/>
        </w:rPr>
        <w:t>place_id</w:t>
      </w:r>
      <w:r>
        <w:rPr>
          <w:rFonts w:ascii="Calibri" w:hAnsi="Calibri"/>
        </w:rPr>
        <w:t>,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keepNext/>
        <w:spacing w:before="120" w:after="60"/>
        <w:jc w:val="center"/>
      </w:pPr>
      <w:r>
        <w:drawing>
          <wp:inline xmlns:a="http://schemas.openxmlformats.org/drawingml/2006/main" xmlns:pic="http://schemas.openxmlformats.org/drawingml/2006/picture">
            <wp:extent cx="5250709" cy="5120640"/>
            <wp:docPr id="3" name="Picture 3" descr="Portefeuille des prospects Marketteo CRM" title="Portefeuille des prospects Marketteo CRM"/>
            <wp:cNvGraphicFramePr>
              <a:graphicFrameLocks noChangeAspect="1"/>
            </wp:cNvGraphicFramePr>
            <a:graphic>
              <a:graphicData uri="http://schemas.openxmlformats.org/drawingml/2006/picture">
                <pic:pic>
                  <pic:nvPicPr>
                    <pic:cNvPr id="0" name="portefeuille-prospects.png"/>
                    <pic:cNvPicPr/>
                  </pic:nvPicPr>
                  <pic:blipFill>
                    <a:blip r:embed="rId13"/>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3 — Portefeuille des prospects avec les informations CRM utiles au suivi commercial.</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r>
        <w:rPr>
          <w:rFonts w:ascii="Calibri" w:hAnsi="Calibri"/>
        </w:rPr>
        <w:t xml:space="preserve">Pour un prospect Google, la fiche affiche aussi le </w:t>
      </w:r>
      <w:r>
        <w:rPr>
          <w:rFonts w:ascii="Consolas" w:hAnsi="Consolas"/>
          <w:color w:val="173F35"/>
          <w:sz w:val="19"/>
          <w:shd w:fill="F8F2E7"/>
        </w:rPr>
        <w:t>place_id</w:t>
      </w:r>
      <w:r>
        <w:rPr>
          <w:rFonts w:ascii="Calibri" w:hAnsi="Calibri"/>
        </w:rPr>
        <w:t xml:space="preserve">. Cette référence est non modifiable. Modifier le nom interne ne modifie ni le </w:t>
      </w:r>
      <w:r>
        <w:rPr>
          <w:rFonts w:ascii="Consolas" w:hAnsi="Consolas"/>
          <w:color w:val="173F35"/>
          <w:sz w:val="19"/>
          <w:shd w:fill="F8F2E7"/>
        </w:rPr>
        <w:t>place_id</w:t>
      </w:r>
      <w:r>
        <w:rPr>
          <w:rFonts w:ascii="Calibri" w:hAnsi="Calibri"/>
        </w:rPr>
        <w:t>, ni les données temporaires affichées par Google.</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keepNext/>
        <w:spacing w:before="120" w:after="60"/>
        <w:jc w:val="center"/>
      </w:pPr>
      <w:r>
        <w:drawing>
          <wp:inline xmlns:a="http://schemas.openxmlformats.org/drawingml/2006/main" xmlns:pic="http://schemas.openxmlformats.org/drawingml/2006/picture">
            <wp:extent cx="3148586" cy="5120640"/>
            <wp:docPr id="4" name="Picture 4" descr="Fiche prospect et permissions de contact" title="Fiche prospect et permissions de contact"/>
            <wp:cNvGraphicFramePr>
              <a:graphicFrameLocks noChangeAspect="1"/>
            </wp:cNvGraphicFramePr>
            <a:graphic>
              <a:graphicData uri="http://schemas.openxmlformats.org/drawingml/2006/picture">
                <pic:pic>
                  <pic:nvPicPr>
                    <pic:cNvPr id="0" name="fiche-prospect-permissions.png"/>
                    <pic:cNvPicPr/>
                  </pic:nvPicPr>
                  <pic:blipFill>
                    <a:blip r:embed="rId14"/>
                    <a:stretch>
                      <a:fillRect/>
                    </a:stretch>
                  </pic:blipFill>
                  <pic:spPr>
                    <a:xfrm>
                      <a:off x="0" y="0"/>
                      <a:ext cx="3148586" cy="5120640"/>
                    </a:xfrm>
                    <a:prstGeom prst="rect"/>
                  </pic:spPr>
                </pic:pic>
              </a:graphicData>
            </a:graphic>
          </wp:inline>
        </w:drawing>
      </w:r>
    </w:p>
    <w:p>
      <w:pPr>
        <w:keepLines/>
        <w:spacing w:after="200"/>
        <w:jc w:val="center"/>
      </w:pPr>
      <w:r>
        <w:rPr>
          <w:rFonts w:ascii="Calibri" w:hAnsi="Calibri"/>
          <w:i/>
          <w:color w:val="6F7D76"/>
          <w:sz w:val="18"/>
        </w:rPr>
        <w:t>Figure 4 — Fiche prospect : profil CRM, contacts, canaux et état de permission. Les données affichées sont fictives.</w:t>
      </w:r>
    </w:p>
    <w:p>
      <w:pPr>
        <w:pStyle w:val="Heading2"/>
      </w:pPr>
      <w:r>
        <w:t>4.7 Consigner une activité commerciale</w:t>
      </w:r>
    </w:p>
    <w:p>
      <w:r>
        <w:rPr>
          <w:rFonts w:ascii="Calibri" w:hAnsi="Calibri"/>
        </w:rPr>
        <w:t>La section « Chronologie commerciale » de la fiche prospect conserve les faits utiles au suivi. Elle est distincte du « Journal d'activité », qui reste un audit technique. Une activité n'envoie aucun courriel, ne lance aucun appel et ne modifie jamais la permission d'un canal.</w:t>
      </w:r>
    </w:p>
    <w:p>
      <w:pPr>
        <w:pStyle w:val="ListNumber"/>
      </w:pPr>
      <w:r>
        <w:rPr>
          <w:rFonts w:ascii="Calibri" w:hAnsi="Calibri"/>
        </w:rPr>
        <w:t>ouvrez la fiche du prospect, puis « Ajouter une activité » ;</w:t>
      </w:r>
    </w:p>
    <w:p>
      <w:pPr>
        <w:pStyle w:val="ListNumber"/>
      </w:pPr>
      <w:r>
        <w:rPr>
          <w:rFonts w:ascii="Calibri" w:hAnsi="Calibri"/>
        </w:rPr>
        <w:t>choisissez le type : note interne, appel déclaré, courriel déclaré ou réunion déclarée ;</w:t>
      </w:r>
    </w:p>
    <w:p>
      <w:pPr>
        <w:pStyle w:val="ListNumber"/>
      </w:pPr>
      <w:r>
        <w:rPr>
          <w:rFonts w:ascii="Calibri" w:hAnsi="Calibri"/>
        </w:rPr>
        <w:t>pour un appel ou un courriel, choisissez le sens de l'échange et, si utile, le canal correspondant ;</w:t>
      </w:r>
    </w:p>
    <w:p>
      <w:pPr>
        <w:pStyle w:val="ListNumber"/>
      </w:pPr>
      <w:r>
        <w:rPr>
          <w:rFonts w:ascii="Calibri" w:hAnsi="Calibri"/>
        </w:rPr>
        <w:t>indiquez la date et l'heure réelles, un résumé, puis des détails internes facultatifs ;</w:t>
      </w:r>
    </w:p>
    <w:p>
      <w:pPr>
        <w:pStyle w:val="ListNumber"/>
      </w:pPr>
      <w:r>
        <w:rPr>
          <w:rFonts w:ascii="Calibri" w:hAnsi="Calibri"/>
        </w:rPr>
        <w:t>sélectionnez « Enregistrer l'activité ».</w:t>
      </w:r>
    </w:p>
    <w:p>
      <w:r>
        <w:rPr>
          <w:rFonts w:ascii="Calibri" w:hAnsi="Calibri"/>
        </w:rPr>
        <w:t>Un avertissement s'affiche si le canal choisi est restreint ou si sa permission est non déterminée. Il signale qu'il faut vérifier la permission avant tout contact réel ; l'inscription d'un fait passé ne constitue ni une autorisation ni une action de contact.</w:t>
      </w:r>
    </w:p>
    <w:p>
      <w:pPr>
        <w:pStyle w:val="Heading2"/>
      </w:pPr>
      <w:r>
        <w:t>4.8 Corriger une activité</w:t>
      </w:r>
    </w:p>
    <w:p>
      <w:r>
        <w:rPr>
          <w:rFonts w:ascii="Calibri" w:hAnsi="Calibri"/>
        </w:rPr>
        <w:t>Une activité déjà inscrite ne se modifie pas directement. Ouvrez « Corriger », ajustez le résumé, les détails ou la date, indiquez le motif de la correction puis enregistrez. La saisie initiale demeure dans la chronologie et la nouvelle entrée porte sa correction. Un commercial corrige ses propres saisies ; un gestionnaire ou un administrateur peut corriger les saisies de l'organisation.</w:t>
      </w:r>
    </w:p>
    <w:p>
      <w:pPr>
        <w:pStyle w:val="Heading1"/>
      </w:pPr>
      <w:r>
        <w:t>5. Suivre le pipeline commercial</w:t>
      </w:r>
    </w:p>
    <w:p>
      <w:r>
        <w:rPr>
          <w:rFonts w:ascii="Calibri" w:hAnsi="Calibri"/>
        </w:rPr>
        <w:t>Ouvrez « Pipeline ». Cette vue classe les prospects actifs par étape commerciale ; elle ne contient pas les prospects archivés et ne remplace ni les permissions de contact ni les données de provenance.</w:t>
      </w:r>
    </w:p>
    <w:p>
      <w:r>
        <w:rPr>
          <w:rFonts w:ascii="Calibri" w:hAnsi="Calibri"/>
        </w:rPr>
        <w:t>Les étapes initiales sont : Nouveau, Qualification en cours, Qualifié, Contact établi, Opportunité détectée, Proposition envoyée, Négociation, Gagné et Perdu. Utilisez le champ « Filtrer » pour rechercher un nom interne, un secteur ou une ville CRM.</w:t>
      </w:r>
    </w:p>
    <w:p>
      <w:pPr>
        <w:pStyle w:val="Heading2"/>
      </w:pPr>
      <w:r>
        <w:t>5.1 Faire progresser un prospect</w:t>
      </w:r>
    </w:p>
    <w:p>
      <w:pPr>
        <w:pStyle w:val="ListNumber"/>
      </w:pPr>
      <w:r>
        <w:rPr>
          <w:rFonts w:ascii="Calibri" w:hAnsi="Calibri"/>
        </w:rPr>
        <w:t>repérez la carte du prospect dans sa colonne ;</w:t>
      </w:r>
    </w:p>
    <w:p>
      <w:pPr>
        <w:pStyle w:val="ListNumber"/>
      </w:pPr>
      <w:r>
        <w:rPr>
          <w:rFonts w:ascii="Calibri" w:hAnsi="Calibri"/>
        </w:rPr>
        <w:t>utilisez le bouton vers l'étape précédente ou suivante ;</w:t>
      </w:r>
    </w:p>
    <w:p>
      <w:pPr>
        <w:pStyle w:val="ListNumber"/>
      </w:pPr>
      <w:r>
        <w:rPr>
          <w:rFonts w:ascii="Calibri" w:hAnsi="Calibri"/>
        </w:rPr>
        <w:t>attendez le rechargement de la colonne avant une nouvelle action.</w:t>
      </w:r>
    </w:p>
    <w:p>
      <w:r>
        <w:rPr>
          <w:rFonts w:ascii="Calibri" w:hAnsi="Calibri"/>
        </w:rPr>
        <w:t>Un déplacement est contrôlé par la version courante du prospect. Si un autre membre a modifié le même prospect, rechargez le pipeline, vérifiez l'étape affichée puis recommencez seulement si le déplacement reste pertinent.</w:t>
      </w:r>
    </w:p>
    <w:p>
      <w:pPr>
        <w:pStyle w:val="Heading2"/>
      </w:pPr>
      <w:r>
        <w:t>5.2 Marquer un prospect comme perdu ou le réouvrir</w:t>
      </w:r>
    </w:p>
    <w:p>
      <w:r>
        <w:rPr>
          <w:rFonts w:ascii="Calibri" w:hAnsi="Calibri"/>
        </w:rPr>
        <w:t>Depuis une étape non terminale, sélectionnez « Marquer perdu », puis choisissez le motif commercial. Si vous sélectionnez « Autre motif », précisez la raison avant de confirmer.</w:t>
      </w:r>
    </w:p>
    <w:p>
      <w:r>
        <w:rPr>
          <w:rFonts w:ascii="Calibri" w:hAnsi="Calibri"/>
        </w:rPr>
        <w:t>Les étapes « Gagné » et « Perdu » sont terminales. Un gestionnaire ou un administrateur peut sélectionner « Réouvrir », choisir un motif et confirmer la reprise du suivi. Un commercial peut consulter ces étapes mais ne peut pas les réouvrir.</w:t>
      </w:r>
    </w:p>
    <w:p>
      <w:pPr>
        <w:spacing w:before="80" w:after="160"/>
        <w:ind w:left="216" w:right="216"/>
        <w:shd w:fill="F8F2E7"/>
        <w:pBdr>
          <w:left w:val="single" w:sz="18" w:space="8" w:color="E3A829"/>
        </w:pBdr>
      </w:pPr>
      <w:r>
        <w:rPr>
          <w:rFonts w:ascii="Calibri" w:hAnsi="Calibri"/>
          <w:color w:val="173F35"/>
          <w:sz w:val="20"/>
        </w:rPr>
        <w:t>Important : le passage à une étape ne crée pas d'appel, de courriel, de tâche ou de permission de contact. Consignez séparément les activités déjà réalisées.</w:t>
      </w:r>
    </w:p>
    <w:p>
      <w:pPr>
        <w:pStyle w:val="Heading2"/>
      </w:pPr>
      <w:r>
        <w:t>5.3 Gérer les tâches et rappels</w:t>
      </w:r>
    </w:p>
    <w:p>
      <w:r>
        <w:rPr>
          <w:rFonts w:ascii="Calibri" w:hAnsi="Calibri"/>
        </w:rPr>
        <w:t>Sur la fiche d’un prospect, ouvrez « Tâches et prochaine action » pour planifier une tâche. Saisissez un titre, une</w:t>
      </w:r>
    </w:p>
    <w:p>
      <w:r>
        <w:rPr>
          <w:rFonts w:ascii="Calibri" w:hAnsi="Calibri"/>
        </w:rPr>
        <w:t>échéance et, si utile, un rappel interne. Les heures sont affichées dans le fuseau horaire de l’organisation ; elles ne</w:t>
      </w:r>
    </w:p>
    <w:p>
      <w:r>
        <w:rPr>
          <w:rFonts w:ascii="Calibri" w:hAnsi="Calibri"/>
        </w:rPr>
        <w:t>déclenchent aucun courriel, appel ou notification externe.</w:t>
      </w:r>
    </w:p>
    <w:p>
      <w:r>
        <w:rPr>
          <w:rFonts w:ascii="Calibri" w:hAnsi="Calibri"/>
        </w:rPr>
        <w:t>Ouvrez « Mes tâches » pour consulter vos tâches ouvertes et les rappels dus. Vous pouvez terminer une tâche, l’annuler</w:t>
      </w:r>
    </w:p>
    <w:p>
      <w:r>
        <w:rPr>
          <w:rFonts w:ascii="Calibri" w:hAnsi="Calibri"/>
        </w:rPr>
        <w:t>en indiquant un motif, la rouvrir avec un motif, accuser un rappel ou le reporter. Le report est limité à sept jours. Une</w:t>
      </w:r>
    </w:p>
    <w:p>
      <w:r>
        <w:rPr>
          <w:rFonts w:ascii="Calibri" w:hAnsi="Calibri"/>
        </w:rPr>
        <w:t>tâche en retard reste visible jusqu’à sa finalisation. Si l’application indique que le responsable est désactivé, contactez</w:t>
      </w:r>
    </w:p>
    <w:p>
      <w:r>
        <w:rPr>
          <w:rFonts w:ascii="Calibri" w:hAnsi="Calibri"/>
        </w:rPr>
        <w:t>un gestionnaire pour décider de la suite : aucune réaffectation n’est faite automatiquement.</w:t>
      </w:r>
    </w:p>
    <w:p>
      <w:r>
        <w:rPr>
          <w:rFonts w:ascii="Calibri" w:hAnsi="Calibri"/>
        </w:rPr>
        <w:t>La « prochaine action » affichée sur la fiche, dans la liste des prospects et sur une carte Kanban est calculée à partir</w:t>
      </w:r>
    </w:p>
    <w:p>
      <w:r>
        <w:rPr>
          <w:rFonts w:ascii="Calibri" w:hAnsi="Calibri"/>
        </w:rPr>
        <w:t>de la première tâche ouverte. Elle ne modifie jamais l’étape commerciale du prospect.</w:t>
      </w:r>
    </w:p>
    <w:p>
      <w:pPr>
        <w:pStyle w:val="Heading1"/>
      </w:pPr>
      <w:r>
        <w:t>6.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6.1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6.2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7. Conservation et déclarations d'import</w:t>
      </w:r>
    </w:p>
    <w:p>
      <w:r>
        <w:rPr>
          <w:rFonts w:ascii="Calibri" w:hAnsi="Calibri"/>
        </w:rPr>
        <w:t>Ouvrez « Conservation et imports ». Les archivages sont logiques : ils ne suppriment pas physiquement les données.</w:t>
      </w:r>
    </w:p>
    <w:p>
      <w:pPr>
        <w:pStyle w:val="Heading2"/>
      </w:pPr>
      <w:r>
        <w:t>7.1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7.2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7.3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w:t>
      </w:r>
    </w:p>
    <w:p>
      <w:pPr>
        <w:pStyle w:val="Heading2"/>
      </w:pPr>
      <w:r>
        <w:t>7.4 Importer un CSV déclaré</w:t>
      </w:r>
    </w:p>
    <w:p>
      <w:r>
        <w:rPr>
          <w:rFonts w:ascii="Calibri" w:hAnsi="Calibri"/>
        </w:rPr>
        <w:t>Après avoir créé une déclaration CSV liée à une acquisition approuvée :</w:t>
      </w:r>
    </w:p>
    <w:p>
      <w:pPr>
        <w:pStyle w:val="ListNumber"/>
      </w:pPr>
      <w:r>
        <w:rPr>
          <w:rFonts w:ascii="Calibri" w:hAnsi="Calibri"/>
        </w:rPr>
        <w:t>ouvrez « Déclarations d’import » ;</w:t>
      </w:r>
    </w:p>
    <w:p>
      <w:pPr>
        <w:pStyle w:val="ListNumber"/>
      </w:pPr>
      <w:r>
        <w:rPr>
          <w:rFonts w:ascii="Calibri" w:hAnsi="Calibri"/>
        </w:rPr>
        <w:t>choisissez la déclaration et un fichier CSV UTF-8 de 10 Mio ou moins ;</w:t>
      </w:r>
    </w:p>
    <w:p>
      <w:pPr>
        <w:pStyle w:val="ListNumber"/>
      </w:pPr>
      <w:r>
        <w:rPr>
          <w:rFonts w:ascii="Calibri" w:hAnsi="Calibri"/>
        </w:rPr>
        <w:t>consultez l’aperçu temporaire, puis associez chaque colonne utile à un champ CRM ;</w:t>
      </w:r>
    </w:p>
    <w:p>
      <w:pPr>
        <w:pStyle w:val="ListNumber"/>
      </w:pPr>
      <w:r>
        <w:rPr>
          <w:rFonts w:ascii="Calibri" w:hAnsi="Calibri"/>
        </w:rPr>
        <w:t>sélectionnez « Enregistrer le mapping », puis « Valider le fichier » ;</w:t>
      </w:r>
    </w:p>
    <w:p>
      <w:pPr>
        <w:pStyle w:val="ListNumber"/>
      </w:pPr>
      <w:r>
        <w:rPr>
          <w:rFonts w:ascii="Calibri" w:hAnsi="Calibri"/>
        </w:rPr>
        <w:t>vérifiez les compteurs de créations, doublons exacts et lignes en quarantaine ;</w:t>
      </w:r>
    </w:p>
    <w:p>
      <w:pPr>
        <w:pStyle w:val="ListNumber"/>
      </w:pPr>
      <w:r>
        <w:rPr>
          <w:rFonts w:ascii="Calibri" w:hAnsi="Calibri"/>
        </w:rPr>
        <w:t>sélectionnez « Confirmer l’import ».</w:t>
      </w:r>
    </w:p>
    <w:p>
      <w:r>
        <w:rPr>
          <w:rFonts w:ascii="Calibri" w:hAnsi="Calibri"/>
        </w:rPr>
        <w:t>Les lignes valides créent des données CRM avec leur provenance. Les canaux reçoivent toujours la permission « non déterminée » : un import n’autorise jamais à contacter une personne. Les doublons exacts sont ignorés. Le rapport n’affiche que les numéros de lignes, les codes de motifs et une référence opaque ; il ne restitue aucune valeur brute du fichier. Le fichier source reste privé et temporaire, puis est supprimé après confirmation ou au plus tard dans les 24 heures.</w:t>
      </w:r>
    </w:p>
    <w:p>
      <w:pPr>
        <w:pStyle w:val="Heading1"/>
      </w:pPr>
      <w:r>
        <w:t>8. Administrer une organisation</w:t>
      </w:r>
    </w:p>
    <w:p>
      <w:pPr>
        <w:pStyle w:val="Heading2"/>
      </w:pPr>
      <w:r>
        <w:t>8.1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8.2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8.3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8.4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pStyle w:val="Heading1"/>
      </w:pPr>
      <w:r>
        <w:t>9.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10. Administration de la plateforme</w:t>
      </w:r>
    </w:p>
    <w:p>
      <w:r>
        <w:rPr>
          <w:rFonts w:ascii="Calibri" w:hAnsi="Calibri"/>
        </w:rPr>
        <w:t>Cette section s'adresse uniquement aux administrateurs de plateforme.</w:t>
      </w:r>
    </w:p>
    <w:p>
      <w:pPr>
        <w:pStyle w:val="Heading2"/>
      </w:pPr>
      <w:r>
        <w:t>10.1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10.2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11.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limite quotidienne de recherches Google est atteinte</w:t>
      </w:r>
    </w:p>
    <w:p>
      <w:r>
        <w:rPr>
          <w:rFonts w:ascii="Calibri" w:hAnsi="Calibri"/>
        </w:rPr>
        <w:t>Marketteo a bloqué la recherche avant l'appel Google afin de protéger le budget de l'organisation. Attendez la remise à zéro indiquée par l'application. Modifier le terme, le rayon ou actualiser la page ne contourne pas cette limite. Les limites actuelles sont opérationnelles et peuvent évoluer avant la commercialisation des forfaits.</w:t>
      </w:r>
    </w:p>
    <w:p>
      <w:pPr>
        <w:pStyle w:val="Heading2"/>
      </w:pPr>
      <w:r>
        <w:t>La recherche ou la carte indique que la protection est temporairement indisponible</w:t>
      </w:r>
    </w:p>
    <w:p>
      <w:r>
        <w:rPr>
          <w:rFonts w:ascii="Calibri" w:hAnsi="Calibri"/>
        </w:rPr>
        <w:t>Réessayez après quelques instants. Marketteo ne lance pas la recherche ou la carte tant que sa protection temporaire ne</w:t>
      </w:r>
    </w:p>
    <w:p>
      <w:r>
        <w:rPr>
          <w:rFonts w:ascii="Calibri" w:hAnsi="Calibri"/>
        </w:rPr>
        <w:t>peut pas être garantie ; évitez donc de cliquer plusieurs fois. Si le message persiste, transmettez l'heure approximative</w:t>
      </w:r>
    </w:p>
    <w:p>
      <w:r>
        <w:rPr>
          <w:rFonts w:ascii="Calibri" w:hAnsi="Calibri"/>
        </w:rPr>
        <w:t>de l'incident à l'équipe qui exploite l'application. Aucun réglage de navigateur n'est nécessaire.</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2"/>
      </w:pPr>
      <w:r>
        <w:t>Un déplacement du pipeline est refusé</w:t>
      </w:r>
    </w:p>
    <w:p>
      <w:r>
        <w:rPr>
          <w:rFonts w:ascii="Calibri" w:hAnsi="Calibri"/>
        </w:rPr>
        <w:t>Vérifiez que le prospect n'est pas archivé, que l'étape cible est proposée par l'application et que votre rôle permet l'action. En cas de conflit de version, rechargez le pipeline avant de décider si le déplacement doit être repris.</w:t>
      </w:r>
    </w:p>
    <w:p>
      <w:pPr>
        <w:pStyle w:val="Heading1"/>
      </w:pPr>
      <w:r>
        <w:t>12. Glossaire</w:t>
      </w:r>
    </w:p>
    <w:p>
      <w:r>
        <w:rPr>
          <w:rFonts w:ascii="Calibri" w:hAnsi="Calibri"/>
          <w:b/>
        </w:rPr>
        <w:t>Activité commerciale</w:t>
      </w:r>
      <w:r>
        <w:rPr>
          <w:rFonts w:ascii="Calibri" w:hAnsi="Calibri"/>
        </w:rPr>
        <w:t xml:space="preserve"> : note ou interaction déjà réalisée, inscrite volontairement dans la chronologie du prospect. Elle n'envoie aucun message et ne crée pas de permission.</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Étape commerciale</w:t>
      </w:r>
      <w:r>
        <w:rPr>
          <w:rFonts w:ascii="Calibri" w:hAnsi="Calibri"/>
        </w:rPr>
        <w:t xml:space="preserve"> : position actuelle d'un prospect dans le pipeline, distincte de son archivage et de la permission de contact.</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pPr>
        <w:pStyle w:val="Heading1"/>
      </w:pPr>
      <w:r>
        <w:t>13.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0.7</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des tâches, rappels internes et prochaine action 3.3-D</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0.6</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pipeline commercial, de la chronologie d'activités et du parcours réel d'import CSV ; limites mises à jour</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0.5</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Ajout de quatre captures d'écran avec données de démonstration ; procédures alignées sur le nom interne CRM et le </w:t>
            </w:r>
            <w:r>
              <w:rPr>
                <w:rFonts w:ascii="Calibri" w:hAnsi="Calibri"/>
                <w:color w:val="173F35"/>
                <w:sz w:val="18"/>
                <w:shd w:fill="F8F2E7"/>
              </w:rPr>
              <w:t>place_id</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0.7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