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2E5496"/>
          <w:spacing w:val="40"/>
          <w:sz w:val="22"/>
          <w:szCs w:val="22"/>
        </w:rPr>
        <w:t xml:space="preserve">PORTFOLIO CYBERSÉCURITÉ — PROJET 02</w:t>
      </w:r>
    </w:p>
    <w:p>
      <w:pPr>
        <w:pBdr>
          <w:bottom w:val="single" w:color="1F3864" w:sz="12"/>
        </w:pBdr>
        <w:spacing w:after="0" w:before="160"/>
        <w:jc w:val="center"/>
      </w:pPr>
      <w:r>
        <w:rPr>
          <w:sz w:val="4"/>
          <w:szCs w:val="4"/>
        </w:rPr>
        <w:t xml:space="preserve"/>
      </w:r>
    </w:p>
    <w:p>
      <w:pPr>
        <w:spacing w:after="80" w:before="260"/>
        <w:jc w:val="center"/>
      </w:pPr>
      <w:r>
        <w:rPr>
          <w:b/>
          <w:bCs/>
          <w:color w:val="1F3864"/>
          <w:sz w:val="52"/>
          <w:szCs w:val="52"/>
        </w:rPr>
        <w:t xml:space="preserve">Infrastructure durcie as-code</w:t>
      </w:r>
    </w:p>
    <w:p>
      <w:pPr>
        <w:spacing w:after="200"/>
        <w:jc w:val="center"/>
      </w:pPr>
      <w:r>
        <w:rPr>
          <w:i/>
          <w:iCs/>
          <w:color w:val="595959"/>
          <w:sz w:val="24"/>
          <w:szCs w:val="24"/>
        </w:rPr>
        <w:t xml:space="preserve">Durcissement CIS automatisé · Segmentation réseau · Preuve de conformité Lynis</w:t>
      </w:r>
    </w:p>
    <w:p>
      <w:pPr>
        <w:spacing w:after="0" w:before="120"/>
        <w:jc w:val="center"/>
      </w:pPr>
      <w:r>
        <w:rPr>
          <w:b/>
          <w:bCs/>
          <w:color w:val="2E5496"/>
          <w:sz w:val="20"/>
          <w:szCs w:val="20"/>
        </w:rPr>
        <w:t xml:space="preserve">Ansible  ·  ufw  ·  auditd  ·  Lynis  ·  Hyper-V  ·  Debian 12  ·  Terraform (AWS)</w:t>
      </w:r>
    </w:p>
    <w:p>
      <w:pPr>
        <w:spacing w:after="40" w:before="1500"/>
        <w:jc w:val="center"/>
      </w:pPr>
      <w:r>
        <w:rPr>
          <w:b/>
          <w:bCs/>
          <w:color w:val="1F3864"/>
          <w:sz w:val="26"/>
          <w:szCs w:val="26"/>
        </w:rPr>
        <w:t xml:space="preserve">Styve Landry SIME KOUNOU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styvelandry1@outlook.fr</w:t>
      </w:r>
    </w:p>
    <w:p>
      <w:pPr>
        <w:spacing w:after="0"/>
        <w:jc w:val="center"/>
      </w:pPr>
      <w:r>
        <w:rPr>
          <w:color w:val="2E5496"/>
          <w:sz w:val="18"/>
          <w:szCs w:val="18"/>
        </w:rPr>
        <w:t xml:space="preserve">github.com/landrysime/02-infra-durcie-terraform-ansible</w:t>
      </w:r>
    </w:p>
    <w:p>
      <w:pPr>
        <w:spacing w:before="40"/>
        <w:jc w:val="center"/>
      </w:pPr>
      <w:r>
        <w:rPr>
          <w:i/>
          <w:iCs/>
          <w:color w:val="595959"/>
          <w:sz w:val="18"/>
          <w:szCs w:val="18"/>
        </w:rPr>
        <w:t xml:space="preserve">Octobre 2026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1. Contexte &amp; objectif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Une entreprise migre son infrastructure, gérée manuellement, vers une approche </w:t>
      </w:r>
      <w:r>
        <w:rPr>
          <w:b/>
          <w:bCs/>
          <w:sz w:val="21"/>
          <w:szCs w:val="21"/>
        </w:rPr>
        <w:t xml:space="preserve">Infrastructure as Code</w:t>
      </w:r>
      <w:r>
        <w:rPr>
          <w:sz w:val="21"/>
          <w:szCs w:val="21"/>
        </w:rPr>
        <w:t xml:space="preserve">. Le RSSI exige une </w:t>
      </w:r>
      <w:r>
        <w:rPr>
          <w:b/>
          <w:bCs/>
          <w:sz w:val="21"/>
          <w:szCs w:val="21"/>
        </w:rPr>
        <w:t xml:space="preserve">segmentation réseau</w:t>
      </w:r>
      <w:r>
        <w:rPr>
          <w:sz w:val="21"/>
          <w:szCs w:val="21"/>
        </w:rPr>
        <w:t xml:space="preserve"> (DMZ), un durcissement conforme à un référentiel reconnu — le </w:t>
      </w:r>
      <w:r>
        <w:rPr>
          <w:b/>
          <w:bCs/>
          <w:sz w:val="21"/>
          <w:szCs w:val="21"/>
        </w:rPr>
        <w:t xml:space="preserve">CIS Benchmark</w:t>
      </w:r>
      <w:r>
        <w:rPr>
          <w:sz w:val="21"/>
          <w:szCs w:val="21"/>
        </w:rPr>
        <w:t xml:space="preserve"> — et un </w:t>
      </w:r>
      <w:r>
        <w:rPr>
          <w:b/>
          <w:bCs/>
          <w:sz w:val="21"/>
          <w:szCs w:val="21"/>
        </w:rPr>
        <w:t xml:space="preserve">rapport de conformité chiffré avant / après</w:t>
      </w:r>
      <w:r>
        <w:rPr>
          <w:sz w:val="21"/>
          <w:szCs w:val="21"/>
        </w:rPr>
        <w:t xml:space="preserve">. Le durcissement doit être </w:t>
      </w:r>
      <w:r>
        <w:rPr>
          <w:b/>
          <w:bCs/>
          <w:sz w:val="21"/>
          <w:szCs w:val="21"/>
        </w:rPr>
        <w:t xml:space="preserve">reproductible</w:t>
      </w:r>
      <w:r>
        <w:rPr>
          <w:sz w:val="21"/>
          <w:szCs w:val="21"/>
        </w:rPr>
        <w:t xml:space="preserve"> et </w:t>
      </w:r>
      <w:r>
        <w:rPr>
          <w:b/>
          <w:bCs/>
          <w:sz w:val="21"/>
          <w:szCs w:val="21"/>
        </w:rPr>
        <w:t xml:space="preserve">idempotent</w:t>
      </w:r>
      <w:r>
        <w:rPr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Ce projet répond à ces exigences avec un durcissement entièrement automatisé par Ansible, une architecture segmentée bastion/DMZ + zone interne, et une mesure de conformité objective (indice de durcissement Lynis) avant et après intervention.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Architecture cible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500"/>
        <w:gridCol w:w="1300"/>
        <w:gridCol w:w="4060"/>
        <w:gridCol w:w="2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Machine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40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Réseau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bastion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DMZ</w:t>
            </w:r>
          </w:p>
        </w:tc>
        <w:tc>
          <w:tcPr>
            <w:tcW w:type="dxa" w:w="40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Point d'entrée exposé + poste de pilotage Ansible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cartes (LAN-Interne + NAT)</w:t>
            </w:r>
          </w:p>
        </w:tc>
      </w:tr>
      <w:tr>
        <w:tc>
          <w:tcPr>
            <w:tcW w:type="dxa" w:w="1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13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40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Serveur protégé, durci</w:t>
            </w:r>
          </w:p>
        </w:tc>
        <w:tc>
          <w:tcPr>
            <w:tcW w:type="dxa" w:w="25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carte (LAN-Interne), isolé</w:t>
            </w:r>
          </w:p>
        </w:tc>
      </w:tr>
    </w:tbl>
    <w:p>
      <w:pPr>
        <w:spacing w:after="40" w:before="160"/>
      </w:pPr>
      <w:r>
        <w:rPr>
          <w:b/>
          <w:bCs/>
          <w:color w:val="2E5496"/>
          <w:sz w:val="21"/>
          <w:szCs w:val="21"/>
        </w:rPr>
        <w:t xml:space="preserve">Schéma des flux 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Segmentation DMZ / zone interne — flux autorisé (vert) et bloqué (rouge)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2. Pourquoi la démarche a évolué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L'énoncé initial prévoyait un lab </w:t>
      </w:r>
      <w:r>
        <w:rPr>
          <w:b/>
          <w:bCs/>
          <w:sz w:val="21"/>
          <w:szCs w:val="21"/>
        </w:rPr>
        <w:t xml:space="preserve">AWS</w:t>
      </w:r>
      <w:r>
        <w:rPr>
          <w:sz w:val="21"/>
          <w:szCs w:val="21"/>
        </w:rPr>
        <w:t xml:space="preserve"> avec un pare-feu </w:t>
      </w:r>
      <w:r>
        <w:rPr>
          <w:b/>
          <w:bCs/>
          <w:sz w:val="21"/>
          <w:szCs w:val="21"/>
        </w:rPr>
        <w:t xml:space="preserve">pfSense</w:t>
      </w:r>
      <w:r>
        <w:rPr>
          <w:sz w:val="21"/>
          <w:szCs w:val="21"/>
        </w:rPr>
        <w:t xml:space="preserve">. L'</w:t>
      </w:r>
      <w:r>
        <w:rPr>
          <w:b/>
          <w:bCs/>
          <w:sz w:val="21"/>
          <w:szCs w:val="21"/>
        </w:rPr>
        <w:t xml:space="preserve">objectif de sécurité a été tenu à 100 %</w:t>
      </w:r>
      <w:r>
        <w:rPr>
          <w:sz w:val="21"/>
          <w:szCs w:val="21"/>
        </w:rPr>
        <w:t xml:space="preserve">, mais deux briques techniques ont été remplacées par des équivalents, pour des contraintes réelles assumées — un réflexe de terrain : garder l'objectif, adapter l'outil.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Virage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  <w:tc>
          <w:tcPr>
            <w:tcW w:type="dxa" w:w="373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 retenue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AWS → Hyper-V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 compte AWS « Free Plan » interdit EC2 (Service Control Policy) ; l'upgrade exigeait une carte bancaire, volontairement non fournie (maîtrise du risque de facturation).</w:t>
            </w:r>
          </w:p>
        </w:tc>
        <w:tc>
          <w:tcPr>
            <w:tcW w:type="dxa" w:w="373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Lab réalisé sur Hyper-V (local, gratuit). Le code Terraform est conservé et validé (terraform plan) comme preuve de la compétence IaC cloud.</w:t>
            </w:r>
          </w:p>
        </w:tc>
      </w:tr>
      <w:tr>
        <w:tc>
          <w:tcPr>
            <w:tcW w:type="dxa" w:w="1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pfSense → ufw par zone</w:t>
            </w:r>
          </w:p>
        </w:tc>
        <w:tc>
          <w:tcPr>
            <w:tcW w:type="dxa" w:w="373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Plus assez de ressources sur le poste pour une 3ᵉ VM pfSense.</w:t>
            </w:r>
          </w:p>
        </w:tc>
        <w:tc>
          <w:tcPr>
            <w:tcW w:type="dxa" w:w="373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Segmentation par commutateur interne Hyper-V + filtrage ufw par zone piloté par Ansible (host-based, as-code et idempotent).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Bénéfice : </w:t>
      </w:r>
      <w:r>
        <w:rPr>
          <w:sz w:val="21"/>
          <w:szCs w:val="21"/>
        </w:rPr>
        <w:t xml:space="preserve">le pare-feu devient du code versionné (cohérent avec l'esprit IaC), et la segmentation reste prouvée par des tests de flux.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3. Déroulé du projet (preuves à l'appui)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Le projet a été mené en 5 phases ; chacune est appuyée par une capture d'écran horodatée.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Phase 1 — Poste de pilotage &amp; IaC cloud (bonus Terraform)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Le poste Windows a été équipé de WSL (Linux sous Windows) puis de Terraform. Le code Terraform décrit la même architecture segmentée côté AWS (VPC, sous-réseaux DMZ/privé, passerelle, security groups) et a été validé par </w:t>
      </w:r>
      <w:r>
        <w:rPr>
          <w:rFonts w:ascii="Consolas" w:cs="Consolas" w:eastAsia="Consolas" w:hAnsi="Consolas"/>
          <w:sz w:val="21"/>
          <w:szCs w:val="21"/>
        </w:rPr>
        <w:t xml:space="preserve">terraform plan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Plan: 8 to add</w:t>
      </w:r>
      <w:r>
        <w:rPr>
          <w:sz w:val="21"/>
          <w:szCs w:val="21"/>
        </w:rPr>
        <w:t xml:space="preserve">).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3429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Phase 2 — Conformité AVANT durcissement (baseline Lynis)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Avant toute action, un audit Lynis établit le point de départ de chaque serveur.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Phase 3 — Application du durcissement CIS (Ansible)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Le playbook, lancé depuis le bastion (poste de pilotage dual-homed), applique l'ensemble des règles CIS sur les deux serveurs. Premier passage : 27 tâches </w:t>
      </w:r>
      <w:r>
        <w:rPr>
          <w:rFonts w:ascii="Consolas" w:cs="Consolas" w:eastAsia="Consolas" w:hAnsi="Consolas"/>
          <w:sz w:val="21"/>
          <w:szCs w:val="21"/>
        </w:rPr>
        <w:t xml:space="preserve">ok</w:t>
      </w:r>
      <w:r>
        <w:rPr>
          <w:sz w:val="21"/>
          <w:szCs w:val="21"/>
        </w:rPr>
        <w:t xml:space="preserve">, 7 </w:t>
      </w:r>
      <w:r>
        <w:rPr>
          <w:rFonts w:ascii="Consolas" w:cs="Consolas" w:eastAsia="Consolas" w:hAnsi="Consolas"/>
          <w:sz w:val="21"/>
          <w:szCs w:val="21"/>
        </w:rPr>
        <w:t xml:space="preserve">changed</w:t>
      </w:r>
      <w:r>
        <w:rPr>
          <w:sz w:val="21"/>
          <w:szCs w:val="21"/>
        </w:rPr>
        <w:t xml:space="preserve">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Phase 4 — Idempotence (critère noté — 20 pts)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Un code as-code doit être idempotent : le relancer ne doit plus rien modifier. Le 2ᵉ passage a révélé un </w:t>
      </w:r>
      <w:r>
        <w:rPr>
          <w:rFonts w:ascii="Consolas" w:cs="Consolas" w:eastAsia="Consolas" w:hAnsi="Consolas"/>
          <w:sz w:val="21"/>
          <w:szCs w:val="21"/>
        </w:rPr>
        <w:t xml:space="preserve">changed=1</w:t>
      </w:r>
      <w:r>
        <w:rPr>
          <w:sz w:val="21"/>
          <w:szCs w:val="21"/>
        </w:rPr>
        <w:t xml:space="preserve"> — une tâche réseau (sysctl) se redéclarait à chaque exécution.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Correctif : la section sysctl a été convertie en écriture d'un fichier de conf dédié (</w:t>
      </w:r>
      <w:r>
        <w:rPr>
          <w:rFonts w:ascii="Consolas" w:cs="Consolas" w:eastAsia="Consolas" w:hAnsi="Consolas"/>
          <w:sz w:val="21"/>
          <w:szCs w:val="21"/>
        </w:rPr>
        <w:t xml:space="preserve">/etc/sysctl.d/99-cis-hardening.conf</w:t>
      </w:r>
      <w:r>
        <w:rPr>
          <w:sz w:val="21"/>
          <w:szCs w:val="21"/>
        </w:rPr>
        <w:t xml:space="preserve">), idempotent au caractère près. Résultat : </w:t>
      </w:r>
      <w:r>
        <w:rPr>
          <w:b/>
          <w:bCs/>
          <w:sz w:val="21"/>
          <w:szCs w:val="21"/>
        </w:rPr>
        <w:t xml:space="preserve">changed=0</w:t>
      </w:r>
      <w:r>
        <w:rPr>
          <w:sz w:val="21"/>
          <w:szCs w:val="21"/>
        </w:rPr>
        <w:t xml:space="preserve"> sur les deux serveurs.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Phase 5 — Conformité APRÈS + delta chiffré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color w:val="2E5496"/>
          <w:sz w:val="22"/>
          <w:szCs w:val="22"/>
        </w:rPr>
        <w:t xml:space="preserve">Synthèse Lynis avant / après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360"/>
        <w:gridCol w:w="2000"/>
        <w:gridCol w:w="1400"/>
        <w:gridCol w:w="1400"/>
        <w:gridCol w:w="1200"/>
      </w:tblGrid>
      <w:tr>
        <w:trPr>
          <w:tblHeader/>
        </w:trPr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Serveur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Avant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Après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Gain</w:t>
            </w:r>
          </w:p>
        </w:tc>
      </w:tr>
      <w:tr>
        <w:tc>
          <w:tcPr>
            <w:tcW w:type="dxa" w:w="3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bastion (192.168.100.10)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DMZ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64 / 100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70 / 100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+6</w:t>
            </w:r>
          </w:p>
        </w:tc>
      </w:tr>
      <w:tr>
        <w:tc>
          <w:tcPr>
            <w:tcW w:type="dxa" w:w="33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interne (192.168.100.30)</w:t>
            </w:r>
          </w:p>
        </w:tc>
        <w:tc>
          <w:tcPr>
            <w:tcW w:type="dxa" w:w="20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interne</w:t>
            </w:r>
          </w:p>
        </w:tc>
        <w:tc>
          <w:tcPr>
            <w:tcW w:type="dxa" w:w="1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 xml:space="preserve">68 / 100</w:t>
            </w:r>
          </w:p>
        </w:tc>
        <w:tc>
          <w:tcPr>
            <w:tcW w:type="dxa" w:w="1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73 / 100</w:t>
            </w:r>
          </w:p>
        </w:tc>
        <w:tc>
          <w:tcPr>
            <w:tcW w:type="dxa" w:w="1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+5</w:t>
            </w:r>
          </w:p>
        </w:tc>
      </w:tr>
    </w:tbl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Lynis 3.1.4 — rapports complets dans reports/</w:t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4. Segmentation réseau — tests de flux (25 pts)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Le serveur interne n'accepte le SSH </w:t>
      </w:r>
      <w:r>
        <w:rPr>
          <w:b/>
          <w:bCs/>
          <w:sz w:val="21"/>
          <w:szCs w:val="21"/>
        </w:rPr>
        <w:t xml:space="preserve">que depuis le réseau de la DMZ</w:t>
      </w:r>
      <w:r>
        <w:rPr>
          <w:sz w:val="21"/>
          <w:szCs w:val="21"/>
        </w:rPr>
        <w:t xml:space="preserve"> ; tout le reste est bloqué. Le pare-feu ufw le confirme :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  <w:color w:val="2E5496"/>
          <w:sz w:val="22"/>
          <w:szCs w:val="22"/>
        </w:rPr>
        <w:t xml:space="preserve">Tests depuis le bastion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2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Flux autorisé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 -zv 192.168.100.30 22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succeeded ✔</w:t>
            </w:r>
          </w:p>
        </w:tc>
      </w:tr>
      <w:tr>
        <w:tc>
          <w:tcPr>
            <w:tcW w:type="dxa" w:w="21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Flux bloqué</w:t>
            </w:r>
          </w:p>
        </w:tc>
        <w:tc>
          <w:tcPr>
            <w:tcW w:type="dxa" w:w="43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nc -zv -w3 192.168.100.30 80</w:t>
            </w:r>
          </w:p>
        </w:tc>
        <w:tc>
          <w:tcPr>
            <w:tcW w:type="dxa" w:w="29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timed out ✔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Scan de ports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nmap -Pn 192.168.100.30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seul 22/tcp open ✔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953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5. Découverte : Docker contourne ufw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Lors des tests, le port 80 de l'interne est resté ouvert </w:t>
      </w:r>
      <w:r>
        <w:rPr>
          <w:b/>
          <w:bCs/>
          <w:sz w:val="21"/>
          <w:szCs w:val="21"/>
        </w:rPr>
        <w:t xml:space="preserve">malgré ufw</w:t>
      </w:r>
      <w:r>
        <w:rPr>
          <w:sz w:val="21"/>
          <w:szCs w:val="21"/>
        </w:rPr>
        <w:t xml:space="preserve"> : un conteneur Docker (DVWA, hérité du lab précédent) publiait le port 80. </w:t>
      </w:r>
      <w:r>
        <w:rPr>
          <w:b/>
          <w:bCs/>
          <w:sz w:val="21"/>
          <w:szCs w:val="21"/>
        </w:rPr>
        <w:t xml:space="preserve">Docker insère ses propres règles iptables en amont d'ufw</w:t>
      </w:r>
      <w:r>
        <w:rPr>
          <w:sz w:val="21"/>
          <w:szCs w:val="21"/>
        </w:rPr>
        <w:t xml:space="preserve">, contournant le pare-feu — un piège classique en production.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Correctif appliqué (un serveur interne durci ne doit pas héberger de service vulnérable exposé) : arrêt du conteneur et désactivation de Docker → port 80 fermé, nmap ne montre plus que le 22. En production : utiliser </w:t>
      </w:r>
      <w:r>
        <w:rPr>
          <w:rFonts w:ascii="Consolas" w:cs="Consolas" w:eastAsia="Consolas" w:hAnsi="Consolas"/>
          <w:sz w:val="21"/>
          <w:szCs w:val="21"/>
        </w:rPr>
        <w:t xml:space="preserve">ufw-docker</w:t>
      </w:r>
      <w:r>
        <w:rPr>
          <w:sz w:val="21"/>
          <w:szCs w:val="21"/>
        </w:rPr>
        <w:t xml:space="preserve"> ou publier les ports sur </w:t>
      </w:r>
      <w:r>
        <w:rPr>
          <w:rFonts w:ascii="Consolas" w:cs="Consolas" w:eastAsia="Consolas" w:hAnsi="Consolas"/>
          <w:sz w:val="21"/>
          <w:szCs w:val="21"/>
        </w:rPr>
        <w:t xml:space="preserve">127.0.0.1</w:t>
      </w:r>
      <w:r>
        <w:rPr>
          <w:sz w:val="21"/>
          <w:szCs w:val="21"/>
        </w:rPr>
        <w:t xml:space="preserve"> uniquement.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6. Durcissement CIS appliqué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Chaque tâche Ansible référence son numéro de règle CIS Debian 12, répartie sur 3 rôles.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560"/>
        <w:gridCol w:w="1600"/>
        <w:gridCol w:w="2200"/>
      </w:tblGrid>
      <w:tr>
        <w:trPr>
          <w:tblHeader/>
        </w:trPr>
        <w:tc>
          <w:tcPr>
            <w:tcW w:type="dxa" w:w="5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Règles CIS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SSH (root, mot de passe, MaxAuthTries, X11, timeout, bannière)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5.1.x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Permissions des fichiers de comptes (passwd / shadow…)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6.1.x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Paramètres réseau noyau (redirects, martians, syncookies, rp_filter)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3.3.x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Mises à jour de sécurité automatiques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1.2.x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Politique de mots de passe (pwquality)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5.3.1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Systèmes de fichiers inutiles désactivés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1.1.1.x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hardening-base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Pare-feu ufw par zone (deny par défaut)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3.5.x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firewall-rules</w:t>
            </w:r>
          </w:p>
        </w:tc>
      </w:tr>
      <w:tr>
        <w:tc>
          <w:tcPr>
            <w:tcW w:type="dxa" w:w="55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 système (auditd + règles)</w:t>
            </w:r>
          </w:p>
        </w:tc>
        <w:tc>
          <w:tcPr>
            <w:tcW w:type="dxa" w:w="16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4.1.x</w:t>
            </w:r>
          </w:p>
        </w:tc>
        <w:tc>
          <w:tcPr>
            <w:tcW w:type="dxa" w:w="22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audit-logging</w:t>
            </w:r>
          </w:p>
        </w:tc>
      </w:tr>
      <w:tr>
        <w:tc>
          <w:tcPr>
            <w:tcW w:type="dxa" w:w="5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Journalisation persistante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4.2.1.x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audit-logging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5496"/>
          <w:sz w:val="24"/>
          <w:szCs w:val="24"/>
        </w:rPr>
        <w:t xml:space="preserve">Couverture du barème (100 pts)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5160"/>
        <w:gridCol w:w="1400"/>
        <w:gridCol w:w="2800"/>
      </w:tblGrid>
      <w:tr>
        <w:trPr>
          <w:tblHeader/>
        </w:trPr>
        <w:tc>
          <w:tcPr>
            <w:tcW w:type="dxa" w:w="5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5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Segmentation réseau testée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Atteint ✔</w:t>
            </w:r>
          </w:p>
        </w:tc>
      </w:tr>
      <w:tr>
        <w:tc>
          <w:tcPr>
            <w:tcW w:type="dxa" w:w="5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Idempotence du code IaC</w:t>
            </w:r>
          </w:p>
        </w:tc>
        <w:tc>
          <w:tcPr>
            <w:tcW w:type="dxa" w:w="1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2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Atteint — changed=0 ✔</w:t>
            </w:r>
          </w:p>
        </w:tc>
      </w:tr>
      <w:tr>
        <w:tc>
          <w:tcPr>
            <w:tcW w:type="dxa" w:w="5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Couverture CIS numérotée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Atteint ✔</w:t>
            </w:r>
          </w:p>
        </w:tc>
      </w:tr>
      <w:tr>
        <w:tc>
          <w:tcPr>
            <w:tcW w:type="dxa" w:w="516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Delta de conformité Lynis</w:t>
            </w:r>
          </w:p>
        </w:tc>
        <w:tc>
          <w:tcPr>
            <w:tcW w:type="dxa" w:w="14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20</w:t>
            </w:r>
          </w:p>
        </w:tc>
        <w:tc>
          <w:tcPr>
            <w:tcW w:type="dxa" w:w="2800"/>
            <w:shd w:fill="F2F6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Atteint — +6 / +5 ✔</w:t>
            </w:r>
          </w:p>
        </w:tc>
      </w:tr>
      <w:tr>
        <w:tc>
          <w:tcPr>
            <w:tcW w:type="dxa" w:w="51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Documentation reproductible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145"/>
                <w:sz w:val="19"/>
                <w:szCs w:val="19"/>
              </w:rPr>
              <w:t xml:space="preserve">Atteint ✔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3864"/>
          <w:sz w:val="30"/>
          <w:szCs w:val="30"/>
        </w:rPr>
        <w:t xml:space="preserve">7. Compétences démontrées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Durcissement CIS automatisé et idempotent (Ansible, rôles)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Segmentation réseau et pare-feu par zone (ufw, host-based)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Audit système et journalisation (auditd, journald)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Mesure de conformité objective (Lynis, delta chiffré avant/après)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Architecture DMZ / bastion (jump host dual-homed)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Compréhension des interactions Docker / pare-feu (sécurité de production)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Infrastructure as Code (Ansible + Terraform AWS)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sz w:val="21"/>
          <w:szCs w:val="21"/>
        </w:rPr>
        <w:t xml:space="preserve">Documentation reproductible et adaptation aux contraintes réelles</w:t>
      </w:r>
    </w:p>
    <w:p>
      <w:pPr>
        <w:pBdr>
          <w:bottom w:val="single" w:color="BFBFBF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before="120"/>
        <w:jc w:val="center"/>
      </w:pPr>
      <w:r>
        <w:rPr>
          <w:i/>
          <w:iCs/>
          <w:color w:val="595959"/>
          <w:sz w:val="18"/>
          <w:szCs w:val="18"/>
        </w:rPr>
        <w:t xml:space="preserve">Projet réalisé en autonomie — Styve Landry SIME KOUNOU — styvelandry1@outlook.fr — octobre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a6ed16be876434bb7c40702fe93374c811060b.png"/><Relationship Id="rId8" Type="http://schemas.openxmlformats.org/officeDocument/2006/relationships/image" Target="media/317f40434323228aaf8f9f59f3fa682b6db16faf.png"/><Relationship Id="rId9" Type="http://schemas.openxmlformats.org/officeDocument/2006/relationships/image" Target="media/87515143616ab3acb78679138526ecdd484a5ae5.png"/><Relationship Id="rId10" Type="http://schemas.openxmlformats.org/officeDocument/2006/relationships/image" Target="media/b037ded8aefd01fc791c0c758eca0bf8efa7c744.png"/><Relationship Id="rId11" Type="http://schemas.openxmlformats.org/officeDocument/2006/relationships/image" Target="media/6ed449b5a34f1a0c1c3ff0d1a82ad6a9dcc34d54.png"/><Relationship Id="rId12" Type="http://schemas.openxmlformats.org/officeDocument/2006/relationships/image" Target="media/17746f38cdd37e3c796d0fd162e88a6b163611a4.png"/><Relationship Id="rId13" Type="http://schemas.openxmlformats.org/officeDocument/2006/relationships/image" Target="media/b2bac3dae194539b6701f4d0545b3f825123b1d3.png"/><Relationship Id="rId14" Type="http://schemas.openxmlformats.org/officeDocument/2006/relationships/image" Target="media/acb803ff9dbfebd9f76fca24ea10c5676f8407d3.png"/><Relationship Id="rId15" Type="http://schemas.openxmlformats.org/officeDocument/2006/relationships/image" Target="media/30b94f342067e8c308fb0e341a0a8f5374934b16.png"/><Relationship Id="rId16" Type="http://schemas.openxmlformats.org/officeDocument/2006/relationships/image" Target="media/2a0e954a44a4260fcdfb6f4c0969b28155fee949.png"/><Relationship Id="rId17" Type="http://schemas.openxmlformats.org/officeDocument/2006/relationships/image" Target="media/2fd9f73e19d2a56f2c7ed8e93f0902d9f312eeb6.png"/><Relationship Id="rId18" Type="http://schemas.openxmlformats.org/officeDocument/2006/relationships/image" Target="media/3b4e444ac1749f74353ed7801f04ceb50fbfb006.png"/><Relationship Id="rId19" Type="http://schemas.openxmlformats.org/officeDocument/2006/relationships/image" Target="media/d33f3cad38abf6341cbc88a04e35f0f5fba47764.png"/><Relationship Id="rId20" Type="http://schemas.openxmlformats.org/officeDocument/2006/relationships/image" Target="media/3fb5589cabe0c88a2aadbcef5d0fd724b9d90d33.png"/><Relationship Id="rId21" Type="http://schemas.openxmlformats.org/officeDocument/2006/relationships/image" Target="media/8b893f69ed24f2e37f71960f5578e7b352912fed.png"/><Relationship Id="rId22" Type="http://schemas.openxmlformats.org/officeDocument/2006/relationships/image" Target="media/b5f5bb4a53686da5eae478a58aa54abcca10da9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02 — Infrastructure durcie as-code</dc:title>
  <dc:creator>Styve Landry SIME KOUNOU</dc:creator>
  <cp:lastModifiedBy>Un-named</cp:lastModifiedBy>
  <cp:revision>1</cp:revision>
  <dcterms:created xsi:type="dcterms:W3CDTF">2026-10-28T16:18:18.152Z</dcterms:created>
  <dcterms:modified xsi:type="dcterms:W3CDTF">2026-10-28T16:18:18.161Z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