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aps/>
          <w:color w:val="1A8A72"/>
          <w:sz w:val="22"/>
        </w:rPr>
        <w:t>YOUTRIMERS</w:t>
      </w:r>
    </w:p>
    <w:p>
      <w:pPr>
        <w:pStyle w:val="Normal"/>
        <w:jc w:val="center"/>
        <w:rPr/>
      </w:pPr>
      <w:r>
        <w:rPr>
          <w:b/>
          <w:color w:val="1A202C"/>
          <w:sz w:val="52"/>
        </w:rPr>
        <w:t>Recommendation Engine</w:t>
      </w:r>
    </w:p>
    <w:p>
      <w:pPr>
        <w:pStyle w:val="Normal"/>
        <w:jc w:val="center"/>
        <w:rPr/>
      </w:pPr>
      <w:r>
        <w:rPr>
          <w:color w:val="4B5563"/>
          <w:sz w:val="26"/>
        </w:rPr>
        <w:t>Scoring, Filtering &amp; Ranking — Technical Reference</w:t>
      </w:r>
    </w:p>
    <w:p>
      <w:pPr>
        <w:pStyle w:val="Normal"/>
        <w:rPr/>
      </w:pPr>
      <w:r>
        <w:rPr/>
      </w:r>
    </w:p>
    <w:p>
      <w:pPr>
        <w:pStyle w:val="Normal"/>
        <w:jc w:val="center"/>
        <w:rPr/>
      </w:pPr>
      <w:r>
        <w:rPr>
          <w:color w:val="9CA3AF"/>
          <w:sz w:val="20"/>
        </w:rPr>
        <w:t>Version 1.0  ·  April 2026</w:t>
      </w:r>
    </w:p>
    <w:p>
      <w:pPr>
        <w:pStyle w:val="Normal"/>
        <w:rPr/>
      </w:pPr>
      <w:r>
        <w:rPr/>
      </w:r>
      <w:r>
        <w:br w:type="page"/>
      </w:r>
    </w:p>
    <w:p>
      <w:pPr>
        <w:pStyle w:val="Heading1"/>
        <w:spacing w:before="0" w:after="0"/>
        <w:jc w:val="start"/>
        <w:rPr/>
      </w:pPr>
      <w:r>
        <w:rPr>
          <w:b/>
          <w:color w:val="1A202C"/>
          <w:sz w:val="36"/>
        </w:rPr>
        <w:t>1. Overview</w:t>
      </w:r>
    </w:p>
    <w:p>
      <w:pPr>
        <w:pStyle w:val="Normal"/>
        <w:spacing w:before="0" w:after="80"/>
        <w:rPr/>
      </w:pPr>
      <w:r>
        <w:rPr>
          <w:b w:val="false"/>
          <w:color w:val="4B5563"/>
          <w:sz w:val="20"/>
        </w:rPr>
        <w:t>The Youtrimers recommendation engine takes a member's selected health goals and returns a ranked list of supplement products (and bundles) that best match the nutrient requirements those goals imply. The pipeline has five stages:</w:t>
      </w:r>
    </w:p>
    <w:tbl>
      <w:tblPr>
        <w:tblStyle w:val="TableGrid"/>
        <w:tblW w:w="892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159"/>
        <w:gridCol w:w="6769"/>
      </w:tblGrid>
      <w:tr>
        <w:trPr/>
        <w:tc>
          <w:tcPr>
            <w:tcW w:w="2159" w:type="dxa"/>
            <w:tcBorders>
              <w:top w:val="single" w:sz="4" w:space="0" w:color="D1D5DB"/>
              <w:start w:val="single" w:sz="4" w:space="0" w:color="D1D5DB"/>
              <w:bottom w:val="single" w:sz="4" w:space="0" w:color="D1D5DB"/>
              <w:end w:val="single" w:sz="4" w:space="0" w:color="D1D5DB"/>
            </w:tcBorders>
            <w:shd w:color="auto" w:fill="1A8A7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9"/>
                <w:szCs w:val="22"/>
                <w:lang w:val="en-US" w:eastAsia="en-US" w:bidi="ar-SA"/>
              </w:rPr>
              <w:t>Stage</w:t>
            </w:r>
          </w:p>
        </w:tc>
        <w:tc>
          <w:tcPr>
            <w:tcW w:w="6769" w:type="dxa"/>
            <w:tcBorders>
              <w:top w:val="single" w:sz="4" w:space="0" w:color="D1D5DB"/>
              <w:start w:val="single" w:sz="4" w:space="0" w:color="D1D5DB"/>
              <w:bottom w:val="single" w:sz="4" w:space="0" w:color="D1D5DB"/>
              <w:end w:val="single" w:sz="4" w:space="0" w:color="D1D5DB"/>
            </w:tcBorders>
            <w:shd w:color="auto" w:fill="1A8A7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9"/>
                <w:szCs w:val="22"/>
                <w:lang w:val="en-US" w:eastAsia="en-US" w:bidi="ar-SA"/>
              </w:rPr>
              <w:t>Description</w:t>
            </w:r>
          </w:p>
        </w:tc>
      </w:tr>
      <w:tr>
        <w:trPr/>
        <w:tc>
          <w:tcPr>
            <w:tcW w:w="2159"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Goals → Rules</w:t>
            </w:r>
          </w:p>
        </w:tc>
        <w:tc>
          <w:tcPr>
            <w:tcW w:w="6769"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 xml:space="preserve">Member-selected goal nodes are matched against the rules table. Each rule carries one or more nutrient actions (require / avoid / </w:t>
            </w:r>
            <w:r>
              <w:rPr>
                <w:rFonts w:eastAsia="ＭＳ 明朝" w:cs=""/>
                <w:color w:val="4B5563"/>
                <w:kern w:val="0"/>
                <w:sz w:val="19"/>
                <w:szCs w:val="22"/>
                <w:shd w:fill="FFFF00" w:val="clear"/>
                <w:lang w:val="en-US" w:eastAsia="en-US" w:bidi="ar-SA"/>
              </w:rPr>
              <w:t>prefer tag / prefer form</w:t>
            </w:r>
            <w:r>
              <w:rPr>
                <w:rFonts w:eastAsia="ＭＳ 明朝" w:cs=""/>
                <w:color w:val="4B5563"/>
                <w:kern w:val="0"/>
                <w:sz w:val="19"/>
                <w:szCs w:val="22"/>
                <w:lang w:val="en-US" w:eastAsia="en-US" w:bidi="ar-SA"/>
              </w:rPr>
              <w:t>).</w:t>
            </w:r>
          </w:p>
        </w:tc>
      </w:tr>
      <w:tr>
        <w:trPr/>
        <w:tc>
          <w:tcPr>
            <w:tcW w:w="2159"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Rule Consolidation</w:t>
            </w:r>
          </w:p>
        </w:tc>
        <w:tc>
          <w:tcPr>
            <w:tcW w:w="6769"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 xml:space="preserve">All fired rules are merged into a single ConsolidatedRules object. Conflicts are resolved by </w:t>
            </w:r>
            <w:r>
              <w:rPr>
                <w:rFonts w:eastAsia="ＭＳ 明朝" w:cs=""/>
                <w:color w:val="4B5563"/>
                <w:kern w:val="0"/>
                <w:sz w:val="19"/>
                <w:szCs w:val="22"/>
                <w:shd w:fill="FFFF00" w:val="clear"/>
                <w:lang w:val="en-US" w:eastAsia="en-US" w:bidi="ar-SA"/>
              </w:rPr>
              <w:t>rule priority</w:t>
            </w:r>
            <w:r>
              <w:rPr>
                <w:rFonts w:eastAsia="ＭＳ 明朝" w:cs=""/>
                <w:color w:val="4B5563"/>
                <w:kern w:val="0"/>
                <w:sz w:val="19"/>
                <w:szCs w:val="22"/>
                <w:lang w:val="en-US" w:eastAsia="en-US" w:bidi="ar-SA"/>
              </w:rPr>
              <w:t xml:space="preserve"> (lower integer = higher priority).</w:t>
            </w:r>
          </w:p>
        </w:tc>
      </w:tr>
      <w:tr>
        <w:trPr/>
        <w:tc>
          <w:tcPr>
            <w:tcW w:w="2159"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Product Scoring</w:t>
            </w:r>
          </w:p>
        </w:tc>
        <w:tc>
          <w:tcPr>
            <w:tcW w:w="6769"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Every active product (and bundle combination) is scored against the consolidated requirements. The score combines nutrient coverage and cost-per-serving.</w:t>
            </w:r>
          </w:p>
        </w:tc>
      </w:tr>
      <w:tr>
        <w:trPr/>
        <w:tc>
          <w:tcPr>
            <w:tcW w:w="2159"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Filtering</w:t>
            </w:r>
          </w:p>
        </w:tc>
        <w:tc>
          <w:tcPr>
            <w:tcW w:w="6769"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Products below the minimum score threshold, or violating a hard-avoid rule, are removed.</w:t>
            </w:r>
          </w:p>
        </w:tc>
      </w:tr>
      <w:tr>
        <w:trPr/>
        <w:tc>
          <w:tcPr>
            <w:tcW w:w="2159"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Diversity Re-ranking</w:t>
            </w:r>
          </w:p>
        </w:tc>
        <w:tc>
          <w:tcPr>
            <w:tcW w:w="6769"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The filtered list is re-ranked using MMR (Maximal Marginal Relevance) to control variety in the displayed results.</w:t>
            </w:r>
          </w:p>
        </w:tc>
      </w:tr>
    </w:tbl>
    <w:p>
      <w:pPr>
        <w:pStyle w:val="Normal"/>
        <w:rPr/>
      </w:pPr>
      <w:r>
        <w:rPr/>
      </w:r>
    </w:p>
    <w:p>
      <w:pPr>
        <w:pStyle w:val="Heading1"/>
        <w:jc w:val="start"/>
        <w:rPr/>
      </w:pPr>
      <w:r>
        <w:rPr>
          <w:b/>
          <w:color w:val="1A202C"/>
          <w:sz w:val="36"/>
        </w:rPr>
        <w:t>2. Rule Consolidation</w:t>
      </w:r>
    </w:p>
    <w:p>
      <w:pPr>
        <w:pStyle w:val="Normal"/>
        <w:spacing w:before="0" w:after="80"/>
        <w:rPr/>
      </w:pPr>
      <w:r>
        <w:rPr>
          <w:b w:val="false"/>
          <w:color w:val="4B5563"/>
          <w:sz w:val="20"/>
        </w:rPr>
        <w:t>Before scoring, all fired rules are merged into a single set of nutrient requirements via consolidateRules(). This ensures each nutrient appears only once, with the most conservative dose bounds across all relevant goals.</w:t>
      </w:r>
    </w:p>
    <w:p>
      <w:pPr>
        <w:pStyle w:val="Heading2"/>
        <w:jc w:val="start"/>
        <w:rPr/>
      </w:pPr>
      <w:r>
        <w:rPr>
          <w:b/>
          <w:color w:val="1A202C"/>
          <w:sz w:val="26"/>
        </w:rPr>
        <w:t>2.1 Dose Accumulation</w:t>
      </w:r>
    </w:p>
    <w:tbl>
      <w:tblPr>
        <w:tblStyle w:val="TableGrid"/>
        <w:tblW w:w="892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67"/>
        <w:gridCol w:w="5761"/>
      </w:tblGrid>
      <w:tr>
        <w:trPr/>
        <w:tc>
          <w:tcPr>
            <w:tcW w:w="3167" w:type="dxa"/>
            <w:tcBorders>
              <w:top w:val="single" w:sz="4" w:space="0" w:color="D1D5DB"/>
              <w:start w:val="single" w:sz="4" w:space="0" w:color="D1D5DB"/>
              <w:bottom w:val="single" w:sz="4" w:space="0" w:color="D1D5DB"/>
              <w:end w:val="single" w:sz="4" w:space="0" w:color="D1D5DB"/>
            </w:tcBorders>
            <w:shd w:color="auto" w:fill="1A8A7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9"/>
                <w:szCs w:val="22"/>
                <w:lang w:val="en-US" w:eastAsia="en-US" w:bidi="ar-SA"/>
              </w:rPr>
              <w:t>Parameter</w:t>
            </w:r>
          </w:p>
        </w:tc>
        <w:tc>
          <w:tcPr>
            <w:tcW w:w="5761" w:type="dxa"/>
            <w:tcBorders>
              <w:top w:val="single" w:sz="4" w:space="0" w:color="D1D5DB"/>
              <w:start w:val="single" w:sz="4" w:space="0" w:color="D1D5DB"/>
              <w:bottom w:val="single" w:sz="4" w:space="0" w:color="D1D5DB"/>
              <w:end w:val="single" w:sz="4" w:space="0" w:color="D1D5DB"/>
            </w:tcBorders>
            <w:shd w:color="auto" w:fill="1A8A7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9"/>
                <w:szCs w:val="22"/>
                <w:lang w:val="en-US" w:eastAsia="en-US" w:bidi="ar-SA"/>
              </w:rPr>
              <w:t>Value / Description</w:t>
            </w:r>
          </w:p>
        </w:tc>
      </w:tr>
      <w:tr>
        <w:trPr/>
        <w:tc>
          <w:tcPr>
            <w:tcW w:w="3167"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min_dose</w:t>
            </w:r>
          </w:p>
        </w:tc>
        <w:tc>
          <w:tcPr>
            <w:tcW w:w="5761"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Maximum of all minimums across rules — the most conservative effective floor.</w:t>
            </w:r>
          </w:p>
        </w:tc>
      </w:tr>
      <w:tr>
        <w:trPr/>
        <w:tc>
          <w:tcPr>
            <w:tcW w:w="3167"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max_dose</w:t>
            </w:r>
          </w:p>
        </w:tc>
        <w:tc>
          <w:tcPr>
            <w:tcW w:w="5761"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Minimum of all maximums — the most restrictive safe ceiling.</w:t>
            </w:r>
          </w:p>
        </w:tc>
      </w:tr>
      <w:tr>
        <w:trPr/>
        <w:tc>
          <w:tcPr>
            <w:tcW w:w="3167"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preferred_dose</w:t>
            </w:r>
          </w:p>
        </w:tc>
        <w:tc>
          <w:tcPr>
            <w:tcW w:w="5761"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Taken from the rule with the lowest dose_priority integer (highest dose authority).</w:t>
            </w:r>
          </w:p>
        </w:tc>
      </w:tr>
      <w:tr>
        <w:trPr/>
        <w:tc>
          <w:tcPr>
            <w:tcW w:w="3167"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weight</w:t>
            </w:r>
          </w:p>
        </w:tc>
        <w:tc>
          <w:tcPr>
            <w:tcW w:w="5761"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1 / rule_priority. Lower priority integer → higher weight in scoring.</w:t>
            </w:r>
          </w:p>
        </w:tc>
      </w:tr>
    </w:tbl>
    <w:p>
      <w:pPr>
        <w:pStyle w:val="Normal"/>
        <w:rPr/>
      </w:pPr>
      <w:r>
        <w:rPr/>
      </w:r>
    </w:p>
    <w:p>
      <w:pPr>
        <w:pStyle w:val="Heading2"/>
        <w:jc w:val="start"/>
        <w:rPr/>
      </w:pPr>
      <w:r>
        <w:rPr>
          <w:b/>
          <w:color w:val="1A202C"/>
          <w:sz w:val="26"/>
        </w:rPr>
        <w:t>2.2 Conflict Resolution</w:t>
      </w:r>
    </w:p>
    <w:p>
      <w:pPr>
        <w:pStyle w:val="Normal"/>
        <w:spacing w:before="0" w:after="80"/>
        <w:rPr/>
      </w:pPr>
      <w:r>
        <w:rPr>
          <w:b w:val="false"/>
          <w:color w:val="4B5563"/>
          <w:sz w:val="20"/>
        </w:rPr>
        <w:t>When two rules disagree on the same nutrient (one requires it, another avoids it), the rule with the lower priority integer wins. Avoid rules can carry an enforce level:</w:t>
      </w:r>
    </w:p>
    <w:p>
      <w:pPr>
        <w:pStyle w:val="ListBullet"/>
        <w:numPr>
          <w:ilvl w:val="0"/>
          <w:numId w:val="1"/>
        </w:numPr>
        <w:spacing w:before="0" w:after="40"/>
        <w:contextualSpacing/>
        <w:rPr/>
      </w:pPr>
      <w:r>
        <w:rPr>
          <w:color w:val="4B5563"/>
          <w:sz w:val="20"/>
        </w:rPr>
        <w:t>requirement — hard filter: product is excluded from results entirely.</w:t>
      </w:r>
    </w:p>
    <w:p>
      <w:pPr>
        <w:pStyle w:val="ListBullet"/>
        <w:numPr>
          <w:ilvl w:val="0"/>
          <w:numId w:val="1"/>
        </w:numPr>
        <w:spacing w:before="0" w:after="40"/>
        <w:contextualSpacing/>
        <w:rPr/>
      </w:pPr>
      <w:r>
        <w:rPr>
          <w:color w:val="4B5563"/>
          <w:sz w:val="20"/>
        </w:rPr>
        <w:t>recommendation — soft penalty: coverage score is multiplied by 0.5.</w:t>
      </w:r>
    </w:p>
    <w:p>
      <w:pPr>
        <w:pStyle w:val="Normal"/>
        <w:rPr/>
      </w:pPr>
      <w:r>
        <w:rPr/>
      </w:r>
    </w:p>
    <w:p>
      <w:pPr>
        <w:pStyle w:val="Heading2"/>
        <w:jc w:val="start"/>
        <w:rPr/>
      </w:pPr>
      <w:r>
        <w:rPr>
          <w:b/>
          <w:color w:val="1A202C"/>
          <w:sz w:val="26"/>
        </w:rPr>
        <w:t>2.3 Tag &amp; Form Preferences</w:t>
      </w:r>
    </w:p>
    <w:p>
      <w:pPr>
        <w:pStyle w:val="Normal"/>
        <w:spacing w:before="0" w:after="80"/>
        <w:rPr/>
      </w:pPr>
      <w:r>
        <w:rPr>
          <w:b w:val="false"/>
          <w:color w:val="4B5563"/>
          <w:sz w:val="20"/>
        </w:rPr>
        <w:t>prefer_tag and avoid_tag actions are unioned across all fired rules. If a tag appears in both sets, avoid wins. prefer_form actions are similarly unioned.</w:t>
      </w:r>
    </w:p>
    <w:p>
      <w:pPr>
        <w:pStyle w:val="Normal"/>
        <w:rPr/>
      </w:pPr>
      <w:r>
        <w:rPr/>
      </w:r>
    </w:p>
    <w:p>
      <w:pPr>
        <w:pStyle w:val="Heading1"/>
        <w:jc w:val="start"/>
        <w:rPr/>
      </w:pPr>
      <w:r>
        <w:rPr>
          <w:b/>
          <w:color w:val="1A202C"/>
          <w:sz w:val="36"/>
        </w:rPr>
        <w:t>3. Coverage Score</w:t>
      </w:r>
    </w:p>
    <w:p>
      <w:pPr>
        <w:pStyle w:val="Normal"/>
        <w:spacing w:before="0" w:after="80"/>
        <w:rPr/>
      </w:pPr>
      <w:r>
        <w:rPr>
          <w:b w:val="false"/>
          <w:color w:val="4B5563"/>
          <w:sz w:val="20"/>
        </w:rPr>
        <w:t>The coverage score measures how well a product (or bundle) satisfies the consolidated nutrient requirements, weighted by rule priority.</w:t>
      </w:r>
    </w:p>
    <w:p>
      <w:pPr>
        <w:pStyle w:val="Heading2"/>
        <w:jc w:val="start"/>
        <w:rPr/>
      </w:pPr>
      <w:r>
        <w:rPr>
          <w:b/>
          <w:color w:val="1A202C"/>
          <w:sz w:val="26"/>
        </w:rPr>
        <w:t>3.1 Base Formula</w:t>
      </w:r>
    </w:p>
    <w:p>
      <w:pPr>
        <w:pStyle w:val="Normal"/>
        <w:spacing w:before="80" w:after="80"/>
        <w:ind w:start="432"/>
        <w:rPr/>
      </w:pPr>
      <w:r>
        <w:rPr>
          <w:rFonts w:ascii="Courier New" w:hAnsi="Courier New"/>
          <w:color w:val="1E40AF"/>
          <w:sz w:val="19"/>
        </w:rPr>
        <w:t>coverageScore = Σ(weight_i × satisfaction_i)  /  Σ(weight_i)</w:t>
      </w:r>
    </w:p>
    <w:p>
      <w:pPr>
        <w:pStyle w:val="Normal"/>
        <w:spacing w:before="0" w:after="80"/>
        <w:rPr/>
      </w:pPr>
      <w:r>
        <w:rPr>
          <w:b w:val="false"/>
          <w:color w:val="4B5563"/>
          <w:sz w:val="20"/>
        </w:rPr>
        <w:t>Where weight_i = 1 / rule_priority for nutrient i.</w:t>
      </w:r>
    </w:p>
    <w:p>
      <w:pPr>
        <w:pStyle w:val="Normal"/>
        <w:rPr/>
      </w:pPr>
      <w:r>
        <w:rPr/>
      </w:r>
    </w:p>
    <w:p>
      <w:pPr>
        <w:pStyle w:val="Heading2"/>
        <w:jc w:val="start"/>
        <w:rPr/>
      </w:pPr>
      <w:r>
        <w:rPr>
          <w:b/>
          <w:color w:val="1A202C"/>
          <w:sz w:val="26"/>
        </w:rPr>
        <w:t>3.2 Satisfaction Per Nutrient</w:t>
      </w:r>
    </w:p>
    <w:tbl>
      <w:tblPr>
        <w:tblStyle w:val="TableGrid"/>
        <w:tblW w:w="892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67"/>
        <w:gridCol w:w="5761"/>
      </w:tblGrid>
      <w:tr>
        <w:trPr/>
        <w:tc>
          <w:tcPr>
            <w:tcW w:w="3167" w:type="dxa"/>
            <w:tcBorders>
              <w:top w:val="single" w:sz="4" w:space="0" w:color="D1D5DB"/>
              <w:start w:val="single" w:sz="4" w:space="0" w:color="D1D5DB"/>
              <w:bottom w:val="single" w:sz="4" w:space="0" w:color="D1D5DB"/>
              <w:end w:val="single" w:sz="4" w:space="0" w:color="D1D5DB"/>
            </w:tcBorders>
            <w:shd w:color="auto" w:fill="1A8A7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9"/>
                <w:szCs w:val="22"/>
                <w:lang w:val="en-US" w:eastAsia="en-US" w:bidi="ar-SA"/>
              </w:rPr>
              <w:t>Parameter</w:t>
            </w:r>
          </w:p>
        </w:tc>
        <w:tc>
          <w:tcPr>
            <w:tcW w:w="5761" w:type="dxa"/>
            <w:tcBorders>
              <w:top w:val="single" w:sz="4" w:space="0" w:color="D1D5DB"/>
              <w:start w:val="single" w:sz="4" w:space="0" w:color="D1D5DB"/>
              <w:bottom w:val="single" w:sz="4" w:space="0" w:color="D1D5DB"/>
              <w:end w:val="single" w:sz="4" w:space="0" w:color="D1D5DB"/>
            </w:tcBorders>
            <w:shd w:color="auto" w:fill="1A8A7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9"/>
                <w:szCs w:val="22"/>
                <w:lang w:val="en-US" w:eastAsia="en-US" w:bidi="ar-SA"/>
              </w:rPr>
              <w:t>Value / Description</w:t>
            </w:r>
          </w:p>
        </w:tc>
      </w:tr>
      <w:tr>
        <w:trPr/>
        <w:tc>
          <w:tcPr>
            <w:tcW w:w="3167"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No dose data available</w:t>
            </w:r>
          </w:p>
        </w:tc>
        <w:tc>
          <w:tcPr>
            <w:tcW w:w="5761"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satisfaction = 1.0 (presence is sufficient — MVP default)</w:t>
            </w:r>
          </w:p>
        </w:tc>
      </w:tr>
      <w:tr>
        <w:trPr/>
        <w:tc>
          <w:tcPr>
            <w:tcW w:w="3167"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Dose ≥ preferred_dose</w:t>
            </w:r>
          </w:p>
        </w:tc>
        <w:tc>
          <w:tcPr>
            <w:tcW w:w="5761"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satisfaction = 1.0</w:t>
            </w:r>
          </w:p>
        </w:tc>
      </w:tr>
      <w:tr>
        <w:trPr/>
        <w:tc>
          <w:tcPr>
            <w:tcW w:w="3167"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Dose &lt; preferred_dose</w:t>
            </w:r>
          </w:p>
        </w:tc>
        <w:tc>
          <w:tcPr>
            <w:tcW w:w="5761"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satisfaction = dose / (preferred_dose × 1000)  [capped at 1.0]</w:t>
            </w:r>
          </w:p>
        </w:tc>
      </w:tr>
      <w:tr>
        <w:trPr/>
        <w:tc>
          <w:tcPr>
            <w:tcW w:w="3167"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Dose &gt; max_dose (overdose)</w:t>
            </w:r>
          </w:p>
        </w:tc>
        <w:tc>
          <w:tcPr>
            <w:tcW w:w="5761"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satisfaction × 0.7  (OVERDOSE_MULTIPLIER)</w:t>
            </w:r>
          </w:p>
        </w:tc>
      </w:tr>
      <w:tr>
        <w:trPr/>
        <w:tc>
          <w:tcPr>
            <w:tcW w:w="3167"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Nutrient absent from product</w:t>
            </w:r>
          </w:p>
        </w:tc>
        <w:tc>
          <w:tcPr>
            <w:tcW w:w="5761"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satisfaction = 0.0</w:t>
            </w:r>
          </w:p>
        </w:tc>
      </w:tr>
      <w:tr>
        <w:trPr/>
        <w:tc>
          <w:tcPr>
            <w:tcW w:w="3167"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satisfaction ≥ 0.5</w:t>
            </w:r>
          </w:p>
        </w:tc>
        <w:tc>
          <w:tcPr>
            <w:tcW w:w="5761"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Nutrient counted as matched (shown as green pill)</w:t>
            </w:r>
          </w:p>
        </w:tc>
      </w:tr>
      <w:tr>
        <w:trPr/>
        <w:tc>
          <w:tcPr>
            <w:tcW w:w="3167"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satisfaction &lt; 0.5</w:t>
            </w:r>
          </w:p>
        </w:tc>
        <w:tc>
          <w:tcPr>
            <w:tcW w:w="5761"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Nutrient counted as missed (shown as gray pill)</w:t>
            </w:r>
          </w:p>
        </w:tc>
      </w:tr>
    </w:tbl>
    <w:p>
      <w:pPr>
        <w:pStyle w:val="Normal"/>
        <w:rPr/>
      </w:pPr>
      <w:r>
        <w:rPr/>
      </w:r>
    </w:p>
    <w:p>
      <w:pPr>
        <w:pStyle w:val="Normal"/>
        <w:spacing w:before="120" w:after="120"/>
        <w:ind w:start="216"/>
        <w:rPr/>
      </w:pPr>
      <w:r>
        <w:rPr>
          <w:i/>
          <w:color w:val="D97806"/>
          <w:sz w:val="20"/>
        </w:rPr>
        <w:t>MVP note: dose data (amount_per_serving, amount_unit) is unpopulated for most products. The engine falls back to pure presence-based scoring (satisfaction = 1.0 if present) and upgrades automatically when dose data is enriched — no code change required.</w:t>
      </w:r>
    </w:p>
    <w:p>
      <w:pPr>
        <w:pStyle w:val="Heading2"/>
        <w:jc w:val="start"/>
        <w:rPr/>
      </w:pPr>
      <w:r>
        <w:rPr>
          <w:b/>
          <w:color w:val="1A202C"/>
          <w:sz w:val="26"/>
        </w:rPr>
        <w:t>3.3 Avoid-Nutrient Penalties</w:t>
      </w:r>
    </w:p>
    <w:p>
      <w:pPr>
        <w:pStyle w:val="Normal"/>
        <w:spacing w:before="0" w:after="80"/>
        <w:rPr/>
      </w:pPr>
      <w:r>
        <w:rPr>
          <w:b w:val="false"/>
          <w:color w:val="4B5563"/>
          <w:sz w:val="20"/>
        </w:rPr>
        <w:t>Applied after the base coverage score is computed:</w:t>
      </w:r>
    </w:p>
    <w:tbl>
      <w:tblPr>
        <w:tblStyle w:val="TableGrid"/>
        <w:tblW w:w="892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67"/>
        <w:gridCol w:w="5761"/>
      </w:tblGrid>
      <w:tr>
        <w:trPr/>
        <w:tc>
          <w:tcPr>
            <w:tcW w:w="3167" w:type="dxa"/>
            <w:tcBorders>
              <w:top w:val="single" w:sz="4" w:space="0" w:color="D1D5DB"/>
              <w:start w:val="single" w:sz="4" w:space="0" w:color="D1D5DB"/>
              <w:bottom w:val="single" w:sz="4" w:space="0" w:color="D1D5DB"/>
              <w:end w:val="single" w:sz="4" w:space="0" w:color="D1D5DB"/>
            </w:tcBorders>
            <w:shd w:color="auto" w:fill="1A8A7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9"/>
                <w:szCs w:val="22"/>
                <w:lang w:val="en-US" w:eastAsia="en-US" w:bidi="ar-SA"/>
              </w:rPr>
              <w:t>Parameter</w:t>
            </w:r>
          </w:p>
        </w:tc>
        <w:tc>
          <w:tcPr>
            <w:tcW w:w="5761" w:type="dxa"/>
            <w:tcBorders>
              <w:top w:val="single" w:sz="4" w:space="0" w:color="D1D5DB"/>
              <w:start w:val="single" w:sz="4" w:space="0" w:color="D1D5DB"/>
              <w:bottom w:val="single" w:sz="4" w:space="0" w:color="D1D5DB"/>
              <w:end w:val="single" w:sz="4" w:space="0" w:color="D1D5DB"/>
            </w:tcBorders>
            <w:shd w:color="auto" w:fill="1A8A7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9"/>
                <w:szCs w:val="22"/>
                <w:lang w:val="en-US" w:eastAsia="en-US" w:bidi="ar-SA"/>
              </w:rPr>
              <w:t>Value / Description</w:t>
            </w:r>
          </w:p>
        </w:tc>
      </w:tr>
      <w:tr>
        <w:trPr/>
        <w:tc>
          <w:tcPr>
            <w:tcW w:w="3167"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enforce_level = requirement</w:t>
            </w:r>
          </w:p>
        </w:tc>
        <w:tc>
          <w:tcPr>
            <w:tcW w:w="5761"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hardAvoidViolated = true → product excluded entirely (score not computed).</w:t>
            </w:r>
          </w:p>
        </w:tc>
      </w:tr>
      <w:tr>
        <w:trPr/>
        <w:tc>
          <w:tcPr>
            <w:tcW w:w="3167"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enforce_level = recommendation</w:t>
            </w:r>
          </w:p>
        </w:tc>
        <w:tc>
          <w:tcPr>
            <w:tcW w:w="5761"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coverageScore × 0.5  (AVOID_NUTRIENT_MULTIPLIER)</w:t>
            </w:r>
          </w:p>
        </w:tc>
      </w:tr>
    </w:tbl>
    <w:p>
      <w:pPr>
        <w:pStyle w:val="Normal"/>
        <w:rPr/>
      </w:pPr>
      <w:r>
        <w:rPr/>
      </w:r>
    </w:p>
    <w:p>
      <w:pPr>
        <w:pStyle w:val="Heading2"/>
        <w:jc w:val="start"/>
        <w:rPr/>
      </w:pPr>
      <w:r>
        <w:rPr>
          <w:b/>
          <w:color w:val="1A202C"/>
          <w:sz w:val="26"/>
        </w:rPr>
        <w:t>3.4 Focus Penalty</w:t>
      </w:r>
    </w:p>
    <w:p>
      <w:pPr>
        <w:pStyle w:val="Normal"/>
        <w:spacing w:before="0" w:after="80"/>
        <w:rPr/>
      </w:pPr>
      <w:r>
        <w:rPr>
          <w:b w:val="false"/>
          <w:color w:val="4B5563"/>
          <w:sz w:val="20"/>
        </w:rPr>
        <w:t>Products containing ingredients not linked to any required nutrient are penalised to favour focused supplements over broad multi-vitamins when the goals are narrow.</w:t>
      </w:r>
    </w:p>
    <w:p>
      <w:pPr>
        <w:pStyle w:val="Normal"/>
        <w:spacing w:before="80" w:after="80"/>
        <w:ind w:start="432"/>
        <w:rPr/>
      </w:pPr>
      <w:r>
        <w:rPr>
          <w:rFonts w:ascii="Courier New" w:hAnsi="Courier New"/>
          <w:color w:val="1E40AF"/>
          <w:sz w:val="19"/>
        </w:rPr>
        <w:t>focusPenalty  = FOCUS_WEIGHT × (extraIngredients / totalLinkedIngredients)</w:t>
      </w:r>
    </w:p>
    <w:p>
      <w:pPr>
        <w:pStyle w:val="Normal"/>
        <w:spacing w:before="80" w:after="80"/>
        <w:ind w:start="432"/>
        <w:rPr/>
      </w:pPr>
      <w:r>
        <w:rPr>
          <w:rFonts w:ascii="Courier New" w:hAnsi="Courier New"/>
          <w:color w:val="1E40AF"/>
          <w:sz w:val="19"/>
        </w:rPr>
        <w:t>coverageScore = coverageScore × (1 − focusPenalty)</w:t>
      </w:r>
    </w:p>
    <w:p>
      <w:pPr>
        <w:pStyle w:val="Normal"/>
        <w:spacing w:before="0" w:after="80"/>
        <w:rPr/>
      </w:pPr>
      <w:r>
        <w:rPr>
          <w:b w:val="false"/>
          <w:color w:val="4B5563"/>
          <w:sz w:val="20"/>
        </w:rPr>
        <w:t>FOCUS_WEIGHT = 0.08  (8% maximum penalty for a product with 100% extra ingredients)</w:t>
      </w:r>
    </w:p>
    <w:p>
      <w:pPr>
        <w:pStyle w:val="Normal"/>
        <w:rPr/>
      </w:pPr>
      <w:r>
        <w:rPr/>
      </w:r>
    </w:p>
    <w:p>
      <w:pPr>
        <w:pStyle w:val="Heading1"/>
        <w:jc w:val="start"/>
        <w:rPr/>
      </w:pPr>
      <w:r>
        <w:rPr>
          <w:b/>
          <w:color w:val="1A202C"/>
          <w:sz w:val="36"/>
        </w:rPr>
        <w:t>4. Price vs. Quality Balance</w:t>
      </w:r>
    </w:p>
    <w:p>
      <w:pPr>
        <w:pStyle w:val="Normal"/>
        <w:spacing w:before="0" w:after="80"/>
        <w:rPr/>
      </w:pPr>
      <w:r>
        <w:rPr>
          <w:b w:val="false"/>
          <w:color w:val="4B5563"/>
          <w:sz w:val="20"/>
        </w:rPr>
        <w:t>The user controls a slider (0 – 1) that blends nutrient coverage with price efficiency. This is the qualityWeight parameter.</w:t>
      </w:r>
    </w:p>
    <w:p>
      <w:pPr>
        <w:pStyle w:val="Heading2"/>
        <w:jc w:val="start"/>
        <w:rPr/>
      </w:pPr>
      <w:r>
        <w:rPr>
          <w:b/>
          <w:color w:val="1A202C"/>
          <w:sz w:val="26"/>
        </w:rPr>
        <w:t>4.1 Price Score</w:t>
      </w:r>
    </w:p>
    <w:p>
      <w:pPr>
        <w:pStyle w:val="Normal"/>
        <w:spacing w:before="0" w:after="80"/>
        <w:rPr/>
      </w:pPr>
      <w:r>
        <w:rPr>
          <w:b w:val="false"/>
          <w:color w:val="4B5563"/>
          <w:sz w:val="20"/>
        </w:rPr>
        <w:t>Price is normalised across the single-product catalog using min/max cost-per-serving. Bundles can exceed the catalog maximum, so the score is clamped to [0, 1].</w:t>
      </w:r>
    </w:p>
    <w:p>
      <w:pPr>
        <w:pStyle w:val="Normal"/>
        <w:spacing w:before="80" w:after="80"/>
        <w:ind w:start="432"/>
        <w:rPr/>
      </w:pPr>
      <w:r>
        <w:rPr>
          <w:rFonts w:ascii="Courier New" w:hAnsi="Courier New"/>
          <w:color w:val="1E40AF"/>
          <w:sz w:val="19"/>
        </w:rPr>
        <w:t>priceScore = max(0,  1 − (costPerServing − minCPS) / (maxCPS − minCPS))</w:t>
      </w:r>
    </w:p>
    <w:p>
      <w:pPr>
        <w:pStyle w:val="Normal"/>
        <w:spacing w:before="0" w:after="80"/>
        <w:rPr/>
      </w:pPr>
      <w:r>
        <w:rPr>
          <w:b w:val="false"/>
          <w:color w:val="4B5563"/>
          <w:sz w:val="20"/>
        </w:rPr>
        <w:t>costPerServing for bundles = sum of costUsd / servingsPerContainer across all products in the bundle.</w:t>
      </w:r>
    </w:p>
    <w:p>
      <w:pPr>
        <w:pStyle w:val="Normal"/>
        <w:rPr/>
      </w:pPr>
      <w:r>
        <w:rPr/>
      </w:r>
    </w:p>
    <w:p>
      <w:pPr>
        <w:pStyle w:val="Heading2"/>
        <w:jc w:val="start"/>
        <w:rPr/>
      </w:pPr>
      <w:r>
        <w:rPr>
          <w:b/>
          <w:color w:val="1A202C"/>
          <w:sz w:val="26"/>
        </w:rPr>
        <w:t>4.2 Blended Score Formula</w:t>
      </w:r>
    </w:p>
    <w:p>
      <w:pPr>
        <w:pStyle w:val="Normal"/>
        <w:spacing w:before="80" w:after="80"/>
        <w:ind w:start="432"/>
        <w:rPr/>
      </w:pPr>
      <w:r>
        <w:rPr>
          <w:rFonts w:ascii="Courier New" w:hAnsi="Courier New"/>
          <w:color w:val="1E40AF"/>
          <w:sz w:val="19"/>
        </w:rPr>
        <w:t>blendedScore = qualityWeight × coverageScore + (1 − qualityWeight) × priceScore</w:t>
      </w:r>
    </w:p>
    <w:tbl>
      <w:tblPr>
        <w:tblStyle w:val="TableGrid"/>
        <w:tblW w:w="892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67"/>
        <w:gridCol w:w="5761"/>
      </w:tblGrid>
      <w:tr>
        <w:trPr/>
        <w:tc>
          <w:tcPr>
            <w:tcW w:w="3167" w:type="dxa"/>
            <w:tcBorders>
              <w:top w:val="single" w:sz="4" w:space="0" w:color="D1D5DB"/>
              <w:start w:val="single" w:sz="4" w:space="0" w:color="D1D5DB"/>
              <w:bottom w:val="single" w:sz="4" w:space="0" w:color="D1D5DB"/>
              <w:end w:val="single" w:sz="4" w:space="0" w:color="D1D5DB"/>
            </w:tcBorders>
            <w:shd w:color="auto" w:fill="1A8A7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9"/>
                <w:szCs w:val="22"/>
                <w:lang w:val="en-US" w:eastAsia="en-US" w:bidi="ar-SA"/>
              </w:rPr>
              <w:t>Parameter</w:t>
            </w:r>
          </w:p>
        </w:tc>
        <w:tc>
          <w:tcPr>
            <w:tcW w:w="5761" w:type="dxa"/>
            <w:tcBorders>
              <w:top w:val="single" w:sz="4" w:space="0" w:color="D1D5DB"/>
              <w:start w:val="single" w:sz="4" w:space="0" w:color="D1D5DB"/>
              <w:bottom w:val="single" w:sz="4" w:space="0" w:color="D1D5DB"/>
              <w:end w:val="single" w:sz="4" w:space="0" w:color="D1D5DB"/>
            </w:tcBorders>
            <w:shd w:color="auto" w:fill="1A8A7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9"/>
                <w:szCs w:val="22"/>
                <w:lang w:val="en-US" w:eastAsia="en-US" w:bidi="ar-SA"/>
              </w:rPr>
              <w:t>Value / Description</w:t>
            </w:r>
          </w:p>
        </w:tc>
      </w:tr>
      <w:tr>
        <w:trPr/>
        <w:tc>
          <w:tcPr>
            <w:tcW w:w="3167"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qualityWeight = 0.0 (Budget)</w:t>
            </w:r>
          </w:p>
        </w:tc>
        <w:tc>
          <w:tcPr>
            <w:tcW w:w="5761"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blendedScore = priceScore — cheapest products rank first regardless of coverage.</w:t>
            </w:r>
          </w:p>
        </w:tc>
      </w:tr>
      <w:tr>
        <w:trPr/>
        <w:tc>
          <w:tcPr>
            <w:tcW w:w="3167"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qualityWeight = 0.5 (Balanced)</w:t>
            </w:r>
          </w:p>
        </w:tc>
        <w:tc>
          <w:tcPr>
            <w:tcW w:w="5761"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Equal weight to coverage and price — default setting.</w:t>
            </w:r>
          </w:p>
        </w:tc>
      </w:tr>
      <w:tr>
        <w:trPr/>
        <w:tc>
          <w:tcPr>
            <w:tcW w:w="3167"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qualityWeight = 1.0 (Quality)</w:t>
            </w:r>
          </w:p>
        </w:tc>
        <w:tc>
          <w:tcPr>
            <w:tcW w:w="5761"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blendedScore = coverageScore — most nutritionally complete products rank first.</w:t>
            </w:r>
          </w:p>
        </w:tc>
      </w:tr>
    </w:tbl>
    <w:p>
      <w:pPr>
        <w:pStyle w:val="Normal"/>
        <w:rPr/>
      </w:pPr>
      <w:r>
        <w:rPr/>
      </w:r>
    </w:p>
    <w:p>
      <w:pPr>
        <w:pStyle w:val="Heading2"/>
        <w:jc w:val="start"/>
        <w:rPr/>
      </w:pPr>
      <w:r>
        <w:rPr>
          <w:b/>
          <w:color w:val="1A202C"/>
          <w:sz w:val="26"/>
        </w:rPr>
        <w:t>4.3 UI Presets</w:t>
      </w:r>
    </w:p>
    <w:tbl>
      <w:tblPr>
        <w:tblStyle w:val="TableGrid"/>
        <w:tblW w:w="892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67"/>
        <w:gridCol w:w="5761"/>
      </w:tblGrid>
      <w:tr>
        <w:trPr/>
        <w:tc>
          <w:tcPr>
            <w:tcW w:w="3167" w:type="dxa"/>
            <w:tcBorders>
              <w:top w:val="single" w:sz="4" w:space="0" w:color="D1D5DB"/>
              <w:start w:val="single" w:sz="4" w:space="0" w:color="D1D5DB"/>
              <w:bottom w:val="single" w:sz="4" w:space="0" w:color="D1D5DB"/>
              <w:end w:val="single" w:sz="4" w:space="0" w:color="D1D5DB"/>
            </w:tcBorders>
            <w:shd w:color="auto" w:fill="1A8A7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9"/>
                <w:szCs w:val="22"/>
                <w:lang w:val="en-US" w:eastAsia="en-US" w:bidi="ar-SA"/>
              </w:rPr>
              <w:t>Parameter</w:t>
            </w:r>
          </w:p>
        </w:tc>
        <w:tc>
          <w:tcPr>
            <w:tcW w:w="5761" w:type="dxa"/>
            <w:tcBorders>
              <w:top w:val="single" w:sz="4" w:space="0" w:color="D1D5DB"/>
              <w:start w:val="single" w:sz="4" w:space="0" w:color="D1D5DB"/>
              <w:bottom w:val="single" w:sz="4" w:space="0" w:color="D1D5DB"/>
              <w:end w:val="single" w:sz="4" w:space="0" w:color="D1D5DB"/>
            </w:tcBorders>
            <w:shd w:color="auto" w:fill="1A8A7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9"/>
                <w:szCs w:val="22"/>
                <w:lang w:val="en-US" w:eastAsia="en-US" w:bidi="ar-SA"/>
              </w:rPr>
              <w:t>Value / Description</w:t>
            </w:r>
          </w:p>
        </w:tc>
      </w:tr>
      <w:tr>
        <w:trPr/>
        <w:tc>
          <w:tcPr>
            <w:tcW w:w="3167"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Budget</w:t>
            </w:r>
          </w:p>
        </w:tc>
        <w:tc>
          <w:tcPr>
            <w:tcW w:w="5761"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qualityWeight = 0.1</w:t>
            </w:r>
          </w:p>
        </w:tc>
      </w:tr>
      <w:tr>
        <w:trPr/>
        <w:tc>
          <w:tcPr>
            <w:tcW w:w="3167"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Balanced</w:t>
            </w:r>
          </w:p>
        </w:tc>
        <w:tc>
          <w:tcPr>
            <w:tcW w:w="5761"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qualityWeight = 0.5  (default)</w:t>
            </w:r>
          </w:p>
        </w:tc>
      </w:tr>
      <w:tr>
        <w:trPr/>
        <w:tc>
          <w:tcPr>
            <w:tcW w:w="3167"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Quality</w:t>
            </w:r>
          </w:p>
        </w:tc>
        <w:tc>
          <w:tcPr>
            <w:tcW w:w="5761"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qualityWeight = 0.9</w:t>
            </w:r>
          </w:p>
        </w:tc>
      </w:tr>
    </w:tbl>
    <w:p>
      <w:pPr>
        <w:pStyle w:val="Normal"/>
        <w:rPr/>
      </w:pPr>
      <w:r>
        <w:rPr/>
      </w:r>
    </w:p>
    <w:p>
      <w:pPr>
        <w:pStyle w:val="Normal"/>
        <w:spacing w:before="0" w:after="80"/>
        <w:rPr/>
      </w:pPr>
      <w:r>
        <w:rPr>
          <w:b w:val="false"/>
          <w:color w:val="4B5563"/>
          <w:sz w:val="20"/>
        </w:rPr>
        <w:t>A "More precision" toggle reveals a continuous slider (0 – 1, step 0.05).</w:t>
      </w:r>
    </w:p>
    <w:p>
      <w:pPr>
        <w:pStyle w:val="Normal"/>
        <w:rPr/>
      </w:pPr>
      <w:r>
        <w:rPr/>
      </w:r>
    </w:p>
    <w:p>
      <w:pPr>
        <w:pStyle w:val="Normal"/>
        <w:spacing w:before="120" w:after="120"/>
        <w:ind w:start="216"/>
        <w:rPr/>
      </w:pPr>
      <w:r>
        <w:rPr>
          <w:i/>
          <w:color w:val="D97806"/>
          <w:sz w:val="20"/>
        </w:rPr>
        <w:t>Important: The quality slider changes ranking order only. It does not guarantee that all displayed products fully cover every required nutrient. The nutrient pills on each card show exactly which requirements are met and which are missed.</w:t>
      </w:r>
    </w:p>
    <w:p>
      <w:pPr>
        <w:pStyle w:val="Heading1"/>
        <w:jc w:val="start"/>
        <w:rPr/>
      </w:pPr>
      <w:r>
        <w:rPr>
          <w:b/>
          <w:color w:val="1A202C"/>
          <w:sz w:val="36"/>
        </w:rPr>
        <w:t>5. Filtering</w:t>
      </w:r>
    </w:p>
    <w:p>
      <w:pPr>
        <w:pStyle w:val="Normal"/>
        <w:spacing w:before="0" w:after="80"/>
        <w:rPr/>
      </w:pPr>
      <w:r>
        <w:rPr>
          <w:b w:val="false"/>
          <w:color w:val="4B5563"/>
          <w:sz w:val="20"/>
        </w:rPr>
        <w:t>After scoring, two filters are applied before results are shown to the user.</w:t>
      </w:r>
    </w:p>
    <w:p>
      <w:pPr>
        <w:pStyle w:val="Heading2"/>
        <w:jc w:val="start"/>
        <w:rPr/>
      </w:pPr>
      <w:r>
        <w:rPr>
          <w:b/>
          <w:color w:val="1A202C"/>
          <w:sz w:val="26"/>
        </w:rPr>
        <w:t>5.1 Hard Avoid Filter</w:t>
      </w:r>
    </w:p>
    <w:p>
      <w:pPr>
        <w:pStyle w:val="Normal"/>
        <w:spacing w:before="0" w:after="80"/>
        <w:rPr/>
      </w:pPr>
      <w:r>
        <w:rPr>
          <w:b w:val="false"/>
          <w:color w:val="4B5563"/>
          <w:sz w:val="20"/>
        </w:rPr>
        <w:t>If a product contains a nutrient marked avoid with enforce_level = requirement, it is excluded entirely — the blended score is never computed and the product never appears in results, regardless of how well it covers other requirements.</w:t>
      </w:r>
    </w:p>
    <w:p>
      <w:pPr>
        <w:pStyle w:val="Normal"/>
        <w:rPr/>
      </w:pPr>
      <w:r>
        <w:rPr/>
      </w:r>
    </w:p>
    <w:p>
      <w:pPr>
        <w:pStyle w:val="Heading2"/>
        <w:jc w:val="start"/>
        <w:rPr/>
      </w:pPr>
      <w:r>
        <w:rPr>
          <w:b/>
          <w:color w:val="1A202C"/>
          <w:sz w:val="26"/>
        </w:rPr>
        <w:t>5.2 Minimum Score Threshold</w:t>
      </w:r>
    </w:p>
    <w:p>
      <w:pPr>
        <w:pStyle w:val="Normal"/>
        <w:spacing w:before="0" w:after="80"/>
        <w:rPr/>
      </w:pPr>
      <w:r>
        <w:rPr>
          <w:b w:val="false"/>
          <w:color w:val="4B5563"/>
          <w:sz w:val="20"/>
        </w:rPr>
        <w:t>Products whose blendedScore falls below MIN_SCORE_THRESHOLD are excluded.</w:t>
      </w:r>
    </w:p>
    <w:tbl>
      <w:tblPr>
        <w:tblStyle w:val="TableGrid"/>
        <w:tblW w:w="892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67"/>
        <w:gridCol w:w="5761"/>
      </w:tblGrid>
      <w:tr>
        <w:trPr/>
        <w:tc>
          <w:tcPr>
            <w:tcW w:w="3167" w:type="dxa"/>
            <w:tcBorders>
              <w:top w:val="single" w:sz="4" w:space="0" w:color="D1D5DB"/>
              <w:start w:val="single" w:sz="4" w:space="0" w:color="D1D5DB"/>
              <w:bottom w:val="single" w:sz="4" w:space="0" w:color="D1D5DB"/>
              <w:end w:val="single" w:sz="4" w:space="0" w:color="D1D5DB"/>
            </w:tcBorders>
            <w:shd w:color="auto" w:fill="1A8A7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9"/>
                <w:szCs w:val="22"/>
                <w:lang w:val="en-US" w:eastAsia="en-US" w:bidi="ar-SA"/>
              </w:rPr>
              <w:t>Parameter</w:t>
            </w:r>
          </w:p>
        </w:tc>
        <w:tc>
          <w:tcPr>
            <w:tcW w:w="5761" w:type="dxa"/>
            <w:tcBorders>
              <w:top w:val="single" w:sz="4" w:space="0" w:color="D1D5DB"/>
              <w:start w:val="single" w:sz="4" w:space="0" w:color="D1D5DB"/>
              <w:bottom w:val="single" w:sz="4" w:space="0" w:color="D1D5DB"/>
              <w:end w:val="single" w:sz="4" w:space="0" w:color="D1D5DB"/>
            </w:tcBorders>
            <w:shd w:color="auto" w:fill="1A8A7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9"/>
                <w:szCs w:val="22"/>
                <w:lang w:val="en-US" w:eastAsia="en-US" w:bidi="ar-SA"/>
              </w:rPr>
              <w:t>Value / Description</w:t>
            </w:r>
          </w:p>
        </w:tc>
      </w:tr>
      <w:tr>
        <w:trPr/>
        <w:tc>
          <w:tcPr>
            <w:tcW w:w="3167"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MIN_SCORE_THRESHOLD</w:t>
            </w:r>
          </w:p>
        </w:tc>
        <w:tc>
          <w:tcPr>
            <w:tcW w:w="5761"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0.1 — products scoring below 10% of maximum possible are excluded.</w:t>
            </w:r>
          </w:p>
        </w:tc>
      </w:tr>
    </w:tbl>
    <w:p>
      <w:pPr>
        <w:pStyle w:val="Normal"/>
        <w:rPr/>
      </w:pPr>
      <w:r>
        <w:rPr/>
      </w:r>
    </w:p>
    <w:p>
      <w:pPr>
        <w:pStyle w:val="Normal"/>
        <w:spacing w:before="120" w:after="120"/>
        <w:ind w:start="216"/>
        <w:rPr/>
      </w:pPr>
      <w:r>
        <w:rPr>
          <w:i/>
          <w:color w:val="D97806"/>
          <w:sz w:val="20"/>
        </w:rPr>
        <w:t>Known limitation: because the threshold applies to blendedScore (after price blending), a cheap product with low coverage can still pass if its priceScore is high enough. A separate minimum coverage floor (applied before blending) would more reliably exclude nutritionally weak products at all quality-weight settings.</w:t>
      </w:r>
    </w:p>
    <w:p>
      <w:pPr>
        <w:pStyle w:val="Heading1"/>
        <w:jc w:val="start"/>
        <w:rPr/>
      </w:pPr>
      <w:r>
        <w:rPr>
          <w:b/>
          <w:color w:val="1A202C"/>
          <w:sz w:val="36"/>
        </w:rPr>
        <w:t>6. Bundle Scoring</w:t>
      </w:r>
    </w:p>
    <w:p>
      <w:pPr>
        <w:pStyle w:val="Normal"/>
        <w:spacing w:before="0" w:after="80"/>
        <w:rPr/>
      </w:pPr>
      <w:r>
        <w:rPr>
          <w:b w:val="false"/>
          <w:color w:val="4B5563"/>
          <w:sz w:val="20"/>
        </w:rPr>
        <w:t>The engine can combine 2 or 3 products into bundles when no single product fully covers all required nutrients. Bundles are scored using the same formula as singles — the ingredients of all products in the bundle are merged into one combined ingredient map.</w:t>
      </w:r>
    </w:p>
    <w:p>
      <w:pPr>
        <w:pStyle w:val="Heading2"/>
        <w:jc w:val="start"/>
        <w:rPr/>
      </w:pPr>
      <w:r>
        <w:rPr>
          <w:b/>
          <w:color w:val="1A202C"/>
          <w:sz w:val="26"/>
        </w:rPr>
        <w:t>6.1 Merged Ingredient Map</w:t>
      </w:r>
    </w:p>
    <w:p>
      <w:pPr>
        <w:pStyle w:val="Normal"/>
        <w:spacing w:before="0" w:after="80"/>
        <w:rPr/>
      </w:pPr>
      <w:r>
        <w:rPr>
          <w:b w:val="false"/>
          <w:color w:val="4B5563"/>
          <w:sz w:val="20"/>
        </w:rPr>
        <w:t>Ingredients from all bundle products are unioned. If the same ingredient appears in more than one product, the first occurrence wins for dose data. "Present" means present in any product in the bundle.</w:t>
      </w:r>
    </w:p>
    <w:p>
      <w:pPr>
        <w:pStyle w:val="Normal"/>
        <w:rPr/>
      </w:pPr>
      <w:r>
        <w:rPr/>
      </w:r>
    </w:p>
    <w:p>
      <w:pPr>
        <w:pStyle w:val="Heading2"/>
        <w:jc w:val="start"/>
        <w:rPr/>
      </w:pPr>
      <w:r>
        <w:rPr>
          <w:b/>
          <w:color w:val="1A202C"/>
          <w:sz w:val="26"/>
        </w:rPr>
        <w:t>6.2 Candidate Pool Selection</w:t>
      </w:r>
    </w:p>
    <w:p>
      <w:pPr>
        <w:pStyle w:val="Normal"/>
        <w:spacing w:before="0" w:after="80"/>
        <w:rPr/>
      </w:pPr>
      <w:r>
        <w:rPr>
          <w:b w:val="false"/>
          <w:color w:val="4B5563"/>
          <w:sz w:val="20"/>
        </w:rPr>
        <w:t>To avoid evaluating all possible combinations, bundles are constructed from a curated candidate pool built from two pools:</w:t>
      </w:r>
    </w:p>
    <w:tbl>
      <w:tblPr>
        <w:tblStyle w:val="TableGrid"/>
        <w:tblW w:w="892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67"/>
        <w:gridCol w:w="5761"/>
      </w:tblGrid>
      <w:tr>
        <w:trPr/>
        <w:tc>
          <w:tcPr>
            <w:tcW w:w="3167" w:type="dxa"/>
            <w:tcBorders>
              <w:top w:val="single" w:sz="4" w:space="0" w:color="D1D5DB"/>
              <w:start w:val="single" w:sz="4" w:space="0" w:color="D1D5DB"/>
              <w:bottom w:val="single" w:sz="4" w:space="0" w:color="D1D5DB"/>
              <w:end w:val="single" w:sz="4" w:space="0" w:color="D1D5DB"/>
            </w:tcBorders>
            <w:shd w:color="auto" w:fill="1A8A7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9"/>
                <w:szCs w:val="22"/>
                <w:lang w:val="en-US" w:eastAsia="en-US" w:bidi="ar-SA"/>
              </w:rPr>
              <w:t>Parameter</w:t>
            </w:r>
          </w:p>
        </w:tc>
        <w:tc>
          <w:tcPr>
            <w:tcW w:w="5761" w:type="dxa"/>
            <w:tcBorders>
              <w:top w:val="single" w:sz="4" w:space="0" w:color="D1D5DB"/>
              <w:start w:val="single" w:sz="4" w:space="0" w:color="D1D5DB"/>
              <w:bottom w:val="single" w:sz="4" w:space="0" w:color="D1D5DB"/>
              <w:end w:val="single" w:sz="4" w:space="0" w:color="D1D5DB"/>
            </w:tcBorders>
            <w:shd w:color="auto" w:fill="1A8A7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9"/>
                <w:szCs w:val="22"/>
                <w:lang w:val="en-US" w:eastAsia="en-US" w:bidi="ar-SA"/>
              </w:rPr>
              <w:t>Value / Description</w:t>
            </w:r>
          </w:p>
        </w:tc>
      </w:tr>
      <w:tr>
        <w:trPr/>
        <w:tc>
          <w:tcPr>
            <w:tcW w:w="3167"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Pool A — Overall top-N</w:t>
            </w:r>
          </w:p>
        </w:tc>
        <w:tc>
          <w:tcPr>
            <w:tcW w:w="5761"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Top 20 singles by coverage score (top 10 for triplets). Catches products that cover many requirements simultaneously.</w:t>
            </w:r>
          </w:p>
        </w:tc>
      </w:tr>
      <w:tr>
        <w:trPr/>
        <w:tc>
          <w:tcPr>
            <w:tcW w:w="3167"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Pool B — Per-nutrient specialists</w:t>
            </w:r>
          </w:p>
        </w:tc>
        <w:tc>
          <w:tcPr>
            <w:tcW w:w="5761"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For each required nutrient: top 5 singles NOT already in Pool A that cover that nutrient, sorted by (extraIngredients ASC, costPerServing ASC). Catches focused, affordable specialists.</w:t>
            </w:r>
          </w:p>
        </w:tc>
      </w:tr>
    </w:tbl>
    <w:p>
      <w:pPr>
        <w:pStyle w:val="Normal"/>
        <w:rPr/>
      </w:pPr>
      <w:r>
        <w:rPr/>
      </w:r>
    </w:p>
    <w:p>
      <w:pPr>
        <w:pStyle w:val="Normal"/>
        <w:spacing w:before="0" w:after="80"/>
        <w:rPr/>
      </w:pPr>
      <w:r>
        <w:rPr>
          <w:b w:val="false"/>
          <w:color w:val="4B5563"/>
          <w:sz w:val="20"/>
        </w:rPr>
        <w:t>Pool B filters out Pool A members before slicing, so full-coverage products in Pool A cannot crowd out genuine specialists.</w:t>
      </w:r>
    </w:p>
    <w:p>
      <w:pPr>
        <w:pStyle w:val="Normal"/>
        <w:rPr/>
      </w:pPr>
      <w:r>
        <w:rPr/>
      </w:r>
    </w:p>
    <w:p>
      <w:pPr>
        <w:pStyle w:val="Heading2"/>
        <w:jc w:val="start"/>
        <w:rPr/>
      </w:pPr>
      <w:r>
        <w:rPr>
          <w:b/>
          <w:color w:val="1A202C"/>
          <w:sz w:val="26"/>
        </w:rPr>
        <w:t>6.3 Bundle Admission Filter</w:t>
      </w:r>
    </w:p>
    <w:p>
      <w:pPr>
        <w:pStyle w:val="Normal"/>
        <w:spacing w:before="0" w:after="80"/>
        <w:rPr/>
      </w:pPr>
      <w:r>
        <w:rPr>
          <w:b w:val="false"/>
          <w:color w:val="4B5563"/>
          <w:sz w:val="20"/>
        </w:rPr>
        <w:t>A bundle is only included in results if it matches more required nutrients than the best individual product in the bundle. This ensures bundles add genuine value.</w:t>
      </w:r>
    </w:p>
    <w:p>
      <w:pPr>
        <w:pStyle w:val="Normal"/>
        <w:spacing w:before="80" w:after="80"/>
        <w:ind w:start="432"/>
        <w:rPr/>
      </w:pPr>
      <w:r>
        <w:rPr>
          <w:rFonts w:ascii="Courier New" w:hAnsi="Courier New"/>
          <w:color w:val="1E40AF"/>
          <w:sz w:val="19"/>
        </w:rPr>
        <w:t>bundle admitted  iff  matchedCount(bundle) &gt; max(matchedCount(p) for p in bundle)</w:t>
      </w:r>
    </w:p>
    <w:p>
      <w:pPr>
        <w:pStyle w:val="Normal"/>
        <w:rPr/>
      </w:pPr>
      <w:r>
        <w:rPr/>
      </w:r>
    </w:p>
    <w:p>
      <w:pPr>
        <w:pStyle w:val="Heading2"/>
        <w:jc w:val="start"/>
        <w:rPr/>
      </w:pPr>
      <w:r>
        <w:rPr>
          <w:b/>
          <w:color w:val="1A202C"/>
          <w:sz w:val="26"/>
        </w:rPr>
        <w:t>6.4 Bundle Price</w:t>
      </w:r>
    </w:p>
    <w:p>
      <w:pPr>
        <w:pStyle w:val="Normal"/>
        <w:spacing w:before="0" w:after="80"/>
        <w:rPr/>
      </w:pPr>
      <w:r>
        <w:rPr>
          <w:b w:val="false"/>
          <w:color w:val="4B5563"/>
          <w:sz w:val="20"/>
        </w:rPr>
        <w:t>Each bundle card shows:</w:t>
      </w:r>
    </w:p>
    <w:p>
      <w:pPr>
        <w:pStyle w:val="ListBullet"/>
        <w:numPr>
          <w:ilvl w:val="0"/>
          <w:numId w:val="1"/>
        </w:numPr>
        <w:spacing w:before="0" w:after="40"/>
        <w:contextualSpacing/>
        <w:rPr/>
      </w:pPr>
      <w:r>
        <w:rPr>
          <w:color w:val="4B5563"/>
          <w:sz w:val="20"/>
        </w:rPr>
        <w:t>Per-product: cost-per-serving and bottle price.</w:t>
      </w:r>
    </w:p>
    <w:p>
      <w:pPr>
        <w:pStyle w:val="ListBullet"/>
        <w:numPr>
          <w:ilvl w:val="0"/>
          <w:numId w:val="1"/>
        </w:numPr>
        <w:spacing w:before="0" w:after="40"/>
        <w:contextualSpacing/>
        <w:rPr/>
      </w:pPr>
      <w:r>
        <w:rPr>
          <w:color w:val="4B5563"/>
          <w:sz w:val="20"/>
        </w:rPr>
        <w:t>Combined: sum of cost-per-serving across all products; sum of bottle prices.</w:t>
      </w:r>
    </w:p>
    <w:p>
      <w:pPr>
        <w:pStyle w:val="Normal"/>
        <w:spacing w:before="0" w:after="80"/>
        <w:rPr/>
      </w:pPr>
      <w:r>
        <w:rPr>
          <w:b w:val="false"/>
          <w:color w:val="4B5563"/>
          <w:sz w:val="20"/>
        </w:rPr>
        <w:t>The priceScore for blending is the combined cost-per-serving normalised against the single-product catalog range. Bundles often exceed the catalog maximum and are clamped to priceScore = 0.</w:t>
      </w:r>
    </w:p>
    <w:p>
      <w:pPr>
        <w:pStyle w:val="Normal"/>
        <w:rPr/>
      </w:pPr>
      <w:r>
        <w:rPr/>
      </w:r>
    </w:p>
    <w:p>
      <w:pPr>
        <w:pStyle w:val="Heading2"/>
        <w:jc w:val="start"/>
        <w:rPr/>
      </w:pPr>
      <w:r>
        <w:rPr>
          <w:b/>
          <w:color w:val="1A202C"/>
          <w:sz w:val="26"/>
        </w:rPr>
        <w:t>6.5 Bundle Size Control</w:t>
      </w:r>
    </w:p>
    <w:tbl>
      <w:tblPr>
        <w:tblStyle w:val="TableGrid"/>
        <w:tblW w:w="892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67"/>
        <w:gridCol w:w="5761"/>
      </w:tblGrid>
      <w:tr>
        <w:trPr/>
        <w:tc>
          <w:tcPr>
            <w:tcW w:w="3167" w:type="dxa"/>
            <w:tcBorders>
              <w:top w:val="single" w:sz="4" w:space="0" w:color="D1D5DB"/>
              <w:start w:val="single" w:sz="4" w:space="0" w:color="D1D5DB"/>
              <w:bottom w:val="single" w:sz="4" w:space="0" w:color="D1D5DB"/>
              <w:end w:val="single" w:sz="4" w:space="0" w:color="D1D5DB"/>
            </w:tcBorders>
            <w:shd w:color="auto" w:fill="1A8A7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9"/>
                <w:szCs w:val="22"/>
                <w:lang w:val="en-US" w:eastAsia="en-US" w:bidi="ar-SA"/>
              </w:rPr>
              <w:t>Parameter</w:t>
            </w:r>
          </w:p>
        </w:tc>
        <w:tc>
          <w:tcPr>
            <w:tcW w:w="5761" w:type="dxa"/>
            <w:tcBorders>
              <w:top w:val="single" w:sz="4" w:space="0" w:color="D1D5DB"/>
              <w:start w:val="single" w:sz="4" w:space="0" w:color="D1D5DB"/>
              <w:bottom w:val="single" w:sz="4" w:space="0" w:color="D1D5DB"/>
              <w:end w:val="single" w:sz="4" w:space="0" w:color="D1D5DB"/>
            </w:tcBorders>
            <w:shd w:color="auto" w:fill="1A8A7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9"/>
                <w:szCs w:val="22"/>
                <w:lang w:val="en-US" w:eastAsia="en-US" w:bidi="ar-SA"/>
              </w:rPr>
              <w:t>Value / Description</w:t>
            </w:r>
          </w:p>
        </w:tc>
      </w:tr>
      <w:tr>
        <w:trPr/>
        <w:tc>
          <w:tcPr>
            <w:tcW w:w="3167"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1 — Singles only</w:t>
            </w:r>
          </w:p>
        </w:tc>
        <w:tc>
          <w:tcPr>
            <w:tcW w:w="5761"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Only individual products are scored and shown.</w:t>
            </w:r>
          </w:p>
        </w:tc>
      </w:tr>
      <w:tr>
        <w:trPr/>
        <w:tc>
          <w:tcPr>
            <w:tcW w:w="3167"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2 — Pairs (default)</w:t>
            </w:r>
          </w:p>
        </w:tc>
        <w:tc>
          <w:tcPr>
            <w:tcW w:w="5761"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Individual products and pairs of two products.</w:t>
            </w:r>
          </w:p>
        </w:tc>
      </w:tr>
      <w:tr>
        <w:trPr/>
        <w:tc>
          <w:tcPr>
            <w:tcW w:w="3167"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3 — Triplets</w:t>
            </w:r>
          </w:p>
        </w:tc>
        <w:tc>
          <w:tcPr>
            <w:tcW w:w="5761"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Individual products, pairs, and combinations of three products.</w:t>
            </w:r>
          </w:p>
        </w:tc>
      </w:tr>
    </w:tbl>
    <w:p>
      <w:pPr>
        <w:pStyle w:val="Normal"/>
        <w:rPr/>
      </w:pPr>
      <w:r>
        <w:rPr/>
      </w:r>
    </w:p>
    <w:p>
      <w:pPr>
        <w:pStyle w:val="Heading1"/>
        <w:jc w:val="start"/>
        <w:rPr/>
      </w:pPr>
      <w:r>
        <w:rPr>
          <w:b/>
          <w:color w:val="1A202C"/>
          <w:sz w:val="36"/>
        </w:rPr>
        <w:t>7. Diversity Re-ranking (MMR)</w:t>
      </w:r>
    </w:p>
    <w:p>
      <w:pPr>
        <w:pStyle w:val="Normal"/>
        <w:spacing w:before="0" w:after="80"/>
        <w:rPr/>
      </w:pPr>
      <w:r>
        <w:rPr>
          <w:b w:val="false"/>
          <w:color w:val="4B5563"/>
          <w:sz w:val="20"/>
        </w:rPr>
        <w:t>After scoring and filtering, results are optionally re-ranked using Maximal Marginal Relevance (MMR) to reduce redundancy. This is a pure display transform — it does not trigger a new query or change scores.</w:t>
      </w:r>
    </w:p>
    <w:p>
      <w:pPr>
        <w:pStyle w:val="Heading2"/>
        <w:jc w:val="start"/>
        <w:rPr/>
      </w:pPr>
      <w:r>
        <w:rPr>
          <w:b/>
          <w:color w:val="1A202C"/>
          <w:sz w:val="26"/>
        </w:rPr>
        <w:t>7.1 MMR Formula</w:t>
      </w:r>
    </w:p>
    <w:p>
      <w:pPr>
        <w:pStyle w:val="Normal"/>
        <w:spacing w:before="80" w:after="80"/>
        <w:ind w:start="432"/>
        <w:rPr/>
      </w:pPr>
      <w:r>
        <w:rPr>
          <w:rFonts w:ascii="Courier New" w:hAnsi="Courier New"/>
          <w:color w:val="1E40AF"/>
          <w:sz w:val="19"/>
        </w:rPr>
        <w:t>MMR score = λ × relevance  −  (1 − λ) × max_similarity_to_selected</w:t>
      </w:r>
    </w:p>
    <w:p>
      <w:pPr>
        <w:pStyle w:val="Normal"/>
        <w:spacing w:before="0" w:after="80"/>
        <w:rPr/>
      </w:pPr>
      <w:r>
        <w:rPr>
          <w:b w:val="false"/>
          <w:color w:val="4B5563"/>
          <w:sz w:val="20"/>
        </w:rPr>
        <w:t>At each step, the candidate with the highest MMR score is added to the ranked list. λ (lambda) = 1 − diversityWeight.</w:t>
      </w:r>
    </w:p>
    <w:p>
      <w:pPr>
        <w:pStyle w:val="Normal"/>
        <w:rPr/>
      </w:pPr>
      <w:r>
        <w:rPr/>
      </w:r>
    </w:p>
    <w:p>
      <w:pPr>
        <w:pStyle w:val="Heading2"/>
        <w:jc w:val="start"/>
        <w:rPr/>
      </w:pPr>
      <w:r>
        <w:rPr>
          <w:b/>
          <w:color w:val="1A202C"/>
          <w:sz w:val="26"/>
        </w:rPr>
        <w:t>7.2 Similarity Metric</w:t>
      </w:r>
    </w:p>
    <w:p>
      <w:pPr>
        <w:pStyle w:val="Normal"/>
        <w:spacing w:before="0" w:after="80"/>
        <w:rPr/>
      </w:pPr>
      <w:r>
        <w:rPr>
          <w:b w:val="false"/>
          <w:color w:val="4B5563"/>
          <w:sz w:val="20"/>
        </w:rPr>
        <w:t>Similarity between two results is computed as a weighted combination:</w:t>
      </w:r>
    </w:p>
    <w:tbl>
      <w:tblPr>
        <w:tblStyle w:val="TableGrid"/>
        <w:tblW w:w="892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67"/>
        <w:gridCol w:w="5761"/>
      </w:tblGrid>
      <w:tr>
        <w:trPr/>
        <w:tc>
          <w:tcPr>
            <w:tcW w:w="3167" w:type="dxa"/>
            <w:tcBorders>
              <w:top w:val="single" w:sz="4" w:space="0" w:color="D1D5DB"/>
              <w:start w:val="single" w:sz="4" w:space="0" w:color="D1D5DB"/>
              <w:bottom w:val="single" w:sz="4" w:space="0" w:color="D1D5DB"/>
              <w:end w:val="single" w:sz="4" w:space="0" w:color="D1D5DB"/>
            </w:tcBorders>
            <w:shd w:color="auto" w:fill="1A8A7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9"/>
                <w:szCs w:val="22"/>
                <w:lang w:val="en-US" w:eastAsia="en-US" w:bidi="ar-SA"/>
              </w:rPr>
              <w:t>Parameter</w:t>
            </w:r>
          </w:p>
        </w:tc>
        <w:tc>
          <w:tcPr>
            <w:tcW w:w="5761" w:type="dxa"/>
            <w:tcBorders>
              <w:top w:val="single" w:sz="4" w:space="0" w:color="D1D5DB"/>
              <w:start w:val="single" w:sz="4" w:space="0" w:color="D1D5DB"/>
              <w:bottom w:val="single" w:sz="4" w:space="0" w:color="D1D5DB"/>
              <w:end w:val="single" w:sz="4" w:space="0" w:color="D1D5DB"/>
            </w:tcBorders>
            <w:shd w:color="auto" w:fill="1A8A7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9"/>
                <w:szCs w:val="22"/>
                <w:lang w:val="en-US" w:eastAsia="en-US" w:bidi="ar-SA"/>
              </w:rPr>
              <w:t>Value / Description</w:t>
            </w:r>
          </w:p>
        </w:tc>
      </w:tr>
      <w:tr>
        <w:trPr/>
        <w:tc>
          <w:tcPr>
            <w:tcW w:w="3167"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Shared products (weight 0.60)</w:t>
            </w:r>
          </w:p>
        </w:tc>
        <w:tc>
          <w:tcPr>
            <w:tcW w:w="5761"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Jaccard similarity of product ID sets. Exact product overlap dominates.</w:t>
            </w:r>
          </w:p>
        </w:tc>
      </w:tr>
      <w:tr>
        <w:trPr/>
        <w:tc>
          <w:tcPr>
            <w:tcW w:w="3167"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Shared brand (weight 0.25)</w:t>
            </w:r>
          </w:p>
        </w:tc>
        <w:tc>
          <w:tcPr>
            <w:tcW w:w="5761"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Binary: 1 if any product in result A shares a brand with any in result B, else 0.</w:t>
            </w:r>
          </w:p>
        </w:tc>
      </w:tr>
      <w:tr>
        <w:trPr/>
        <w:tc>
          <w:tcPr>
            <w:tcW w:w="3167"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Nutrient Jaccard (weight 0.15)</w:t>
            </w:r>
          </w:p>
        </w:tc>
        <w:tc>
          <w:tcPr>
            <w:tcW w:w="5761"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Jaccard similarity of matched nutrient node ID sets.</w:t>
            </w:r>
          </w:p>
        </w:tc>
      </w:tr>
    </w:tbl>
    <w:p>
      <w:pPr>
        <w:pStyle w:val="Normal"/>
        <w:rPr/>
      </w:pPr>
      <w:r>
        <w:rPr/>
      </w:r>
    </w:p>
    <w:p>
      <w:pPr>
        <w:pStyle w:val="Heading2"/>
        <w:jc w:val="start"/>
        <w:rPr/>
      </w:pPr>
      <w:r>
        <w:rPr>
          <w:b/>
          <w:color w:val="1A202C"/>
          <w:sz w:val="26"/>
        </w:rPr>
        <w:t>7.3 Diversity Control UI</w:t>
      </w:r>
    </w:p>
    <w:tbl>
      <w:tblPr>
        <w:tblStyle w:val="TableGrid"/>
        <w:tblW w:w="892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67"/>
        <w:gridCol w:w="5761"/>
      </w:tblGrid>
      <w:tr>
        <w:trPr/>
        <w:tc>
          <w:tcPr>
            <w:tcW w:w="3167" w:type="dxa"/>
            <w:tcBorders>
              <w:top w:val="single" w:sz="4" w:space="0" w:color="D1D5DB"/>
              <w:start w:val="single" w:sz="4" w:space="0" w:color="D1D5DB"/>
              <w:bottom w:val="single" w:sz="4" w:space="0" w:color="D1D5DB"/>
              <w:end w:val="single" w:sz="4" w:space="0" w:color="D1D5DB"/>
            </w:tcBorders>
            <w:shd w:color="auto" w:fill="1A8A7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9"/>
                <w:szCs w:val="22"/>
                <w:lang w:val="en-US" w:eastAsia="en-US" w:bidi="ar-SA"/>
              </w:rPr>
              <w:t>Parameter</w:t>
            </w:r>
          </w:p>
        </w:tc>
        <w:tc>
          <w:tcPr>
            <w:tcW w:w="5761" w:type="dxa"/>
            <w:tcBorders>
              <w:top w:val="single" w:sz="4" w:space="0" w:color="D1D5DB"/>
              <w:start w:val="single" w:sz="4" w:space="0" w:color="D1D5DB"/>
              <w:bottom w:val="single" w:sz="4" w:space="0" w:color="D1D5DB"/>
              <w:end w:val="single" w:sz="4" w:space="0" w:color="D1D5DB"/>
            </w:tcBorders>
            <w:shd w:color="auto" w:fill="1A8A7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9"/>
                <w:szCs w:val="22"/>
                <w:lang w:val="en-US" w:eastAsia="en-US" w:bidi="ar-SA"/>
              </w:rPr>
              <w:t>Value / Description</w:t>
            </w:r>
          </w:p>
        </w:tc>
      </w:tr>
      <w:tr>
        <w:trPr/>
        <w:tc>
          <w:tcPr>
            <w:tcW w:w="3167"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Focused</w:t>
            </w:r>
          </w:p>
        </w:tc>
        <w:tc>
          <w:tcPr>
            <w:tcW w:w="5761"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diversityWeight = 0  →  λ = 1.0  →  pure relevance order, no re-ranking.</w:t>
            </w:r>
          </w:p>
        </w:tc>
      </w:tr>
      <w:tr>
        <w:trPr/>
        <w:tc>
          <w:tcPr>
            <w:tcW w:w="3167"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Balanced</w:t>
            </w:r>
          </w:p>
        </w:tc>
        <w:tc>
          <w:tcPr>
            <w:tcW w:w="5761"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diversityWeight = 0.5  →  λ = 0.5  →  equal weight to relevance and variety.  (default)</w:t>
            </w:r>
          </w:p>
        </w:tc>
      </w:tr>
      <w:tr>
        <w:trPr/>
        <w:tc>
          <w:tcPr>
            <w:tcW w:w="3167"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Diverse</w:t>
            </w:r>
          </w:p>
        </w:tc>
        <w:tc>
          <w:tcPr>
            <w:tcW w:w="5761"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diversityWeight = 1  →  λ = 0.0  →  greedy farthest-first, maximum variety.</w:t>
            </w:r>
          </w:p>
        </w:tc>
      </w:tr>
    </w:tbl>
    <w:p>
      <w:pPr>
        <w:pStyle w:val="Normal"/>
        <w:rPr/>
      </w:pPr>
      <w:r>
        <w:rPr/>
      </w:r>
    </w:p>
    <w:p>
      <w:pPr>
        <w:pStyle w:val="Normal"/>
        <w:spacing w:before="0" w:after="80"/>
        <w:rPr/>
      </w:pPr>
      <w:r>
        <w:rPr>
          <w:b w:val="false"/>
          <w:color w:val="4B5563"/>
          <w:sz w:val="20"/>
        </w:rPr>
        <w:t>A "More precision" toggle reveals a continuous slider (0 – 1, step 0.05).</w:t>
      </w:r>
    </w:p>
    <w:p>
      <w:pPr>
        <w:pStyle w:val="Normal"/>
        <w:rPr/>
      </w:pPr>
      <w:r>
        <w:rPr/>
      </w:r>
    </w:p>
    <w:p>
      <w:pPr>
        <w:pStyle w:val="Heading1"/>
        <w:jc w:val="start"/>
        <w:rPr/>
      </w:pPr>
      <w:r>
        <w:rPr>
          <w:b/>
          <w:color w:val="1A202C"/>
          <w:sz w:val="36"/>
        </w:rPr>
        <w:t>8. Constants Reference</w:t>
      </w:r>
    </w:p>
    <w:p>
      <w:pPr>
        <w:pStyle w:val="Normal"/>
        <w:spacing w:before="0" w:after="80"/>
        <w:rPr/>
      </w:pPr>
      <w:r>
        <w:rPr>
          <w:b w:val="false"/>
          <w:color w:val="4B5563"/>
          <w:sz w:val="20"/>
        </w:rPr>
        <w:t>All tunable constants in scoreProducts.ts and diversifyResults.ts:</w:t>
      </w:r>
    </w:p>
    <w:p>
      <w:pPr>
        <w:pStyle w:val="Normal"/>
        <w:rPr/>
      </w:pPr>
      <w:r>
        <w:rPr/>
      </w:r>
    </w:p>
    <w:tbl>
      <w:tblPr>
        <w:tblStyle w:val="TableGrid"/>
        <w:tblW w:w="892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67"/>
        <w:gridCol w:w="5761"/>
      </w:tblGrid>
      <w:tr>
        <w:trPr/>
        <w:tc>
          <w:tcPr>
            <w:tcW w:w="3167" w:type="dxa"/>
            <w:tcBorders>
              <w:top w:val="single" w:sz="4" w:space="0" w:color="D1D5DB"/>
              <w:start w:val="single" w:sz="4" w:space="0" w:color="D1D5DB"/>
              <w:bottom w:val="single" w:sz="4" w:space="0" w:color="D1D5DB"/>
              <w:end w:val="single" w:sz="4" w:space="0" w:color="D1D5DB"/>
            </w:tcBorders>
            <w:shd w:color="auto" w:fill="1A8A7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9"/>
                <w:szCs w:val="22"/>
                <w:lang w:val="en-US" w:eastAsia="en-US" w:bidi="ar-SA"/>
              </w:rPr>
              <w:t>Parameter</w:t>
            </w:r>
          </w:p>
        </w:tc>
        <w:tc>
          <w:tcPr>
            <w:tcW w:w="5761" w:type="dxa"/>
            <w:tcBorders>
              <w:top w:val="single" w:sz="4" w:space="0" w:color="D1D5DB"/>
              <w:start w:val="single" w:sz="4" w:space="0" w:color="D1D5DB"/>
              <w:bottom w:val="single" w:sz="4" w:space="0" w:color="D1D5DB"/>
              <w:end w:val="single" w:sz="4" w:space="0" w:color="D1D5DB"/>
            </w:tcBorders>
            <w:shd w:color="auto" w:fill="1A8A7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9"/>
                <w:szCs w:val="22"/>
                <w:lang w:val="en-US" w:eastAsia="en-US" w:bidi="ar-SA"/>
              </w:rPr>
              <w:t>Value / Description</w:t>
            </w:r>
          </w:p>
        </w:tc>
      </w:tr>
      <w:tr>
        <w:trPr/>
        <w:tc>
          <w:tcPr>
            <w:tcW w:w="3167"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MIN_SCORE_THRESHOLD</w:t>
            </w:r>
          </w:p>
        </w:tc>
        <w:tc>
          <w:tcPr>
            <w:tcW w:w="5761"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0.1 — minimum blendedScore; products below are excluded.</w:t>
            </w:r>
          </w:p>
        </w:tc>
      </w:tr>
      <w:tr>
        <w:trPr/>
        <w:tc>
          <w:tcPr>
            <w:tcW w:w="3167"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OVERDOSE_MULTIPLIER</w:t>
            </w:r>
          </w:p>
        </w:tc>
        <w:tc>
          <w:tcPr>
            <w:tcW w:w="5761"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0.7 — satisfaction penalty when dose exceeds max_dose.</w:t>
            </w:r>
          </w:p>
        </w:tc>
      </w:tr>
      <w:tr>
        <w:trPr/>
        <w:tc>
          <w:tcPr>
            <w:tcW w:w="3167"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AVOID_NUTRIENT_MULTIPLIER</w:t>
            </w:r>
          </w:p>
        </w:tc>
        <w:tc>
          <w:tcPr>
            <w:tcW w:w="5761"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0.5 — score multiplier when a recommendation-level avoid nutrient is present.</w:t>
            </w:r>
          </w:p>
        </w:tc>
      </w:tr>
      <w:tr>
        <w:trPr/>
        <w:tc>
          <w:tcPr>
            <w:tcW w:w="3167"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FOCUS_WEIGHT</w:t>
            </w:r>
          </w:p>
        </w:tc>
        <w:tc>
          <w:tcPr>
            <w:tcW w:w="5761"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0.08 — maximum focus penalty coefficient.</w:t>
            </w:r>
          </w:p>
        </w:tc>
      </w:tr>
      <w:tr>
        <w:trPr/>
        <w:tc>
          <w:tcPr>
            <w:tcW w:w="3167"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BUNDLE_POOL_OVERALL_PAIR</w:t>
            </w:r>
          </w:p>
        </w:tc>
        <w:tc>
          <w:tcPr>
            <w:tcW w:w="5761"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20 — Pool A size for pair candidates.</w:t>
            </w:r>
          </w:p>
        </w:tc>
      </w:tr>
      <w:tr>
        <w:trPr/>
        <w:tc>
          <w:tcPr>
            <w:tcW w:w="3167"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BUNDLE_POOL_OVERALL_TRIPLET</w:t>
            </w:r>
          </w:p>
        </w:tc>
        <w:tc>
          <w:tcPr>
            <w:tcW w:w="5761" w:type="dxa"/>
            <w:tcBorders>
              <w:top w:val="single" w:sz="4" w:space="0" w:color="D1D5DB"/>
              <w:start w:val="single" w:sz="4" w:space="0" w:color="D1D5DB"/>
              <w:bottom w:val="single" w:sz="4" w:space="0" w:color="D1D5DB"/>
              <w:end w:val="single" w:sz="4" w:space="0" w:color="D1D5DB"/>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10 — Pool A size for triplet candidates.</w:t>
            </w:r>
          </w:p>
        </w:tc>
      </w:tr>
      <w:tr>
        <w:trPr/>
        <w:tc>
          <w:tcPr>
            <w:tcW w:w="3167"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BUNDLE_POOL_PER_NUTRIENT</w:t>
            </w:r>
          </w:p>
        </w:tc>
        <w:tc>
          <w:tcPr>
            <w:tcW w:w="5761" w:type="dxa"/>
            <w:tcBorders>
              <w:top w:val="single" w:sz="4" w:space="0" w:color="D1D5DB"/>
              <w:start w:val="single" w:sz="4" w:space="0" w:color="D1D5DB"/>
              <w:bottom w:val="single" w:sz="4" w:space="0" w:color="D1D5DB"/>
              <w:end w:val="single" w:sz="4" w:space="0" w:color="D1D5DB"/>
            </w:tcBorders>
            <w:shd w:color="auto" w:fill="F9FA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color w:val="4B5563"/>
                <w:kern w:val="0"/>
                <w:sz w:val="19"/>
                <w:szCs w:val="22"/>
                <w:lang w:val="en-US" w:eastAsia="en-US" w:bidi="ar-SA"/>
              </w:rPr>
              <w:t>5 — Pool B specialists per required nutrient.</w:t>
            </w:r>
          </w:p>
        </w:tc>
      </w:tr>
    </w:tbl>
    <w:p>
      <w:pPr>
        <w:pStyle w:val="Normal"/>
        <w:rPr/>
      </w:pPr>
      <w:r>
        <w:rPr/>
      </w:r>
    </w:p>
    <w:p>
      <w:pPr>
        <w:pStyle w:val="Heading1"/>
        <w:jc w:val="start"/>
        <w:rPr/>
      </w:pPr>
      <w:r>
        <w:rPr>
          <w:b/>
          <w:color w:val="1A202C"/>
          <w:sz w:val="36"/>
        </w:rPr>
        <w:t>9. End-to-End Example</w:t>
      </w:r>
    </w:p>
    <w:p>
      <w:pPr>
        <w:pStyle w:val="Normal"/>
        <w:spacing w:before="0" w:after="80"/>
        <w:rPr/>
      </w:pPr>
      <w:r>
        <w:rPr>
          <w:b w:val="false"/>
          <w:color w:val="4B5563"/>
          <w:sz w:val="20"/>
        </w:rPr>
        <w:t>Goal: Digestive Comfort → rules require Vitamin A (priority 10), Vitamin D (priority 10), Zinc (priority 20).</w:t>
      </w:r>
    </w:p>
    <w:p>
      <w:pPr>
        <w:pStyle w:val="Heading2"/>
        <w:jc w:val="start"/>
        <w:rPr/>
      </w:pPr>
      <w:r>
        <w:rPr>
          <w:b/>
          <w:color w:val="1A202C"/>
          <w:sz w:val="26"/>
        </w:rPr>
        <w:t>Weights</w:t>
      </w:r>
    </w:p>
    <w:p>
      <w:pPr>
        <w:pStyle w:val="Normal"/>
        <w:spacing w:before="80" w:after="80"/>
        <w:ind w:start="432"/>
        <w:rPr/>
      </w:pPr>
      <w:r>
        <w:rPr>
          <w:rFonts w:ascii="Courier New" w:hAnsi="Courier New"/>
          <w:color w:val="1E40AF"/>
          <w:sz w:val="19"/>
        </w:rPr>
        <w:t>weight(Vit A) = 1/10 = 0.10</w:t>
      </w:r>
    </w:p>
    <w:p>
      <w:pPr>
        <w:pStyle w:val="Normal"/>
        <w:spacing w:before="80" w:after="80"/>
        <w:ind w:start="432"/>
        <w:rPr/>
      </w:pPr>
      <w:r>
        <w:rPr>
          <w:rFonts w:ascii="Courier New" w:hAnsi="Courier New"/>
          <w:color w:val="1E40AF"/>
          <w:sz w:val="19"/>
        </w:rPr>
        <w:t>weight(Vit D) = 1/10 = 0.10</w:t>
      </w:r>
    </w:p>
    <w:p>
      <w:pPr>
        <w:pStyle w:val="Normal"/>
        <w:spacing w:before="80" w:after="80"/>
        <w:ind w:start="432"/>
        <w:rPr/>
      </w:pPr>
      <w:r>
        <w:rPr>
          <w:rFonts w:ascii="Courier New" w:hAnsi="Courier New"/>
          <w:color w:val="1E40AF"/>
          <w:sz w:val="19"/>
        </w:rPr>
        <w:t>weight(Zinc) = 1/20 = 0.05</w:t>
      </w:r>
    </w:p>
    <w:p>
      <w:pPr>
        <w:pStyle w:val="Normal"/>
        <w:spacing w:before="80" w:after="80"/>
        <w:ind w:start="432"/>
        <w:rPr/>
      </w:pPr>
      <w:r>
        <w:rPr>
          <w:rFonts w:ascii="Courier New" w:hAnsi="Courier New"/>
          <w:color w:val="1E40AF"/>
          <w:sz w:val="19"/>
        </w:rPr>
        <w:t>totalWeight   = 0.25</w:t>
      </w:r>
    </w:p>
    <w:p>
      <w:pPr>
        <w:pStyle w:val="Heading2"/>
        <w:jc w:val="start"/>
        <w:rPr/>
      </w:pPr>
      <w:r>
        <w:rPr>
          <w:b/>
          <w:color w:val="1A202C"/>
          <w:sz w:val="26"/>
        </w:rPr>
        <w:t>Single Product — "Swanson Vitamins A &amp; D"</w:t>
      </w:r>
    </w:p>
    <w:p>
      <w:pPr>
        <w:pStyle w:val="Normal"/>
        <w:spacing w:before="0" w:after="80"/>
        <w:rPr/>
      </w:pPr>
      <w:r>
        <w:rPr>
          <w:b w:val="false"/>
          <w:color w:val="4B5563"/>
          <w:sz w:val="20"/>
        </w:rPr>
        <w:t>Contains Vitamin A ✓, Vitamin D ✓, Zinc ✗ (absent)</w:t>
      </w:r>
    </w:p>
    <w:p>
      <w:pPr>
        <w:pStyle w:val="Normal"/>
        <w:spacing w:before="80" w:after="80"/>
        <w:ind w:start="432"/>
        <w:rPr/>
      </w:pPr>
      <w:r>
        <w:rPr>
          <w:rFonts w:ascii="Courier New" w:hAnsi="Courier New"/>
          <w:color w:val="1E40AF"/>
          <w:sz w:val="19"/>
        </w:rPr>
        <w:t>coverageScore = (0.10 + 0.10) / 0.25 = 0.80</w:t>
      </w:r>
    </w:p>
    <w:p>
      <w:pPr>
        <w:pStyle w:val="Normal"/>
        <w:spacing w:before="80" w:after="80"/>
        <w:ind w:start="432"/>
        <w:rPr/>
      </w:pPr>
      <w:r>
        <w:rPr>
          <w:rFonts w:ascii="Courier New" w:hAnsi="Courier New"/>
          <w:color w:val="1E40AF"/>
          <w:sz w:val="19"/>
        </w:rPr>
        <w:t>priceScore    = 0.90  (very cheap)</w:t>
      </w:r>
    </w:p>
    <w:p>
      <w:pPr>
        <w:pStyle w:val="Normal"/>
        <w:spacing w:before="80" w:after="80"/>
        <w:ind w:start="432"/>
        <w:rPr/>
      </w:pPr>
      <w:r>
        <w:rPr>
          <w:rFonts w:ascii="Courier New" w:hAnsi="Courier New"/>
          <w:color w:val="1E40AF"/>
          <w:sz w:val="19"/>
        </w:rPr>
        <w:t>blendedScore (Balanced, q=0.5) = 0.5×0.80 + 0.5×0.90 = 0.85</w:t>
      </w:r>
    </w:p>
    <w:p>
      <w:pPr>
        <w:pStyle w:val="Heading2"/>
        <w:jc w:val="start"/>
        <w:rPr/>
      </w:pPr>
      <w:r>
        <w:rPr>
          <w:b/>
          <w:color w:val="1A202C"/>
          <w:sz w:val="26"/>
        </w:rPr>
        <w:t>Bundle — "Swanson A &amp; D" + "NOW Zinc"</w:t>
      </w:r>
    </w:p>
    <w:p>
      <w:pPr>
        <w:pStyle w:val="Normal"/>
        <w:spacing w:before="0" w:after="80"/>
        <w:rPr/>
      </w:pPr>
      <w:r>
        <w:rPr>
          <w:b w:val="false"/>
          <w:color w:val="4B5563"/>
          <w:sz w:val="20"/>
        </w:rPr>
        <w:t>Merged map contains Vitamin A ✓, Vitamin D ✓, Zinc ✓</w:t>
      </w:r>
    </w:p>
    <w:p>
      <w:pPr>
        <w:pStyle w:val="Normal"/>
        <w:spacing w:before="80" w:after="80"/>
        <w:ind w:start="432"/>
        <w:rPr/>
      </w:pPr>
      <w:r>
        <w:rPr>
          <w:rFonts w:ascii="Courier New" w:hAnsi="Courier New"/>
          <w:color w:val="1E40AF"/>
          <w:sz w:val="19"/>
        </w:rPr>
        <w:t>coverageScore = (0.10 + 0.10 + 0.05) / 0.25 = 1.00</w:t>
      </w:r>
    </w:p>
    <w:p>
      <w:pPr>
        <w:pStyle w:val="Normal"/>
        <w:spacing w:before="80" w:after="80"/>
        <w:ind w:start="432"/>
        <w:rPr/>
      </w:pPr>
      <w:r>
        <w:rPr>
          <w:rFonts w:ascii="Courier New" w:hAnsi="Courier New"/>
          <w:color w:val="1E40AF"/>
          <w:sz w:val="19"/>
        </w:rPr>
        <w:t>priceScore    = 0.70  (combined cost is higher)</w:t>
      </w:r>
    </w:p>
    <w:p>
      <w:pPr>
        <w:pStyle w:val="Normal"/>
        <w:spacing w:before="80" w:after="80"/>
        <w:ind w:start="432"/>
        <w:rPr/>
      </w:pPr>
      <w:r>
        <w:rPr>
          <w:rFonts w:ascii="Courier New" w:hAnsi="Courier New"/>
          <w:color w:val="1E40AF"/>
          <w:sz w:val="19"/>
        </w:rPr>
        <w:t>blendedScore (Balanced, q=0.5) = 0.5×1.00 + 0.5×0.70 = 0.85</w:t>
      </w:r>
    </w:p>
    <w:p>
      <w:pPr>
        <w:pStyle w:val="Normal"/>
        <w:spacing w:before="0" w:after="80"/>
        <w:rPr/>
      </w:pPr>
      <w:r>
        <w:rPr>
          <w:b w:val="false"/>
          <w:color w:val="4B5563"/>
          <w:sz w:val="20"/>
        </w:rPr>
        <w:t>Both score equally at Balanced. At Quality (q=0.9) the bundle wins (0.97 vs 0.81). At Budget (q=0.1) the single wins (0.89 vs 0.77).</w:t>
      </w:r>
    </w:p>
    <w:p>
      <w:pPr>
        <w:pStyle w:val="Normal"/>
        <w:rPr/>
      </w:pPr>
      <w:r>
        <w:rPr/>
      </w:r>
    </w:p>
    <w:p>
      <w:pPr>
        <w:pStyle w:val="Normal"/>
        <w:rPr/>
      </w:pPr>
      <w:r>
        <w:rPr/>
      </w:r>
    </w:p>
    <w:p>
      <w:pPr>
        <w:pStyle w:val="Normal"/>
        <w:widowControl/>
        <w:bidi w:val="0"/>
        <w:spacing w:lineRule="auto" w:line="276" w:before="0" w:after="200"/>
        <w:jc w:val="start"/>
        <w:rPr/>
      </w:pPr>
      <w:r>
        <w:rPr>
          <w:i/>
          <w:color w:val="9CA3AF"/>
          <w:sz w:val="18"/>
        </w:rPr>
        <w:t>This document reflects engine version 1.0 (April 2026). Constants and thresholds are subject to tuning as dose data is enriched.</w:t>
      </w:r>
    </w:p>
    <w:sectPr>
      <w:type w:val="nextPage"/>
      <w:pgSz w:w="12240" w:h="15840"/>
      <w:pgMar w:left="1417" w:right="1417"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b1" w:characterSet="windows-1255"/>
    <w:family w:val="roman"/>
    <w:pitch w:val="variable"/>
  </w:font>
  <w:font w:name="Cambria">
    <w:charset w:val="b1" w:characterSet="windows-1255"/>
    <w:family w:val="roman"/>
    <w:pitch w:val="variable"/>
  </w:font>
  <w:font w:name="Calibri">
    <w:charset w:val="b1" w:characterSet="windows-1255"/>
    <w:family w:val="roman"/>
    <w:pitch w:val="variable"/>
  </w:font>
  <w:font w:name="Courier">
    <w:altName w:val="Courier New"/>
    <w:charset w:val="b1" w:characterSet="windows-1255"/>
    <w:family w:val="roman"/>
    <w:pitch w:val="variable"/>
  </w:font>
  <w:font w:name="Liberation Sans">
    <w:altName w:val="Arial"/>
    <w:charset w:val="b1" w:characterSet="windows-1255"/>
    <w:family w:val="swiss"/>
    <w:pitch w:val="variable"/>
  </w:font>
  <w:font w:name="Courier New">
    <w:charset w:val="b1" w:characterSet="windows-1255"/>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Nachlieli CLM"/>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David CLM"/>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Application>LibreOffice/26.2.1.2$Windows_X86_64 LibreOffice_project/620$Build-2</Application>
  <AppVersion>15.0000</AppVersion>
  <Pages>7</Pages>
  <Words>1656</Words>
  <Characters>9493</Characters>
  <CharactersWithSpaces>11011</CharactersWithSpaces>
  <Paragraphs>203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2026-04-10T18:20:05Z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