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520" w:line="320" w:lineRule="auto"/>
        <w:jc w:val="left"/>
      </w:pPr>
      <w:r>
        <w:rPr>
          <w:rFonts w:ascii="Arial Unicode MS" w:hAnsi="Arial Unicode MS" w:eastAsia="Arial Unicode MS"/>
          <w:b/>
          <w:i w:val="0"/>
          <w:color w:val="B8872D"/>
          <w:sz w:val="22"/>
        </w:rPr>
        <w:t>渠道合作路演材料</w:t>
      </w:r>
    </w:p>
    <w:p>
      <w:pPr>
        <w:spacing w:before="800" w:after="280" w:line="252" w:lineRule="auto"/>
        <w:jc w:val="left"/>
      </w:pPr>
      <w:r>
        <w:rPr>
          <w:rFonts w:ascii="Arial Unicode MS" w:hAnsi="Arial Unicode MS" w:eastAsia="Arial Unicode MS"/>
          <w:b/>
          <w:i w:val="0"/>
          <w:color w:val="163A5F"/>
          <w:sz w:val="58"/>
        </w:rPr>
        <w:t>泛FOF型多资产</w:t>
        <w:br/>
        <w:t>理财产品方案</w:t>
      </w:r>
    </w:p>
    <w:p>
      <w:pPr>
        <w:spacing w:before="0" w:after="480" w:line="32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2A7F8E"/>
          <w:sz w:val="30"/>
        </w:rPr>
        <w:t>用专业“积木块”搭建持有期体验导向的产品矩阵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8FB"/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color w:val="2A7F8E"/>
                <w:sz w:val="22"/>
              </w:rPr>
              <w:t>面向银行财富渠道的核心价值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1D2733"/>
                <w:sz w:val="20"/>
              </w:rPr>
              <w:t>用“风险风格 × 最短持有期”形成清晰货架；将基金、专户和策略统一为可识别、可组合、可归因的专业“积木块”；用正收益概率、收益分布、回撤和修复周期管理客户持有体验。</w:t>
            </w:r>
          </w:p>
        </w:tc>
      </w:tr>
    </w:tbl>
    <w:p>
      <w:pPr>
        <w:spacing w:after="20"/>
      </w:pPr>
    </w:p>
    <w:p>
      <w:pPr>
        <w:spacing w:before="800" w:after="100" w:line="32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5F6B76"/>
          <w:sz w:val="21"/>
        </w:rPr>
        <w:t>适用读者：渠道产品经理、销售管理人员、财富顾问团队</w:t>
      </w:r>
    </w:p>
    <w:p>
      <w:pPr>
        <w:spacing w:before="0" w:after="60" w:line="32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5F6B76"/>
          <w:sz w:val="20"/>
        </w:rPr>
        <w:t>版本：V1.0  |  2026年7月</w:t>
      </w:r>
    </w:p>
    <w:p>
      <w:pPr>
        <w:spacing w:before="700" w:after="0" w:line="32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9B1C1C"/>
          <w:sz w:val="18"/>
        </w:rPr>
        <w:t>本材料用于产品方案交流，不构成任何收益承诺或投资建议。</w:t>
      </w:r>
    </w:p>
    <w:p>
      <w:r>
        <w:br w:type="page"/>
      </w:r>
    </w:p>
    <w:p>
      <w:pPr>
        <w:pStyle w:val="Heading1"/>
        <w:keepNext/>
      </w:pPr>
      <w:r>
        <w:t>一、执行摘要：渠道需要一套“看得懂、卖得准、拿得住”的产品体系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  <w:shd w:fill="F4F8FB"/>
          </w:tcPr>
          <w:p>
            <w:pPr>
              <w:spacing w:after="60"/>
              <w:jc w:val="center"/>
            </w:pPr>
            <w:r>
              <w:rPr>
                <w:rFonts w:ascii="Arial Unicode MS" w:hAnsi="Arial Unicode MS" w:eastAsia="Arial Unicode MS"/>
                <w:b/>
                <w:color w:val="163A5F"/>
                <w:sz w:val="34"/>
              </w:rPr>
              <w:t>33.29万亿元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5F6B76"/>
                <w:sz w:val="17"/>
              </w:rPr>
              <w:t>2025年末理财存续规模</w:t>
            </w:r>
          </w:p>
        </w:tc>
        <w:tc>
          <w:tcPr>
            <w:tcW w:type="dxa" w:w="2340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  <w:shd w:fill="F4F8FB"/>
          </w:tcPr>
          <w:p>
            <w:pPr>
              <w:spacing w:after="60"/>
              <w:jc w:val="center"/>
            </w:pPr>
            <w:r>
              <w:rPr>
                <w:rFonts w:ascii="Arial Unicode MS" w:hAnsi="Arial Unicode MS" w:eastAsia="Arial Unicode MS"/>
                <w:b/>
                <w:color w:val="163A5F"/>
                <w:sz w:val="34"/>
              </w:rPr>
              <w:t>1.43亿个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5F6B76"/>
                <w:sz w:val="17"/>
              </w:rPr>
              <w:t>持有理财产品的投资者数量</w:t>
            </w:r>
          </w:p>
        </w:tc>
        <w:tc>
          <w:tcPr>
            <w:tcW w:type="dxa" w:w="2340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  <w:shd w:fill="F4F8FB"/>
          </w:tcPr>
          <w:p>
            <w:pPr>
              <w:spacing w:after="60"/>
              <w:jc w:val="center"/>
            </w:pPr>
            <w:r>
              <w:rPr>
                <w:rFonts w:ascii="Arial Unicode MS" w:hAnsi="Arial Unicode MS" w:eastAsia="Arial Unicode MS"/>
                <w:b/>
                <w:color w:val="163A5F"/>
                <w:sz w:val="34"/>
              </w:rPr>
              <w:t>97.09%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5F6B76"/>
                <w:sz w:val="17"/>
              </w:rPr>
              <w:t>固定收益类产品规模占比</w:t>
            </w:r>
          </w:p>
        </w:tc>
        <w:tc>
          <w:tcPr>
            <w:tcW w:type="dxa" w:w="2340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  <w:shd w:fill="F4F8FB"/>
          </w:tcPr>
          <w:p>
            <w:pPr>
              <w:spacing w:after="60"/>
              <w:jc w:val="center"/>
            </w:pPr>
            <w:r>
              <w:rPr>
                <w:rFonts w:ascii="Arial Unicode MS" w:hAnsi="Arial Unicode MS" w:eastAsia="Arial Unicode MS"/>
                <w:b/>
                <w:color w:val="163A5F"/>
                <w:sz w:val="34"/>
              </w:rPr>
              <w:t>95.73%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color w:val="5F6B76"/>
                <w:sz w:val="17"/>
              </w:rPr>
              <w:t>二级及以下产品规模占比</w:t>
            </w:r>
          </w:p>
        </w:tc>
      </w:tr>
    </w:tbl>
    <w:p>
      <w:pPr>
        <w:spacing w:after="40"/>
      </w:pPr>
    </w:p>
    <w:p>
      <w:pPr>
        <w:spacing w:before="80" w:after="120" w:line="240" w:lineRule="auto"/>
      </w:pPr>
      <w:r>
        <w:rPr>
          <w:rFonts w:ascii="Arial Unicode MS" w:hAnsi="Arial Unicode MS" w:eastAsia="Arial Unicode MS"/>
          <w:i/>
          <w:color w:val="5F6B76"/>
          <w:sz w:val="16"/>
        </w:rPr>
        <w:t>资料来源：《中国银行业理财市场年度报告（2025年）》；数据截至2025年末。</w:t>
      </w: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1D2733"/>
          <w:sz w:val="22"/>
        </w:rPr>
        <w:t>银行理财市场规模持续扩大，但产品结构仍高度集中于固定收益类和中低风险产品。渠道真正缺少的，不是更多名称相似的“固收+”，而是一套能够清楚解释风险来源、持有期限和客户体验差异的产品矩阵。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2F8"/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color w:val="2A7F8E"/>
                <w:sz w:val="22"/>
              </w:rPr>
              <w:t>方案结论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1D2733"/>
                <w:sz w:val="20"/>
              </w:rPr>
              <w:t>以固收底仓形成基础收益和流动性缓冲，以多资产、多策略和多风格“积木块”获取风险溢价；先确定客户风险与持有期，再配置资产簇和策略簇，最后选择公募基金、专户及具体标的。</w:t>
            </w:r>
          </w:p>
        </w:tc>
      </w:tr>
    </w:tbl>
    <w:p>
      <w:pPr>
        <w:spacing w:after="20"/>
      </w:pP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四类风险风格：稳健低波、稳健增利、均衡成长、进取增强。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四档最短持有期：30天、90天、180天、365天。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每个矩阵单元是一套独立目标组合，而不是同一组合更换期限标签。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同时设置最短持有期和推荐持有期，分别管理赎回安排与适宜投资周期。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统一对公募基金和专户进行资产、策略、风格与风险因子分类，形成可替换、可评价的“积木块”库。</w:t>
      </w:r>
    </w:p>
    <w:p>
      <w:r>
        <w:br w:type="page"/>
      </w:r>
    </w:p>
    <w:p>
      <w:pPr>
        <w:pStyle w:val="Heading1"/>
        <w:keepNext/>
      </w:pPr>
      <w:r>
        <w:t>二、市场背景：大体量、低风险偏好与多资产转型并存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20" w:type="dxa"/>
              <w:start w:w="40" w:type="dxa"/>
              <w:bottom w:w="2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103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natur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20" w:type="dxa"/>
              <w:start w:w="40" w:type="dxa"/>
              <w:bottom w:w="2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1031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sk_leve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20" w:line="240" w:lineRule="auto"/>
      </w:pPr>
      <w:r>
        <w:rPr>
          <w:rFonts w:ascii="Arial Unicode MS" w:hAnsi="Arial Unicode MS" w:eastAsia="Arial Unicode MS"/>
          <w:i/>
          <w:color w:val="5F6B76"/>
          <w:sz w:val="16"/>
        </w:rPr>
        <w:t>资料来源：银行业理财登记托管中心，《中国银行业理财市场年度报告（2025年）》。</w:t>
      </w: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1D2733"/>
          <w:sz w:val="22"/>
        </w:rPr>
        <w:t>2025年末，固定收益类产品存续规模32.32万亿元，占比97.09%；风险等级二级及以下产品规模31.87万亿元，占比95.73%。个人投资者1.41亿个，占全部理财投资者的98.64%，其中稳健型投资者数量占比最高，达到33.54%。</w:t>
      </w: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1D2733"/>
          <w:sz w:val="22"/>
        </w:rPr>
        <w:t>与此同时，行业正在从“单一资产驱动”向“多资产配置”转型。年度报告中的行业案例显示，头部机构已开始使用宏观因子、风险预算、情景分析、策略组合和工具层对冲，推动多资产配置从简单拼接走向组合管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color w:val="B8872D"/>
                <w:sz w:val="22"/>
              </w:rPr>
              <w:t>渠道机会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1D2733"/>
                <w:sz w:val="20"/>
              </w:rPr>
              <w:t>客户风险偏好整体稳健，并不意味着产品只能依赖单一固收收益。更可持续的方向，是在严格风险预算下引入差异化资产和策略，通过分散风险来源改善持有期结果。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三、公开案例：持有期产品已形成清晰的期限梯度</w:t>
      </w: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1D2733"/>
          <w:sz w:val="22"/>
        </w:rPr>
        <w:t>公开产品文件显示，最短持有期已经成为开放式理财产品常见的流动性安排。市场上已存在30天、90天、180天和365天等不同期限产品，为建立期限矩阵提供了成熟的客户认知基础。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100"/>
        <w:gridCol w:w="4700"/>
        <w:gridCol w:w="356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期限案例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公开产品案例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可借鉴要点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30天</w:t>
            </w:r>
          </w:p>
        </w:tc>
        <w:tc>
          <w:tcPr>
            <w:tcW w:type="dxa" w:w="47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信银理财安盈象固收稳利一个月持有期101号</w:t>
            </w:r>
          </w:p>
        </w:tc>
        <w:tc>
          <w:tcPr>
            <w:tcW w:type="dxa" w:w="3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每笔份额持有满30个自然日后可在开放日申请赎回</w:t>
            </w:r>
          </w:p>
        </w:tc>
      </w:tr>
      <w:tr>
        <w:tc>
          <w:tcPr>
            <w:tcW w:type="dxa" w:w="11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90天</w:t>
            </w:r>
          </w:p>
        </w:tc>
        <w:tc>
          <w:tcPr>
            <w:tcW w:type="dxa" w:w="47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中银理财－悦享（90天持有期）</w:t>
            </w:r>
          </w:p>
        </w:tc>
        <w:tc>
          <w:tcPr>
            <w:tcW w:type="dxa" w:w="3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最短持有90个自然日，产品成立后工作日开放申购赎回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180天</w:t>
            </w:r>
          </w:p>
        </w:tc>
        <w:tc>
          <w:tcPr>
            <w:tcW w:type="dxa" w:w="47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工银理财·核心优选最短持有180天固定收益类开放式产品</w:t>
            </w:r>
          </w:p>
        </w:tc>
        <w:tc>
          <w:tcPr>
            <w:tcW w:type="dxa" w:w="3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公募、开放式、固定收益类、PR2；基准由存款与同业存单指数等合成</w:t>
            </w:r>
          </w:p>
        </w:tc>
      </w:tr>
      <w:tr>
        <w:tc>
          <w:tcPr>
            <w:tcW w:type="dxa" w:w="11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365天</w:t>
            </w:r>
          </w:p>
        </w:tc>
        <w:tc>
          <w:tcPr>
            <w:tcW w:type="dxa" w:w="47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中邮理财灵活添利·鸿锦最短持有365天8号</w:t>
            </w:r>
          </w:p>
        </w:tc>
        <w:tc>
          <w:tcPr>
            <w:tcW w:type="dxa" w:w="3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以365天持有期承载更长的策略实现周期</w:t>
            </w:r>
          </w:p>
        </w:tc>
      </w:tr>
    </w:tbl>
    <w:p>
      <w:pPr>
        <w:spacing w:after="20"/>
      </w:pPr>
    </w:p>
    <w:p>
      <w:pPr>
        <w:spacing w:before="80" w:after="120" w:line="240" w:lineRule="auto"/>
      </w:pPr>
      <w:r>
        <w:rPr>
          <w:rFonts w:ascii="Arial Unicode MS" w:hAnsi="Arial Unicode MS" w:eastAsia="Arial Unicode MS"/>
          <w:i/>
          <w:color w:val="5F6B76"/>
          <w:sz w:val="16"/>
        </w:rPr>
        <w:t>资料来源：招商银行代销产品页面、中银理财产品说明书、工银理财发行公告、中邮理财发行公告；详见文末资料来源。</w:t>
      </w: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1D2733"/>
          <w:sz w:val="22"/>
        </w:rPr>
        <w:t>本方案不把“最短持有期”等同于“推荐持有期”。客户满期后获得赎回权，但是否适合继续持有，应由组合波动、收益分布和回撤修复周期决定。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B8872D"/>
                <w:sz w:val="22"/>
              </w:rPr>
              <w:t>【待测算图表 T-01】期限梯度与客户持有体验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用途：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形成30/90/180/365天产品在渠道端的直观对比。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测算口径：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使用拟定SAA和代表性指数，分别测算最短持有期与推荐持有期的滚动收益。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建议输出：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期限—正收益概率曲线、期限—5%分位收益曲线、期限—回撤修复概率曲线。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四、产品定位：不是公募FOF的复制，而是理财特色的泛FOF</w:t>
      </w: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1D2733"/>
          <w:sz w:val="22"/>
        </w:rPr>
        <w:t>泛FOF是一种组合管理方法：在产品层配置多资产、多策略、多风格和多管理人，并通过公募基金、专户、其他合规资产管理计划及允许范围内的直接投资加以实现。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500"/>
        <w:gridCol w:w="3930"/>
        <w:gridCol w:w="393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比较维度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泛FOF型理财产品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公募FOF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6"/>
              </w:rPr>
              <w:t>风险偏好</w:t>
            </w:r>
          </w:p>
        </w:tc>
        <w:tc>
          <w:tcPr>
            <w:tcW w:type="dxa" w:w="393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整体偏中低风险，强调固收底仓、持有期正收益概率和回撤控制</w:t>
            </w:r>
          </w:p>
        </w:tc>
        <w:tc>
          <w:tcPr>
            <w:tcW w:type="dxa" w:w="393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风险谱系更宽，可覆盖偏债、平衡、偏股、目标风险及养老目标等类型</w:t>
            </w:r>
          </w:p>
        </w:tc>
      </w:tr>
      <w:tr>
        <w:tc>
          <w:tcPr>
            <w:tcW w:type="dxa" w:w="15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6"/>
              </w:rPr>
              <w:t>产品起点</w:t>
            </w:r>
          </w:p>
        </w:tc>
        <w:tc>
          <w:tcPr>
            <w:tcW w:type="dxa" w:w="393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银行客户风险偏好、资金期限和持有体验</w:t>
            </w:r>
          </w:p>
        </w:tc>
        <w:tc>
          <w:tcPr>
            <w:tcW w:type="dxa" w:w="393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基金合同约定的投资目标和风险收益特征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6"/>
              </w:rPr>
              <w:t>底层工具</w:t>
            </w:r>
          </w:p>
        </w:tc>
        <w:tc>
          <w:tcPr>
            <w:tcW w:type="dxa" w:w="393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多资产、多策略公募基金、专户、资管计划及合规直投</w:t>
            </w:r>
          </w:p>
        </w:tc>
        <w:tc>
          <w:tcPr>
            <w:tcW w:type="dxa" w:w="393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原则上80%以上基金资产投资于其他公募基金份额</w:t>
            </w:r>
          </w:p>
        </w:tc>
      </w:tr>
      <w:tr>
        <w:tc>
          <w:tcPr>
            <w:tcW w:type="dxa" w:w="15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6"/>
              </w:rPr>
              <w:t>固收实施</w:t>
            </w:r>
          </w:p>
        </w:tc>
        <w:tc>
          <w:tcPr>
            <w:tcW w:type="dxa" w:w="393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可直接管理固收资产，亦可通过定制专户和公募工具实施</w:t>
            </w:r>
          </w:p>
        </w:tc>
        <w:tc>
          <w:tcPr>
            <w:tcW w:type="dxa" w:w="393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主要通过债券基金、货币基金等间接实现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6"/>
              </w:rPr>
              <w:t>策略定制</w:t>
            </w:r>
          </w:p>
        </w:tc>
        <w:tc>
          <w:tcPr>
            <w:tcW w:type="dxa" w:w="393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可直接设定久期、信用、杠杆、风格、流动性和风险边界</w:t>
            </w:r>
          </w:p>
        </w:tc>
        <w:tc>
          <w:tcPr>
            <w:tcW w:type="dxa" w:w="393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受底层基金合同、开放安排与管理方式约束</w:t>
            </w:r>
          </w:p>
        </w:tc>
      </w:tr>
      <w:tr>
        <w:tc>
          <w:tcPr>
            <w:tcW w:type="dxa" w:w="15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6"/>
              </w:rPr>
              <w:t>客户管理</w:t>
            </w:r>
          </w:p>
        </w:tc>
        <w:tc>
          <w:tcPr>
            <w:tcW w:type="dxa" w:w="393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最短持有期＋推荐持有期＋银行渠道陪伴</w:t>
            </w:r>
          </w:p>
        </w:tc>
        <w:tc>
          <w:tcPr>
            <w:tcW w:type="dxa" w:w="393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依据基金合同、销售适当性和基金持有安排</w:t>
            </w:r>
          </w:p>
        </w:tc>
      </w:tr>
    </w:tbl>
    <w:p>
      <w:pPr>
        <w:spacing w:after="20"/>
      </w:pPr>
    </w:p>
    <w:p>
      <w:pPr>
        <w:spacing w:before="80" w:after="120" w:line="240" w:lineRule="auto"/>
      </w:pPr>
      <w:r>
        <w:rPr>
          <w:rFonts w:ascii="Arial Unicode MS" w:hAnsi="Arial Unicode MS" w:eastAsia="Arial Unicode MS"/>
          <w:i/>
          <w:color w:val="5F6B76"/>
          <w:sz w:val="16"/>
        </w:rPr>
        <w:t>资料来源：中国证监会《公开募集证券投资基金运作指引第2号——基金中基金指引》；银行理财相关制度。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2F8"/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color w:val="2A7F8E"/>
                <w:sz w:val="22"/>
              </w:rPr>
              <w:t>差异化价值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1D2733"/>
                <w:sz w:val="20"/>
              </w:rPr>
              <w:t>本方案的优势不是简单增加权益仓位，而是在较低风险预算下，使用更丰富的底层工具和策略组合，争取更稳定、更可解释的持有期体验。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五、产品矩阵：风险风格 × 最短持有期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3600"/>
        <w:gridCol w:w="1440"/>
        <w:gridCol w:w="1440"/>
        <w:gridCol w:w="1440"/>
        <w:gridCol w:w="1440"/>
      </w:tblGrid>
      <w:tr>
        <w:trPr>
          <w:cantSplit/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风险风格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30天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90天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180天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365天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稳健低波（高波动资产0%–5%）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核心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扩展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扩展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储备</w:t>
            </w:r>
          </w:p>
        </w:tc>
      </w:tr>
      <w:tr>
        <w:tc>
          <w:tcPr>
            <w:tcW w:type="dxa" w:w="36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稳健增利（高波动资产0%–10%）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储备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核心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核心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扩展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均衡成长（高波动资产5%–15%）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不建议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储备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核心</w:t>
            </w:r>
          </w:p>
        </w:tc>
        <w:tc>
          <w:tcPr>
            <w:tcW w:type="dxa" w:w="144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核心</w:t>
            </w:r>
          </w:p>
        </w:tc>
      </w:tr>
      <w:tr>
        <w:tc>
          <w:tcPr>
            <w:tcW w:type="dxa" w:w="36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进取增强（高波动资产5%–25%）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不建议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不建议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储备</w:t>
            </w:r>
          </w:p>
        </w:tc>
        <w:tc>
          <w:tcPr>
            <w:tcW w:type="dxa" w:w="144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核心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1D2733"/>
          <w:sz w:val="22"/>
        </w:rPr>
        <w:t>“核心”代表首期或重点布局；“扩展”代表具备渠道需求后逐步发行；“储备”代表保留策略模型；“不建议”代表风险特征与最短持有期明显不匹配。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color w:val="B8872D"/>
                <w:sz w:val="22"/>
              </w:rPr>
              <w:t>每个矩阵单元的定义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1D2733"/>
                <w:sz w:val="20"/>
              </w:rPr>
              <w:t>产品矩阵单元 = 资产簇配置 × 策略与风格“积木块” × 实施工具 × 风险预算 × 流动性约束 × 持有期目标。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B8872D"/>
                <w:sz w:val="22"/>
              </w:rPr>
              <w:t>【待测算图表 T-02】完整产品矩阵风险收益地图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用途：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让渠道直观看到各矩阵单元的收益目标、波动与回撤差异。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测算口径：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基于各单元SAA、费用和历史代表指数测算，统一采用最短持有期与推荐持有期两个窗口。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建议输出：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二维气泡图：横轴为目标波动，纵轴为持有期平均收益，气泡大小代表最大回撤或尾部损失。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六、首期核心产品：形成清晰可销售的六个组合单元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940"/>
        <w:gridCol w:w="1120"/>
        <w:gridCol w:w="1350"/>
        <w:gridCol w:w="1400"/>
        <w:gridCol w:w="1050"/>
        <w:gridCol w:w="2500"/>
      </w:tblGrid>
      <w:tr>
        <w:trPr>
          <w:cantSplit/>
          <w:tblHeader w:val="true"/>
        </w:trPr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产品单元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最短持有期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推荐持有期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高波动资产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战略中枢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核心定位</w:t>
            </w:r>
          </w:p>
        </w:tc>
      </w:tr>
      <w:tr>
        <w:tc>
          <w:tcPr>
            <w:tcW w:type="dxa" w:w="194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6"/>
              </w:rPr>
              <w:t>稳健低波30天</w:t>
            </w:r>
          </w:p>
        </w:tc>
        <w:tc>
          <w:tcPr>
            <w:tcW w:type="dxa" w:w="1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30天</w:t>
            </w:r>
          </w:p>
        </w:tc>
        <w:tc>
          <w:tcPr>
            <w:tcW w:type="dxa" w:w="13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3个月以上</w:t>
            </w:r>
          </w:p>
        </w:tc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0%–5%</w:t>
            </w:r>
          </w:p>
        </w:tc>
        <w:tc>
          <w:tcPr>
            <w:tcW w:type="dxa" w:w="10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2%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短持有、低波动、流动性优先</w:t>
            </w:r>
          </w:p>
        </w:tc>
      </w:tr>
      <w:tr>
        <w:tc>
          <w:tcPr>
            <w:tcW w:type="dxa" w:w="194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6"/>
              </w:rPr>
              <w:t>稳健增利90天</w:t>
            </w:r>
          </w:p>
        </w:tc>
        <w:tc>
          <w:tcPr>
            <w:tcW w:type="dxa" w:w="1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90天</w:t>
            </w:r>
          </w:p>
        </w:tc>
        <w:tc>
          <w:tcPr>
            <w:tcW w:type="dxa" w:w="13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6个月以上</w:t>
            </w:r>
          </w:p>
        </w:tc>
        <w:tc>
          <w:tcPr>
            <w:tcW w:type="dxa" w:w="1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0%–10%</w:t>
            </w:r>
          </w:p>
        </w:tc>
        <w:tc>
          <w:tcPr>
            <w:tcW w:type="dxa" w:w="10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5%</w:t>
            </w:r>
          </w:p>
        </w:tc>
        <w:tc>
          <w:tcPr>
            <w:tcW w:type="dxa" w:w="25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固收底仓加有限多策略增强</w:t>
            </w:r>
          </w:p>
        </w:tc>
      </w:tr>
      <w:tr>
        <w:tc>
          <w:tcPr>
            <w:tcW w:type="dxa" w:w="194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6"/>
              </w:rPr>
              <w:t>稳健增利180天</w:t>
            </w:r>
          </w:p>
        </w:tc>
        <w:tc>
          <w:tcPr>
            <w:tcW w:type="dxa" w:w="1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180天</w:t>
            </w:r>
          </w:p>
        </w:tc>
        <w:tc>
          <w:tcPr>
            <w:tcW w:type="dxa" w:w="13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9–12个月</w:t>
            </w:r>
          </w:p>
        </w:tc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0%–10%</w:t>
            </w:r>
          </w:p>
        </w:tc>
        <w:tc>
          <w:tcPr>
            <w:tcW w:type="dxa" w:w="10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6%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增加固收策略空间与收益弹性</w:t>
            </w:r>
          </w:p>
        </w:tc>
      </w:tr>
      <w:tr>
        <w:tc>
          <w:tcPr>
            <w:tcW w:type="dxa" w:w="194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6"/>
              </w:rPr>
              <w:t>均衡成长180天</w:t>
            </w:r>
          </w:p>
        </w:tc>
        <w:tc>
          <w:tcPr>
            <w:tcW w:type="dxa" w:w="1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180天</w:t>
            </w:r>
          </w:p>
        </w:tc>
        <w:tc>
          <w:tcPr>
            <w:tcW w:type="dxa" w:w="13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12个月以上</w:t>
            </w:r>
          </w:p>
        </w:tc>
        <w:tc>
          <w:tcPr>
            <w:tcW w:type="dxa" w:w="1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5%–15%</w:t>
            </w:r>
          </w:p>
        </w:tc>
        <w:tc>
          <w:tcPr>
            <w:tcW w:type="dxa" w:w="10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10%</w:t>
            </w:r>
          </w:p>
        </w:tc>
        <w:tc>
          <w:tcPr>
            <w:tcW w:type="dxa" w:w="25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多风格权益及其他风险溢价组合</w:t>
            </w:r>
          </w:p>
        </w:tc>
      </w:tr>
      <w:tr>
        <w:tc>
          <w:tcPr>
            <w:tcW w:type="dxa" w:w="194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6"/>
              </w:rPr>
              <w:t>均衡成长365天</w:t>
            </w:r>
          </w:p>
        </w:tc>
        <w:tc>
          <w:tcPr>
            <w:tcW w:type="dxa" w:w="1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365天</w:t>
            </w:r>
          </w:p>
        </w:tc>
        <w:tc>
          <w:tcPr>
            <w:tcW w:type="dxa" w:w="13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18个月以上</w:t>
            </w:r>
          </w:p>
        </w:tc>
        <w:tc>
          <w:tcPr>
            <w:tcW w:type="dxa" w:w="14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5%–15%</w:t>
            </w:r>
          </w:p>
        </w:tc>
        <w:tc>
          <w:tcPr>
            <w:tcW w:type="dxa" w:w="10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12%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更完整的跨资产、跨周期配置</w:t>
            </w:r>
          </w:p>
        </w:tc>
      </w:tr>
      <w:tr>
        <w:tc>
          <w:tcPr>
            <w:tcW w:type="dxa" w:w="194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6"/>
              </w:rPr>
              <w:t>进取增强365天</w:t>
            </w:r>
          </w:p>
        </w:tc>
        <w:tc>
          <w:tcPr>
            <w:tcW w:type="dxa" w:w="1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365天</w:t>
            </w:r>
          </w:p>
        </w:tc>
        <w:tc>
          <w:tcPr>
            <w:tcW w:type="dxa" w:w="13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24个月以上</w:t>
            </w:r>
          </w:p>
        </w:tc>
        <w:tc>
          <w:tcPr>
            <w:tcW w:type="dxa" w:w="14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5%–25%</w:t>
            </w:r>
          </w:p>
        </w:tc>
        <w:tc>
          <w:tcPr>
            <w:tcW w:type="dxa" w:w="10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15%</w:t>
            </w:r>
          </w:p>
        </w:tc>
        <w:tc>
          <w:tcPr>
            <w:tcW w:type="dxa" w:w="25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长期风险溢价与主动管理结合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1D2733"/>
          <w:sz w:val="22"/>
        </w:rPr>
        <w:t>战略中枢代表正常市场状态下的目标位置，高波动资产上下限则为战术调整和风险控制提供空间。最终中枢、推荐持有期及监管分类须以回测、压力测试和正式立项结果为准。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B8872D"/>
                <w:sz w:val="22"/>
              </w:rPr>
              <w:t>【待测算图表 T-03】六类产品持有期画像表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用途：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形成渠道可直接使用的产品比较页。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测算口径：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对每个产品分别统计最短持有期和推荐持有期的滚动结果，并扣除拟定综合费率。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建议输出：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正收益概率、平均收益、中位数、5%/25%/75%/95%分位、单位净值波动率、最大回撤、修复时间。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七、“积木块”体系：统一分类基金与专户，再搭建产品组合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color w:val="B8872D"/>
                <w:sz w:val="22"/>
              </w:rPr>
              <w:t>什么是“积木块”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1D2733"/>
                <w:sz w:val="20"/>
              </w:rPr>
              <w:t>“积木块”是完成资产归属、策略标签、风格画像、风险因子、流动性约束和准入评价后的可组合投资单元。它既可以是一只公募基金，也可以是一个定制专户或其他合规资管计划；载体不同，但必须使用同一套语言识别其真实风险来源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800"/>
        <w:gridCol w:w="4300"/>
        <w:gridCol w:w="32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资产簇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主要资产与策略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组合功能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流动性资产簇</w:t>
            </w:r>
          </w:p>
        </w:tc>
        <w:tc>
          <w:tcPr>
            <w:tcW w:type="dxa" w:w="43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现金、存款、同业存单、货币工具、短期回购</w:t>
            </w:r>
          </w:p>
        </w:tc>
        <w:tc>
          <w:tcPr>
            <w:tcW w:type="dxa" w:w="32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申赎准备、净值稳定、交易缓冲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利率资产簇</w:t>
            </w:r>
          </w:p>
        </w:tc>
        <w:tc>
          <w:tcPr>
            <w:tcW w:type="dxa" w:w="43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国债、政策性金融债、利率债基金及专户</w:t>
            </w:r>
          </w:p>
        </w:tc>
        <w:tc>
          <w:tcPr>
            <w:tcW w:type="dxa" w:w="32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久期收益、流动性、避险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信用资产簇</w:t>
            </w:r>
          </w:p>
        </w:tc>
        <w:tc>
          <w:tcPr>
            <w:tcW w:type="dxa" w:w="43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高等级信用债、信用债基金及专户</w:t>
            </w:r>
          </w:p>
        </w:tc>
        <w:tc>
          <w:tcPr>
            <w:tcW w:type="dxa" w:w="32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票息和信用利差收益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固收增强簇</w:t>
            </w:r>
          </w:p>
        </w:tc>
        <w:tc>
          <w:tcPr>
            <w:tcW w:type="dxa" w:w="43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骑乘、杠杆、信用挖掘、波段</w:t>
            </w:r>
          </w:p>
        </w:tc>
        <w:tc>
          <w:tcPr>
            <w:tcW w:type="dxa" w:w="32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提高固收收益弹性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权益Beta/Alpha簇</w:t>
            </w:r>
          </w:p>
        </w:tc>
        <w:tc>
          <w:tcPr>
            <w:tcW w:type="dxa" w:w="43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指数、指数增强、主动权益、量化选股</w:t>
            </w:r>
          </w:p>
        </w:tc>
        <w:tc>
          <w:tcPr>
            <w:tcW w:type="dxa" w:w="32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获取市场风险溢价与管理人Alpha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转债与实物资产簇</w:t>
            </w:r>
          </w:p>
        </w:tc>
        <w:tc>
          <w:tcPr>
            <w:tcW w:type="dxa" w:w="43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可转债、黄金、商品、公募REITs</w:t>
            </w:r>
          </w:p>
        </w:tc>
        <w:tc>
          <w:tcPr>
            <w:tcW w:type="dxa" w:w="32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增强、通胀对冲和风险分散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绝对收益与对冲簇</w:t>
            </w:r>
          </w:p>
        </w:tc>
        <w:tc>
          <w:tcPr>
            <w:tcW w:type="dxa" w:w="43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市场中性、多策略、套利及合规衍生品</w:t>
            </w:r>
          </w:p>
        </w:tc>
        <w:tc>
          <w:tcPr>
            <w:tcW w:type="dxa" w:w="32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降低方向依赖、管理尾部风险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1D2733"/>
          <w:sz w:val="22"/>
        </w:rPr>
        <w:t>公募基金和专户首先按照同一套资产、策略和风格标签分类，再比较费率、透明度、流动性、合同约束和管理人能力。载体不同，不应被误认为风险来源已经分散。</w:t>
      </w:r>
    </w:p>
    <w:p>
      <w:pPr>
        <w:pStyle w:val="Heading2"/>
        <w:keepNext/>
      </w:pPr>
      <w:r>
        <w:t>从全市场标的到代表性“积木块”</w:t>
      </w:r>
    </w:p>
    <w:p>
      <w:pPr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1.  统一分类：按资产、策略、风格和风险因子完成基金与专户的共同标签。</w:t>
      </w:r>
    </w:p>
    <w:p>
      <w:pPr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2.  策略聚类：以收益相关性、波动、回撤、Beta、风格暴露和持仓特征识别同类策略，减少“名称不同、风险相同”的重复配置。</w:t>
      </w:r>
    </w:p>
    <w:p>
      <w:pPr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3.  簇内精选：在同一聚类内比较持续Alpha、下行保护、费率、流动性、透明度、容量和管理稳定性。</w:t>
      </w:r>
    </w:p>
    <w:p>
      <w:pPr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4.  组合搭建：从不同簇中选择互补“积木块”，形成典型产品组合并回测净值与持有期结果。</w:t>
      </w:r>
    </w:p>
    <w:p>
      <w:pPr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5.  动态替换：当管理人、风格或执行效率变化时，在不改变产品定义的前提下优先进行簇内替换。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2F8"/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color w:val="2A7F8E"/>
                <w:sz w:val="22"/>
              </w:rPr>
              <w:t>组合纪律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1D2733"/>
                <w:sz w:val="20"/>
              </w:rPr>
              <w:t>先回答组合需要什么风险收益来源，再回答用哪只基金、哪个专户和哪位管理人实现。优秀的单一标的，只有在改善组合持有期结果时才具有入池价值。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8FB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2A7F8E"/>
                <w:sz w:val="22"/>
              </w:rPr>
              <w:t>【图表素材位 A-01】统一分类、策略聚类与代表性“积木块”地图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建议位置：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置于本节末，用一张图展示从标的池、聚类到代表性策略单元的筛选路径。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统一口径：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基金与专户使用相同观察期、收益频率、费后净值和风险因子定义；聚类算法、距离度量及人工复核规则留痕。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建议输出：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聚类树或二维降维散点图＋各簇标签、代表标的、簇内离散度和容量。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8FB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2A7F8E"/>
                <w:sz w:val="22"/>
              </w:rPr>
              <w:t>【图表素材位 A-02】典型产品组合构成与回测净值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建议位置：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紧接聚类地图，展示代表性“积木块”如何搭成六类核心产品。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统一口径：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统一起始日、净值归一为1、费率假设、再平衡频率、现金拖累和可交易性；明确实盘、回测及代理指数区间。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建议输出：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组合权重堆叠图＋组合净值、合成基准与回撤子图＋最短/推荐持有期统计摘要。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八、同样10%的高波动资产，不同“积木块”会形成不同产品特征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3000"/>
        <w:gridCol w:w="2120"/>
        <w:gridCol w:w="2120"/>
        <w:gridCol w:w="212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策略子簇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防御收益型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均衡配置型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成长增强型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红利价值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4%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2%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0%</w:t>
            </w:r>
          </w:p>
        </w:tc>
      </w:tr>
      <w:tr>
        <w:tc>
          <w:tcPr>
            <w:tcW w:type="dxa" w:w="30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低波动权益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2%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0%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宽基Beta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2%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1%</w:t>
            </w:r>
          </w:p>
        </w:tc>
      </w:tr>
      <w:tr>
        <w:tc>
          <w:tcPr>
            <w:tcW w:type="dxa" w:w="30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科技成长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0%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2%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5%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小盘成长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0%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0%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2%</w:t>
            </w:r>
          </w:p>
        </w:tc>
      </w:tr>
      <w:tr>
        <w:tc>
          <w:tcPr>
            <w:tcW w:type="dxa" w:w="30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转债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1%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黄金及商品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1%</w:t>
            </w:r>
          </w:p>
        </w:tc>
      </w:tr>
      <w:tr>
        <w:tc>
          <w:tcPr>
            <w:tcW w:type="dxa" w:w="30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公募REITs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1%</w:t>
            </w:r>
          </w:p>
        </w:tc>
        <w:tc>
          <w:tcPr>
            <w:tcW w:type="dxa" w:w="212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0%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合计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10%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10%</w:t>
            </w:r>
          </w:p>
        </w:tc>
        <w:tc>
          <w:tcPr>
            <w:tcW w:type="dxa" w:w="212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10%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1D2733"/>
          <w:sz w:val="22"/>
        </w:rPr>
        <w:t>三种方案名义仓位相同，但风险来源不同：防御收益型更依赖股息、低波和实物资产分散；成长增强型更依赖科技、小盘和高Beta环境；均衡配置型则在多种风格之间分配风险预算。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B8872D"/>
                <w:sz w:val="22"/>
              </w:rPr>
              <w:t>【待测算图表 T-04】高波动资产风格指纹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用途：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展示产品并非只控制权益比例，还控制风格、行业和风险因子。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测算口径：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对底层公募基金和专户进行穿透，汇总价值/成长、大小盘、红利、质量、动量、Beta、行业及流动性暴露。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建议输出：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六个核心产品的风格雷达图＋行业集中度热力图。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九、固收底仓与专户：稳定收益来源，也是产品差异化基础</w:t>
      </w: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1D2733"/>
          <w:sz w:val="22"/>
        </w:rPr>
        <w:t>固收仓承担基础收益积累、净值稳定、流动性管理、回撤缓冲和战术资金来源。不同期限产品应使用不同的久期、信用、杠杆和流动性安排。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2300"/>
        <w:gridCol w:w="70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产品单元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固收底仓建议特征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8"/>
              </w:rPr>
              <w:t>稳健低波30天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短久期、高等级、高流动性；严格限制信用下沉和杠杆</w:t>
            </w:r>
          </w:p>
        </w:tc>
      </w:tr>
      <w:tr>
        <w:tc>
          <w:tcPr>
            <w:tcW w:type="dxa" w:w="23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8"/>
              </w:rPr>
              <w:t>稳健增利90天</w:t>
            </w:r>
          </w:p>
        </w:tc>
        <w:tc>
          <w:tcPr>
            <w:tcW w:type="dxa" w:w="70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中短久期、适度信用挖掘，以票息积累与流动性为主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8"/>
              </w:rPr>
              <w:t>稳健增利180天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可适度增加骑乘、杠杆、信用利差和资本利得策略</w:t>
            </w:r>
          </w:p>
        </w:tc>
      </w:tr>
      <w:tr>
        <w:tc>
          <w:tcPr>
            <w:tcW w:type="dxa" w:w="23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8"/>
              </w:rPr>
              <w:t>均衡成长180天</w:t>
            </w:r>
          </w:p>
        </w:tc>
        <w:tc>
          <w:tcPr>
            <w:tcW w:type="dxa" w:w="70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承担净值稳定、流动性和高波动仓缓冲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8"/>
              </w:rPr>
              <w:t>均衡成长365天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可使用更完整的久期、曲线和跨策略组合</w:t>
            </w:r>
          </w:p>
        </w:tc>
      </w:tr>
      <w:tr>
        <w:tc>
          <w:tcPr>
            <w:tcW w:type="dxa" w:w="23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8"/>
              </w:rPr>
              <w:t>进取增强365天</w:t>
            </w:r>
          </w:p>
        </w:tc>
        <w:tc>
          <w:tcPr>
            <w:tcW w:type="dxa" w:w="70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兼顾收益积累、战术资金和组合尾部缓冲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2F8"/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color w:val="2A7F8E"/>
                <w:sz w:val="22"/>
              </w:rPr>
              <w:t>专户的价值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1D2733"/>
                <w:sz w:val="20"/>
              </w:rPr>
              <w:t>通过合同定制久期、信用、杠杆、流动性、预警和报告要求；在规模允许时争取更具竞争力的费率和更透明的风险管理。专户是否优于公募基金，必须综合管理费、托管费、运营成本、最低规模和流动性成本比较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固收专户相对指数工具的实施案例</w:t>
      </w: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1D2733"/>
          <w:sz w:val="22"/>
        </w:rPr>
        <w:t>以同区间、同起点净值比较固收专户、债券指数和债券基金指数，可以更直观地检验专户在收益获取、回撤控制和路径稳定性上的实施效果。评价结论应同时结合策略约束与费用，避免仅凭期末收益判断。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784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78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 Unicode MS" w:hAnsi="Arial Unicode MS" w:eastAsia="Arial Unicode MS"/>
          <w:color w:val="5F6B76"/>
          <w:sz w:val="17"/>
        </w:rPr>
        <w:t>图：固收专户净值与债券指数、债券基金指数对比示例</w:t>
      </w:r>
    </w:p>
    <w:p>
      <w:pPr>
        <w:spacing w:before="80" w:after="120" w:line="240" w:lineRule="auto"/>
      </w:pPr>
      <w:r>
        <w:rPr>
          <w:rFonts w:ascii="Arial Unicode MS" w:hAnsi="Arial Unicode MS" w:eastAsia="Arial Unicode MS"/>
          <w:i/>
          <w:color w:val="5F6B76"/>
          <w:sz w:val="16"/>
        </w:rPr>
        <w:t>资料来源：已有内部策略材料；对外使用前应核对专户名称、样本区间、基准名称、费后口径及数据授权。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收益维度：区间收益、年化收益、超额收益及滚动胜率。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风险维度：年化波动率、最大回撤、回撤修复时间、下行捕获率和尾部损失。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实施维度：综合费率、久期与信用偏离、杠杆使用、流动性、容量及信息透明度。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B8872D"/>
                <w:sz w:val="22"/>
              </w:rPr>
              <w:t>【待测算图表 T-05】公募基金与专户实施效率比较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用途：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为各资产簇选择更合适的实施载体。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测算口径：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在相同策略口径下比较公募基金与专户的费率、跟踪误差、Alpha、最大回撤、流动性、透明度和运营成本。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建议输出：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分策略评分卡＋三年情景成本测算＋最小经济规模。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十、投资管理：SAA确定产品性格，TAA管理阶段性风险</w:t>
      </w:r>
    </w:p>
    <w:p>
      <w:pPr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1.  以客户需求、风险承受能力和持有期限确定产品矩阵单元。</w:t>
      </w:r>
    </w:p>
    <w:p>
      <w:pPr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2.  设置收益目标、波动与回撤容忍度、流动性约束和业绩比较基准。</w:t>
      </w:r>
    </w:p>
    <w:p>
      <w:pPr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3.  通过SAA确定资产簇、策略簇、风格子簇和长期风险预算。</w:t>
      </w:r>
    </w:p>
    <w:p>
      <w:pPr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4.  通过TAA在授权区间内，根据增长、通胀、流动性、估值、趋势和风险偏好调整。</w:t>
      </w:r>
    </w:p>
    <w:p>
      <w:pPr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5.  选择相应策略的公募基金、专户和具体标的，完成穿透式风险复核。</w:t>
      </w:r>
    </w:p>
    <w:p>
      <w:pPr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6.  持续监控风险贡献、持有期结果、流动性和客户行为，并按规则再平衡。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800"/>
        <w:gridCol w:w="3700"/>
        <w:gridCol w:w="38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管理层级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主要输出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SAA战略配置</w:t>
            </w:r>
          </w:p>
        </w:tc>
        <w:tc>
          <w:tcPr>
            <w:tcW w:type="dxa" w:w="37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产品长期依靠哪些风险收益来源？</w:t>
            </w:r>
          </w:p>
        </w:tc>
        <w:tc>
          <w:tcPr>
            <w:tcW w:type="dxa" w:w="38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资产中枢、风格预算、风险贡献、长期基准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TAA战术配置</w:t>
            </w:r>
          </w:p>
        </w:tc>
        <w:tc>
          <w:tcPr>
            <w:tcW w:type="dxa" w:w="37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当前市场状态下应偏离多少？</w:t>
            </w:r>
          </w:p>
        </w:tc>
        <w:tc>
          <w:tcPr>
            <w:tcW w:type="dxa" w:w="38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资产偏离、风险状态、加减仓和恢复条件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标的选择</w:t>
            </w:r>
          </w:p>
        </w:tc>
        <w:tc>
          <w:tcPr>
            <w:tcW w:type="dxa" w:w="37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用什么工具和管理人实现？</w:t>
            </w:r>
          </w:p>
        </w:tc>
        <w:tc>
          <w:tcPr>
            <w:tcW w:type="dxa" w:w="38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公募基金、专户、指数化工具及具体标的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风险与质量控制</w:t>
            </w:r>
          </w:p>
        </w:tc>
        <w:tc>
          <w:tcPr>
            <w:tcW w:type="dxa" w:w="37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实际组合是否仍符合产品定义？</w:t>
            </w:r>
          </w:p>
        </w:tc>
        <w:tc>
          <w:tcPr>
            <w:tcW w:type="dxa" w:w="38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限额、预警、压力测试、回撤与流动性处置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风险预算模型示例：量化形成底稿，主观校准关键参数</w:t>
      </w: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1D2733"/>
          <w:sz w:val="22"/>
        </w:rPr>
        <w:t>风险预算模型将组合总风险分配到不同资产簇和策略“积木块”，根据波动率与相关性求得初始权重。模型输出不是自动交易指令，而是可复核的配置底稿；投研团队结合国内市场结构和当前环境，对波动率、相关性、预期回报、置信度、容量与上下限进行主观校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2700"/>
        <w:gridCol w:w="1700"/>
        <w:gridCol w:w="1500"/>
        <w:gridCol w:w="34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“积木块”风险来源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量化初始风险预算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主观校准后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校准考虑（示例）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6"/>
              </w:rPr>
              <w:t>固收票息与久期</w:t>
            </w:r>
          </w:p>
        </w:tc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70%</w:t>
            </w:r>
          </w:p>
        </w:tc>
        <w:tc>
          <w:tcPr>
            <w:tcW w:type="dxa" w:w="1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76%</w:t>
            </w:r>
          </w:p>
        </w:tc>
        <w:tc>
          <w:tcPr>
            <w:tcW w:type="dxa" w:w="34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流动性宽松、票息可见度较高；同时约束久期和信用尾部</w:t>
            </w:r>
          </w:p>
        </w:tc>
      </w:tr>
      <w:tr>
        <w:tc>
          <w:tcPr>
            <w:tcW w:type="dxa" w:w="27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6"/>
              </w:rPr>
              <w:t>红利与低波权益</w:t>
            </w:r>
          </w:p>
        </w:tc>
        <w:tc>
          <w:tcPr>
            <w:tcW w:type="dxa" w:w="17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10%</w:t>
            </w:r>
          </w:p>
        </w:tc>
        <w:tc>
          <w:tcPr>
            <w:tcW w:type="dxa" w:w="15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8%</w:t>
            </w:r>
          </w:p>
        </w:tc>
        <w:tc>
          <w:tcPr>
            <w:tcW w:type="dxa" w:w="34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估值仍有支撑，但交易拥挤度上升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6"/>
              </w:rPr>
              <w:t>科技成长权益</w:t>
            </w:r>
          </w:p>
        </w:tc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8%</w:t>
            </w:r>
          </w:p>
        </w:tc>
        <w:tc>
          <w:tcPr>
            <w:tcW w:type="dxa" w:w="1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4%</w:t>
            </w:r>
          </w:p>
        </w:tc>
        <w:tc>
          <w:tcPr>
            <w:tcW w:type="dxa" w:w="34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盈利弹性较高，但波动率和风格拥挤度偏高</w:t>
            </w:r>
          </w:p>
        </w:tc>
      </w:tr>
      <w:tr>
        <w:tc>
          <w:tcPr>
            <w:tcW w:type="dxa" w:w="27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6"/>
              </w:rPr>
              <w:t>黄金及商品</w:t>
            </w:r>
          </w:p>
        </w:tc>
        <w:tc>
          <w:tcPr>
            <w:tcW w:type="dxa" w:w="17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7%</w:t>
            </w:r>
          </w:p>
        </w:tc>
        <w:tc>
          <w:tcPr>
            <w:tcW w:type="dxa" w:w="15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7%</w:t>
            </w:r>
          </w:p>
        </w:tc>
        <w:tc>
          <w:tcPr>
            <w:tcW w:type="dxa" w:w="34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保留对冲通胀、地缘与股债同跌风险的预算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6"/>
              </w:rPr>
              <w:t>绝对收益与其他策略</w:t>
            </w:r>
          </w:p>
        </w:tc>
        <w:tc>
          <w:tcPr>
            <w:tcW w:type="dxa" w:w="17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5%</w:t>
            </w:r>
          </w:p>
        </w:tc>
        <w:tc>
          <w:tcPr>
            <w:tcW w:type="dxa" w:w="15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5%</w:t>
            </w:r>
          </w:p>
        </w:tc>
        <w:tc>
          <w:tcPr>
            <w:tcW w:type="dxa" w:w="34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结合策略容量、流动性和实盘稳定性控制上限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5F6B76"/>
          <w:sz w:val="17"/>
        </w:rPr>
        <w:t>注：表中为机制示例，风险预算不等同于资金权重，也不代表拟发行产品的最终参数。模型需在产品约束下反解资金权重，并通过压力测试、交易成本和流动性检验。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color w:val="B8872D"/>
                <w:sz w:val="22"/>
              </w:rPr>
              <w:t>“主观＋量化”的决策闭环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1D2733"/>
                <w:sz w:val="20"/>
              </w:rPr>
              <w:t>量化模型负责一致地测量风险并生成初始方案；主观研究负责识别模型尚未充分反映的制度、估值、政策、拥挤、流动性和尾部变化；风险纪律负责限定调整幅度、记录参数版本，并设定触发、退出与恢复条件。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B8872D"/>
                <w:sz w:val="22"/>
              </w:rPr>
              <w:t>【待测算图表 T-06】市场状态与TAA决策面板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用途：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将动态管理转化为可解释、可复核的规则。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测算口径：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按增长、通胀、流动性、估值、趋势和波动构建信号，设置正常/预警/防御/恢复四种状态。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建议输出：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状态仪表盘、资产倾向评分、允许偏离范围及历史触发回放。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十一、持有期管理：从“能赎回”走向“更适合持有多久”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900"/>
        <w:gridCol w:w="3900"/>
        <w:gridCol w:w="35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客户含义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管理含义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8"/>
              </w:rPr>
              <w:t>最短持有期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每笔份额未满期限不能赎回，满期后可按规则申请赎回</w:t>
            </w:r>
          </w:p>
        </w:tc>
        <w:tc>
          <w:tcPr>
            <w:tcW w:type="dxa" w:w="3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稳定产品规模、支持策略实施和流动性管理</w:t>
            </w:r>
          </w:p>
        </w:tc>
      </w:tr>
      <w:tr>
        <w:tc>
          <w:tcPr>
            <w:tcW w:type="dxa" w:w="1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8"/>
              </w:rPr>
              <w:t>推荐持有期</w:t>
            </w:r>
          </w:p>
        </w:tc>
        <w:tc>
          <w:tcPr>
            <w:tcW w:type="dxa" w:w="39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基于组合特征建议的更适宜观察周期，不构成收益承诺</w:t>
            </w:r>
          </w:p>
        </w:tc>
        <w:tc>
          <w:tcPr>
            <w:tcW w:type="dxa" w:w="3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用概率分布和回撤修复判断客户适配性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1D2733"/>
          <w:sz w:val="22"/>
        </w:rPr>
        <w:t>每个产品同时测算两个窗口：滚动持有满最短持有期，以及滚动持有满推荐持有期。渠道看到的不应只有某一时点年化收益，而应包括不同买入时点的完整结果分布。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结果指标：正收益概率、平均收益、中位数收益、5%/25%/75%/95%分位和最差持有期收益。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过程指标：单位净值波动率、窗口内最大回撤、回撤持续时间、修复时间和负收益天数占比。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方法组合：历史滚动窗口、历史情景重演、Bootstrap、Monte Carlo、压力测试和参数敏感性分析。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B8872D"/>
                <w:sz w:val="22"/>
              </w:rPr>
              <w:t>【待测算图表 T-07】最短持有期与推荐持有期双窗口测算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用途：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支撑产品命名、渠道适配和客户陪伴。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测算口径：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基于正式SAA、费用、再平衡和流动性假设，对所有申购日进行滚动持有测算。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建议输出：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双窗口正收益概率、收益分布箱线图、最大回撤分布、回撤修复概率。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十二、全流程质量控制：让产品定义在投资过程中保持一致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主要质量控制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8"/>
              </w:rPr>
              <w:t>产品立项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客户需求、产品矩阵、期限和风险目标匹配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8"/>
              </w:rPr>
              <w:t>模型验证</w:t>
            </w:r>
          </w:p>
        </w:tc>
        <w:tc>
          <w:tcPr>
            <w:tcW w:type="dxa" w:w="7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数据、参数、样本、压力情景和稳健性复核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8"/>
              </w:rPr>
              <w:t>标的准入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统一策略分类、管理人能力、合同与运营风险审查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8"/>
              </w:rPr>
              <w:t>组合构建</w:t>
            </w:r>
          </w:p>
        </w:tc>
        <w:tc>
          <w:tcPr>
            <w:tcW w:type="dxa" w:w="7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SAA、风格预算、风险贡献与流动性检查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8"/>
              </w:rPr>
              <w:t>建仓执行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成交、风险暴露、资产偏离和交易成本复核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8"/>
              </w:rPr>
              <w:t>日常管理</w:t>
            </w:r>
          </w:p>
        </w:tc>
        <w:tc>
          <w:tcPr>
            <w:tcW w:type="dxa" w:w="7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净值与合成指数基准跟踪、策略单元归因、风格、信用、流动性和限额监控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8"/>
              </w:rPr>
              <w:t>调仓处置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调整理由、权限、成本及调整后风险复核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8"/>
              </w:rPr>
              <w:t>产品复盘</w:t>
            </w:r>
          </w:p>
        </w:tc>
        <w:tc>
          <w:tcPr>
            <w:tcW w:type="dxa" w:w="7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持有期结果、归因、客户体验和策略有效性评估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color w:val="B8872D"/>
                <w:sz w:val="22"/>
              </w:rPr>
              <w:t>回撤管理原则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1D2733"/>
                <w:sz w:val="20"/>
              </w:rPr>
              <w:t>不依赖单一机械止损。先识别回撤来自资产Beta、风格拥挤、信用、流动性还是管理人Alpha失效，再决定降风险顺序、流动性准备、渠道沟通和恢复条件。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把质量控制下沉到策略单元</w:t>
      </w: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1D2733"/>
          <w:sz w:val="22"/>
        </w:rPr>
        <w:t>产品可以归因到每一个策略“积木块”，将组合收益与风险拆分为资产配置、策略选择、标的选择、交易与费用等来源；同时将实际净值与由SAA目标权重和代理指数构成的合成指数基准持续对比，确保产品在运作中没有悄然改变性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2050"/>
        <w:gridCol w:w="3350"/>
        <w:gridCol w:w="3960"/>
      </w:tblGrid>
      <w:tr>
        <w:trPr>
          <w:cantSplit/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监控对象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核心指标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出现偏离后的诊断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6"/>
              </w:rPr>
              <w:t>策略单元归因</w:t>
            </w:r>
          </w:p>
        </w:tc>
        <w:tc>
          <w:tcPr>
            <w:tcW w:type="dxa" w:w="33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收益贡献、风险贡献、Alpha、下行贡献、费用贡献</w:t>
            </w:r>
          </w:p>
        </w:tc>
        <w:tc>
          <w:tcPr>
            <w:tcW w:type="dxa" w:w="39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识别配置失效、策略失效或标的执行偏差</w:t>
            </w:r>
          </w:p>
        </w:tc>
      </w:tr>
      <w:tr>
        <w:tc>
          <w:tcPr>
            <w:tcW w:type="dxa" w:w="205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6"/>
              </w:rPr>
              <w:t>实际净值 vs 合成基准</w:t>
            </w:r>
          </w:p>
        </w:tc>
        <w:tc>
          <w:tcPr>
            <w:tcW w:type="dxa" w:w="33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累计差异、滚动超额、跟踪偏离、回撤差异</w:t>
            </w:r>
          </w:p>
        </w:tc>
        <w:tc>
          <w:tcPr>
            <w:tcW w:type="dxa" w:w="39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区分资产偏离、风格漂移、现金拖累和交易成本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6"/>
              </w:rPr>
              <w:t>产品特征</w:t>
            </w:r>
          </w:p>
        </w:tc>
        <w:tc>
          <w:tcPr>
            <w:tcW w:type="dxa" w:w="33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高波动资产、久期、信用、风格因子、流动性和容量</w:t>
            </w:r>
          </w:p>
        </w:tc>
        <w:tc>
          <w:tcPr>
            <w:tcW w:type="dxa" w:w="39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判断是否偏离产品矩阵单元的定义</w:t>
            </w:r>
          </w:p>
        </w:tc>
      </w:tr>
      <w:tr>
        <w:tc>
          <w:tcPr>
            <w:tcW w:type="dxa" w:w="205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6"/>
              </w:rPr>
              <w:t>持有期体验</w:t>
            </w:r>
          </w:p>
        </w:tc>
        <w:tc>
          <w:tcPr>
            <w:tcW w:type="dxa" w:w="33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正收益概率、尾部收益、最大回撤与修复时间</w:t>
            </w:r>
          </w:p>
        </w:tc>
        <w:tc>
          <w:tcPr>
            <w:tcW w:type="dxa" w:w="39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6"/>
              </w:rPr>
              <w:t>评估是否需要调低风险、调整推荐持有期或加强陪伴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8FB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2A7F8E"/>
                <w:sz w:val="22"/>
              </w:rPr>
              <w:t>【图表素材位 A-03】策略单元绩效与风险归因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建议位置：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置于质量控制章节，展示组合结果如何穿透到每个“积木块”。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统一口径：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采用日频费后净值；收益贡献与风险贡献分别计算；区分资产配置、策略选择、标的选择、交易与费用影响。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建议输出：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收益贡献瀑布图＋风险贡献堆叠图＋策略单元预警清单。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8FB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2A7F8E"/>
                <w:sz w:val="22"/>
              </w:rPr>
              <w:t>【图表素材位 A-04】实际净值与合成指数基准跟踪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建议位置：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紧接归因图，展示产品特征管理的日常抓手。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统一口径：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合成基准采用经审批的SAA目标权重与资产/策略代理指数，明确再平衡、费用、现金和基准切换规则。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建议输出：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实际净值与合成基准累计曲线＋滚动超额/跟踪偏离子图＋偏离原因标注。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B8872D"/>
                <w:sz w:val="22"/>
              </w:rPr>
              <w:t>【待测算图表 T-08】历史压力测试与风险贡献拆解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用途：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验证六个核心产品在典型市场冲击下的承受能力。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测算口径：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选择具有代表性的股债、信用、流动性和商品冲击窗口，并对资产簇、策略簇和管理人贡献进行拆解。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建议输出：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情景损益瀑布图、资产风险贡献图、流动性折损和恢复时间表。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十三、渠道销售逻辑：先识别客户，再匹配矩阵单元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2500"/>
        <w:gridCol w:w="3550"/>
        <w:gridCol w:w="331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客户问题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渠道判断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匹配重点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资金多久可能使用？</w:t>
            </w:r>
          </w:p>
        </w:tc>
        <w:tc>
          <w:tcPr>
            <w:tcW w:type="dxa" w:w="35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先确认最低可用期限和流动性需求</w:t>
            </w:r>
          </w:p>
        </w:tc>
        <w:tc>
          <w:tcPr>
            <w:tcW w:type="dxa" w:w="331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选择最短持有期，不以收益倒推期限</w:t>
            </w:r>
          </w:p>
        </w:tc>
      </w:tr>
      <w:tr>
        <w:tc>
          <w:tcPr>
            <w:tcW w:type="dxa" w:w="25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能承受多大净值波动？</w:t>
            </w:r>
          </w:p>
        </w:tc>
        <w:tc>
          <w:tcPr>
            <w:tcW w:type="dxa" w:w="35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区分短期浮亏敏感度与长期风险承受能力</w:t>
            </w:r>
          </w:p>
        </w:tc>
        <w:tc>
          <w:tcPr>
            <w:tcW w:type="dxa" w:w="331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选择风险风格和高波动资产预算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更关心稳健还是弹性？</w:t>
            </w:r>
          </w:p>
        </w:tc>
        <w:tc>
          <w:tcPr>
            <w:tcW w:type="dxa" w:w="355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识别客户对正收益概率、回撤和上涨弹性的排序</w:t>
            </w:r>
          </w:p>
        </w:tc>
        <w:tc>
          <w:tcPr>
            <w:tcW w:type="dxa" w:w="331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选择防御、均衡或成长风格组合</w:t>
            </w:r>
          </w:p>
        </w:tc>
      </w:tr>
      <w:tr>
        <w:tc>
          <w:tcPr>
            <w:tcW w:type="dxa" w:w="25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市场下跌会不会赎回？</w:t>
            </w:r>
          </w:p>
        </w:tc>
        <w:tc>
          <w:tcPr>
            <w:tcW w:type="dxa" w:w="355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评估客户行为和陪伴需求</w:t>
            </w:r>
          </w:p>
        </w:tc>
        <w:tc>
          <w:tcPr>
            <w:tcW w:type="dxa" w:w="331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使用推荐持有期和回撤情景说明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渠道标准表达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最短持有期：每笔份额在规定期限内不能赎回，满期后可在开放日按规则申请赎回。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推荐持有期：根据资产配置、策略特征和历史测算建议的投资观察周期，不代表收益承诺。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高波动资产：既包括股票、转债、商品和REITs等资产，也包括实际承担较高Beta、杠杆、波动率或流动性风险的策略。</w:t>
      </w:r>
    </w:p>
    <w:p>
      <w:pPr>
        <w:pStyle w:val="ListBullet"/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产品差异：不仅是权益比例不同，更是固收久期、资产簇、策略“积木块”、风格组合、风险预算和推荐持有期不同。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9B1C1C"/>
          <w:left w:val="single" w:sz="10" w:color="9B1C1C"/>
          <w:bottom w:val="single" w:sz="10" w:color="9B1C1C"/>
          <w:right w:val="single" w:sz="10" w:color="9B1C1C"/>
          <w:insideH w:val="single" w:sz="10" w:color="9B1C1C"/>
          <w:insideV w:val="single" w:sz="10" w:color="9B1C1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CEEEE"/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color w:val="9B1C1C"/>
                <w:sz w:val="22"/>
              </w:rPr>
              <w:t>渠道不应这样表达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1D2733"/>
                <w:sz w:val="20"/>
              </w:rPr>
              <w:t>“持有满期一定盈利”“推荐持有期等于保本期限”“专户一定比公募收益高”“低波动等于无风险”“正收益概率代表未来保证”。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十四、渠道合作价值：从单品销售走向产品矩阵经营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2300"/>
        <w:gridCol w:w="70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渠道价值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具体体现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8"/>
              </w:rPr>
              <w:t>货架更清晰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风险风格和期限两条轴线，减少同类产品堆叠</w:t>
            </w:r>
          </w:p>
        </w:tc>
      </w:tr>
      <w:tr>
        <w:tc>
          <w:tcPr>
            <w:tcW w:type="dxa" w:w="23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8"/>
              </w:rPr>
              <w:t>客户匹配更准确</w:t>
            </w:r>
          </w:p>
        </w:tc>
        <w:tc>
          <w:tcPr>
            <w:tcW w:type="dxa" w:w="70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先判断资金期限和风险承受能力，再进入具体产品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8"/>
              </w:rPr>
              <w:t>销售语言更一致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统一解释最短持有期、推荐持有期、高波动资产和产品差异</w:t>
            </w:r>
          </w:p>
        </w:tc>
      </w:tr>
      <w:tr>
        <w:tc>
          <w:tcPr>
            <w:tcW w:type="dxa" w:w="23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8"/>
              </w:rPr>
              <w:t>客户陪伴更有依据</w:t>
            </w:r>
          </w:p>
        </w:tc>
        <w:tc>
          <w:tcPr>
            <w:tcW w:type="dxa" w:w="70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用收益分布、回撤和修复周期替代单点收益解释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8"/>
              </w:rPr>
              <w:t>产品复盘更可执行</w:t>
            </w:r>
          </w:p>
        </w:tc>
        <w:tc>
          <w:tcPr>
            <w:tcW w:type="dxa" w:w="70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按矩阵单元评估规模、客户结构、策略容量和持有结果</w:t>
            </w:r>
          </w:p>
        </w:tc>
      </w:tr>
      <w:tr>
        <w:tc>
          <w:tcPr>
            <w:tcW w:type="dxa" w:w="23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8"/>
              </w:rPr>
              <w:t>合作可持续</w:t>
            </w:r>
          </w:p>
        </w:tc>
        <w:tc>
          <w:tcPr>
            <w:tcW w:type="dxa" w:w="70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8"/>
              </w:rPr>
              <w:t>建立产品、投研、风险和渠道反馈的闭环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1D2733"/>
          <w:sz w:val="22"/>
        </w:rPr>
        <w:t>2025年末，31家理财公司的产品已打通母行之外的代销渠道，全市场跨行代销理财公司产品的机构达到593家。渠道合作正在从“有没有产品”转向“产品是否具有清晰定位、持续业绩和可解释的客户体验”。</w:t>
      </w:r>
    </w:p>
    <w:p>
      <w:pPr>
        <w:spacing w:before="80" w:after="120" w:line="240" w:lineRule="auto"/>
      </w:pPr>
      <w:r>
        <w:rPr>
          <w:rFonts w:ascii="Arial Unicode MS" w:hAnsi="Arial Unicode MS" w:eastAsia="Arial Unicode MS"/>
          <w:i/>
          <w:color w:val="5F6B76"/>
          <w:sz w:val="16"/>
        </w:rPr>
        <w:t>资料来源：《中国银行业理财市场年度报告（2025年）》。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2A7F8E"/>
          <w:left w:val="single" w:sz="10" w:color="2A7F8E"/>
          <w:bottom w:val="single" w:sz="10" w:color="2A7F8E"/>
          <w:right w:val="single" w:sz="10" w:color="2A7F8E"/>
          <w:insideH w:val="single" w:sz="10" w:color="2A7F8E"/>
          <w:insideV w:val="single" w:sz="10" w:color="2A7F8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2F8"/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color w:val="2A7F8E"/>
                <w:sz w:val="22"/>
              </w:rPr>
              <w:t>合作主张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1D2733"/>
                <w:sz w:val="20"/>
              </w:rPr>
              <w:t>以产品矩阵为共同语言，以持有期数据为客户沟通依据，以全流程质量控制保障产品特征稳定，形成发行人与渠道共同经营客户长期体验的合作模式。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十五、落地路径：先校准模型，再形成可发行、可销售、可维护的产品</w:t>
      </w:r>
    </w:p>
    <w:p>
      <w:pPr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1.  确认首期核心产品单元、监管分类、正式命名和渠道优先级。</w:t>
      </w:r>
    </w:p>
    <w:p>
      <w:pPr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2.  建立资产与策略代理指数，完成SAA、费用和流动性假设。</w:t>
      </w:r>
    </w:p>
    <w:p>
      <w:pPr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3.  完成最短持有期、推荐持有期、正收益概率、回撤和压力测试。</w:t>
      </w:r>
    </w:p>
    <w:p>
      <w:pPr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4.  确定公募基金、专户及管理人的统一“积木块”分类、聚类与准入规则。</w:t>
      </w:r>
    </w:p>
    <w:p>
      <w:pPr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5.  形成产品参数卡、投资管理方案、风险评估和渠道路演材料。</w:t>
      </w:r>
    </w:p>
    <w:p>
      <w:pPr>
        <w:spacing w:after="80" w:line="290" w:lineRule="auto"/>
        <w:ind w:left="540" w:hanging="279"/>
      </w:pPr>
      <w:r>
        <w:rPr>
          <w:rFonts w:ascii="Arial Unicode MS" w:hAnsi="Arial Unicode MS" w:eastAsia="Arial Unicode MS"/>
          <w:color w:val="1D2733"/>
          <w:sz w:val="21"/>
        </w:rPr>
        <w:t>6.  上线后持续跟踪客户结构、份额解锁、持有期结果和渠道反馈。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B8872D"/>
                <w:sz w:val="22"/>
              </w:rPr>
              <w:t>【待测算图表 T-09】首期六类产品参数总表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用途：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作为产品立项、渠道准入和后续销售培训的统一参数底稿。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测算口径：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以最终审批口径汇总监管分类、SAA、TAA区间、费用、基准、风险指标、流动性和管理人限额。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建议输出：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一页式产品参数矩阵＋六张单品卡。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B8872D"/>
          <w:left w:val="single" w:sz="10" w:color="B8872D"/>
          <w:bottom w:val="single" w:sz="10" w:color="B8872D"/>
          <w:right w:val="single" w:sz="10" w:color="B8872D"/>
          <w:insideH w:val="single" w:sz="10" w:color="B8872D"/>
          <w:insideV w:val="single" w:sz="10" w:color="B8872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6"/>
          </w:tcPr>
          <w:p>
            <w:pPr>
              <w:spacing w:after="100"/>
            </w:pPr>
            <w:r>
              <w:rPr>
                <w:rFonts w:ascii="Arial Unicode MS" w:hAnsi="Arial Unicode MS" w:eastAsia="Arial Unicode MS"/>
                <w:b/>
                <w:color w:val="B8872D"/>
                <w:sz w:val="22"/>
              </w:rPr>
              <w:t>【待测算图表 T-10】渠道客户适配与持有行为分析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用途：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检验产品设计是否与真实渠道客户结构匹配。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测算口径：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使用渠道客户风险等级、申购规模、持有时长、赎回时点和回撤期行为数据分组分析。</w:t>
            </w:r>
          </w:p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63A5F"/>
                <w:sz w:val="19"/>
              </w:rPr>
              <w:t>建议输出：</w:t>
            </w:r>
            <w:r>
              <w:rPr>
                <w:rFonts w:ascii="Arial Unicode MS" w:hAnsi="Arial Unicode MS" w:eastAsia="Arial Unicode MS"/>
                <w:color w:val="1D2733"/>
                <w:sz w:val="19"/>
              </w:rPr>
              <w:t>客户分群、持有时长分布、回撤期赎回率及产品匹配建议。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附录一：待测算图表清单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900"/>
        <w:gridCol w:w="3900"/>
        <w:gridCol w:w="456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图表主题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主要用途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T-01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期限梯度与客户持有体验</w:t>
            </w:r>
          </w:p>
        </w:tc>
        <w:tc>
          <w:tcPr>
            <w:tcW w:type="dxa" w:w="4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比较不同期限下正收益和尾部风险变化</w:t>
            </w:r>
          </w:p>
        </w:tc>
      </w:tr>
      <w:tr>
        <w:tc>
          <w:tcPr>
            <w:tcW w:type="dxa" w:w="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T-02</w:t>
            </w:r>
          </w:p>
        </w:tc>
        <w:tc>
          <w:tcPr>
            <w:tcW w:type="dxa" w:w="39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完整产品矩阵风险收益地图</w:t>
            </w:r>
          </w:p>
        </w:tc>
        <w:tc>
          <w:tcPr>
            <w:tcW w:type="dxa" w:w="4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展示矩阵单元的风险收益定位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T-03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六类产品持有期画像表</w:t>
            </w:r>
          </w:p>
        </w:tc>
        <w:tc>
          <w:tcPr>
            <w:tcW w:type="dxa" w:w="4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形成渠道产品比较页</w:t>
            </w:r>
          </w:p>
        </w:tc>
      </w:tr>
      <w:tr>
        <w:tc>
          <w:tcPr>
            <w:tcW w:type="dxa" w:w="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T-04</w:t>
            </w:r>
          </w:p>
        </w:tc>
        <w:tc>
          <w:tcPr>
            <w:tcW w:type="dxa" w:w="39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高波动资产风格指纹</w:t>
            </w:r>
          </w:p>
        </w:tc>
        <w:tc>
          <w:tcPr>
            <w:tcW w:type="dxa" w:w="4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展示风格、行业和因子差异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T-05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公募基金与专户实施效率比较</w:t>
            </w:r>
          </w:p>
        </w:tc>
        <w:tc>
          <w:tcPr>
            <w:tcW w:type="dxa" w:w="4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选择更合适的实施载体</w:t>
            </w:r>
          </w:p>
        </w:tc>
      </w:tr>
      <w:tr>
        <w:tc>
          <w:tcPr>
            <w:tcW w:type="dxa" w:w="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T-06</w:t>
            </w:r>
          </w:p>
        </w:tc>
        <w:tc>
          <w:tcPr>
            <w:tcW w:type="dxa" w:w="39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市场状态与TAA决策面板</w:t>
            </w:r>
          </w:p>
        </w:tc>
        <w:tc>
          <w:tcPr>
            <w:tcW w:type="dxa" w:w="4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解释动态调整规则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T-07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最短与推荐持有期双窗口测算</w:t>
            </w:r>
          </w:p>
        </w:tc>
        <w:tc>
          <w:tcPr>
            <w:tcW w:type="dxa" w:w="4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支撑期限设计和客户陪伴</w:t>
            </w:r>
          </w:p>
        </w:tc>
      </w:tr>
      <w:tr>
        <w:tc>
          <w:tcPr>
            <w:tcW w:type="dxa" w:w="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T-08</w:t>
            </w:r>
          </w:p>
        </w:tc>
        <w:tc>
          <w:tcPr>
            <w:tcW w:type="dxa" w:w="39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历史压力测试与风险贡献拆解</w:t>
            </w:r>
          </w:p>
        </w:tc>
        <w:tc>
          <w:tcPr>
            <w:tcW w:type="dxa" w:w="4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验证极端环境承受能力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T-09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首期六类产品参数总表</w:t>
            </w:r>
          </w:p>
        </w:tc>
        <w:tc>
          <w:tcPr>
            <w:tcW w:type="dxa" w:w="45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统一立项和渠道参数</w:t>
            </w:r>
          </w:p>
        </w:tc>
      </w:tr>
      <w:tr>
        <w:tc>
          <w:tcPr>
            <w:tcW w:type="dxa" w:w="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T-10</w:t>
            </w:r>
          </w:p>
        </w:tc>
        <w:tc>
          <w:tcPr>
            <w:tcW w:type="dxa" w:w="39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渠道客户适配与持有行为分析</w:t>
            </w:r>
          </w:p>
        </w:tc>
        <w:tc>
          <w:tcPr>
            <w:tcW w:type="dxa" w:w="45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检验产品与客户结构匹配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5F6B76"/>
          <w:sz w:val="19"/>
        </w:rPr>
        <w:t>所有待测算图表应使用统一数据版本、费用假设、再平衡规则和样本区间；历史结果和模拟结果须明确区分，并在对外使用前完成投资、风险和合规复核。</w:t>
      </w:r>
    </w:p>
    <w:p>
      <w:pPr>
        <w:pStyle w:val="Heading2"/>
        <w:keepNext/>
      </w:pPr>
      <w:r>
        <w:t>已有图表素材的嵌入清单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DF"/>
          <w:left w:val="single" w:sz="6" w:color="CBD5DF"/>
          <w:bottom w:val="single" w:sz="6" w:color="CBD5DF"/>
          <w:right w:val="single" w:sz="6" w:color="CBD5DF"/>
          <w:insideH w:val="single" w:sz="6" w:color="CBD5DF"/>
          <w:insideV w:val="single" w:sz="6" w:color="CBD5DF"/>
        </w:tblBorders>
      </w:tblPr>
      <w:tblGrid>
        <w:gridCol w:w="900"/>
        <w:gridCol w:w="3600"/>
        <w:gridCol w:w="486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素材主题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嵌入前统一口径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A-01</w:t>
            </w:r>
          </w:p>
        </w:tc>
        <w:tc>
          <w:tcPr>
            <w:tcW w:type="dxa" w:w="3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统一分类与策略聚类</w:t>
            </w:r>
          </w:p>
        </w:tc>
        <w:tc>
          <w:tcPr>
            <w:tcW w:type="dxa" w:w="48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同观察期、同频率、费后净值、统一风险因子与人工复核</w:t>
            </w:r>
          </w:p>
        </w:tc>
      </w:tr>
      <w:tr>
        <w:tc>
          <w:tcPr>
            <w:tcW w:type="dxa" w:w="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A-02</w:t>
            </w:r>
          </w:p>
        </w:tc>
        <w:tc>
          <w:tcPr>
            <w:tcW w:type="dxa" w:w="36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典型组合构成与回测</w:t>
            </w:r>
          </w:p>
        </w:tc>
        <w:tc>
          <w:tcPr>
            <w:tcW w:type="dxa" w:w="48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净值归一、费用、再平衡、现金拖累、实盘/回测区分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A-03</w:t>
            </w:r>
          </w:p>
        </w:tc>
        <w:tc>
          <w:tcPr>
            <w:tcW w:type="dxa" w:w="360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策略单元归因</w:t>
            </w:r>
          </w:p>
        </w:tc>
        <w:tc>
          <w:tcPr>
            <w:tcW w:type="dxa" w:w="4860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收益贡献与风险贡献分列，归因层级与产品账簿一致</w:t>
            </w:r>
          </w:p>
        </w:tc>
      </w:tr>
      <w:tr>
        <w:tc>
          <w:tcPr>
            <w:tcW w:type="dxa" w:w="900"/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D2733"/>
                <w:sz w:val="17"/>
              </w:rPr>
              <w:t>A-04</w:t>
            </w:r>
          </w:p>
        </w:tc>
        <w:tc>
          <w:tcPr>
            <w:tcW w:type="dxa" w:w="360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实际净值与合成指数基准</w:t>
            </w:r>
          </w:p>
        </w:tc>
        <w:tc>
          <w:tcPr>
            <w:tcW w:type="dxa" w:w="4860"/>
            <w:shd w:fill="F4F8FB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D2733"/>
                <w:sz w:val="17"/>
              </w:rPr>
              <w:t>SAA权重、代理指数、费用、现金及基准切换规则一致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附录二：主要资料来源</w:t>
      </w:r>
    </w:p>
    <w:p>
      <w:pPr>
        <w:spacing w:after="120" w:line="276" w:lineRule="auto"/>
        <w:ind w:left="540" w:hanging="279"/>
      </w:pPr>
      <w:r>
        <w:rPr>
          <w:rFonts w:ascii="Arial Unicode MS" w:hAnsi="Arial Unicode MS" w:eastAsia="Arial Unicode MS"/>
          <w:color w:val="1D2733"/>
          <w:sz w:val="19"/>
        </w:rPr>
        <w:t>1.  银行业理财登记托管中心：《中国银行业理财市场年度报告（2025年）》，2026年1月。</w:t>
      </w:r>
    </w:p>
    <w:p>
      <w:pPr>
        <w:spacing w:after="120" w:line="276" w:lineRule="auto"/>
        <w:ind w:left="540" w:hanging="279"/>
      </w:pPr>
      <w:r>
        <w:rPr>
          <w:rFonts w:ascii="Arial Unicode MS" w:hAnsi="Arial Unicode MS" w:eastAsia="Arial Unicode MS"/>
          <w:color w:val="1D2733"/>
          <w:sz w:val="19"/>
        </w:rPr>
        <w:t>2.  中国证监会：《公开募集证券投资基金运作指引第2号——基金中基金指引》。</w:t>
      </w:r>
    </w:p>
    <w:p>
      <w:pPr>
        <w:spacing w:after="120" w:line="276" w:lineRule="auto"/>
        <w:ind w:left="540" w:hanging="279"/>
      </w:pPr>
      <w:r>
        <w:rPr>
          <w:rFonts w:ascii="Arial Unicode MS" w:hAnsi="Arial Unicode MS" w:eastAsia="Arial Unicode MS"/>
          <w:color w:val="1D2733"/>
          <w:sz w:val="19"/>
        </w:rPr>
        <w:t>3.  国家金融监督管理总局及原中国银保监会：商业银行理财业务、理财公司销售及流动性风险管理相关制度。</w:t>
      </w:r>
    </w:p>
    <w:p>
      <w:pPr>
        <w:spacing w:after="120" w:line="276" w:lineRule="auto"/>
        <w:ind w:left="540" w:hanging="279"/>
      </w:pPr>
      <w:r>
        <w:rPr>
          <w:rFonts w:ascii="Arial Unicode MS" w:hAnsi="Arial Unicode MS" w:eastAsia="Arial Unicode MS"/>
          <w:color w:val="1D2733"/>
          <w:sz w:val="19"/>
        </w:rPr>
        <w:t>4.  招商银行代销页面：信银理财安盈象固收稳利一个月持有期101号理财产品。</w:t>
      </w:r>
    </w:p>
    <w:p>
      <w:pPr>
        <w:spacing w:after="120" w:line="276" w:lineRule="auto"/>
        <w:ind w:left="540" w:hanging="279"/>
      </w:pPr>
      <w:r>
        <w:rPr>
          <w:rFonts w:ascii="Arial Unicode MS" w:hAnsi="Arial Unicode MS" w:eastAsia="Arial Unicode MS"/>
          <w:color w:val="1D2733"/>
          <w:sz w:val="19"/>
        </w:rPr>
        <w:t>5.  中银理财：《中银理财－悦享（90天持有期）产品说明书》。</w:t>
      </w:r>
    </w:p>
    <w:p>
      <w:pPr>
        <w:spacing w:after="120" w:line="276" w:lineRule="auto"/>
        <w:ind w:left="540" w:hanging="279"/>
      </w:pPr>
      <w:r>
        <w:rPr>
          <w:rFonts w:ascii="Arial Unicode MS" w:hAnsi="Arial Unicode MS" w:eastAsia="Arial Unicode MS"/>
          <w:color w:val="1D2733"/>
          <w:sz w:val="19"/>
        </w:rPr>
        <w:t>6.  工银理财：《核心优选最短持有180天固定收益类开放式理财产品（26GS5933）发行公告》。</w:t>
      </w:r>
    </w:p>
    <w:p>
      <w:pPr>
        <w:spacing w:after="120" w:line="276" w:lineRule="auto"/>
        <w:ind w:left="540" w:hanging="279"/>
      </w:pPr>
      <w:r>
        <w:rPr>
          <w:rFonts w:ascii="Arial Unicode MS" w:hAnsi="Arial Unicode MS" w:eastAsia="Arial Unicode MS"/>
          <w:color w:val="1D2733"/>
          <w:sz w:val="19"/>
        </w:rPr>
        <w:t>7.  中邮理财：《灵活添利·鸿锦最短持有365天8号理财产品发行公告》。</w:t>
      </w:r>
    </w:p>
    <w:p>
      <w:pPr>
        <w:spacing w:after="120" w:line="276" w:lineRule="auto"/>
        <w:ind w:left="540" w:hanging="279"/>
      </w:pPr>
      <w:r>
        <w:rPr>
          <w:rFonts w:ascii="Arial Unicode MS" w:hAnsi="Arial Unicode MS" w:eastAsia="Arial Unicode MS"/>
          <w:color w:val="1D2733"/>
          <w:sz w:val="19"/>
        </w:rPr>
        <w:t>8.  《泛FOF型多资产理财产品规划书》V0.2，2026年7月。</w:t>
      </w:r>
    </w:p>
    <w:p>
      <w:pPr>
        <w:spacing w:after="120" w:line="276" w:lineRule="auto"/>
        <w:ind w:left="540" w:hanging="279"/>
      </w:pPr>
      <w:r>
        <w:rPr>
          <w:rFonts w:ascii="Arial Unicode MS" w:hAnsi="Arial Unicode MS" w:eastAsia="Arial Unicode MS"/>
          <w:color w:val="1D2733"/>
          <w:sz w:val="19"/>
        </w:rPr>
        <w:t>9.  已有内部策略分类、组合回测与固收专户比较材料，数据区间以各图表标注为准。</w:t>
      </w:r>
    </w:p>
    <w:p>
      <w:pPr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/>
          <w:color w:val="5F6B76"/>
          <w:sz w:val="18"/>
        </w:rPr>
        <w:t>数据使用说明：公开市场数据截至各资料披露日；产品案例仅用于说明市场实践，不构成对相关产品的推荐或评价。最终产品要素以正式审批文件、产品合同和销售文件为准。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5F6B76"/>
        <w:sz w:val="17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 Unicode MS" w:hAnsi="Arial Unicode MS" w:eastAsia="Arial Unicode MS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 Unicode MS" w:hAnsi="Arial Unicode MS" w:eastAsia="Arial Unicode MS"/>
        <w:b/>
        <w:color w:val="5F6B76"/>
        <w:sz w:val="17"/>
      </w:rPr>
      <w:t>渠道路演材料  |  泛FOF型多资产理财产品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Arial Unicode MS" w:hAnsi="Arial Unicode MS" w:eastAsia="Arial Unicode MS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6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90" w:lineRule="auto"/>
      <w:contextualSpacing/>
    </w:pPr>
    <w:rPr>
      <w:rFonts w:ascii="Arial Unicode MS" w:hAnsi="Arial Unicode MS" w:eastAsia="Arial Unicode M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泛FOF型多资产理财产品方案——渠道路演材料</dc:title>
  <dc:subject>面向银行渠道产品经理与销售经理的产品方案</dc:subject>
  <dc:creator>产品规划项目组</dc:creator>
  <cp:keywords>泛FOF, 银行理财, 产品矩阵, 持有期, 渠道路演</cp:keywords>
  <dc:description>正式渠道交流稿；含待测算图表及已有素材嵌入标准占位。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