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520" w:line="320" w:lineRule="auto"/>
        <w:jc w:val="left"/>
      </w:pPr>
      <w:r>
        <w:rPr>
          <w:rFonts w:ascii="Arial" w:hAnsi="Arial" w:eastAsia="Microsoft YaHei"/>
          <w:b/>
          <w:i w:val="0"/>
          <w:color w:val="B8872D"/>
          <w:sz w:val="22"/>
        </w:rPr>
        <w:t>渠道合作路演材料</w:t>
      </w:r>
    </w:p>
    <w:p>
      <w:pPr>
        <w:spacing w:before="800" w:after="280" w:line="252" w:lineRule="auto"/>
        <w:jc w:val="left"/>
      </w:pPr>
      <w:r>
        <w:rPr>
          <w:rFonts w:ascii="Arial" w:hAnsi="Arial" w:eastAsia="Microsoft YaHei"/>
          <w:b/>
          <w:i w:val="0"/>
          <w:color w:val="163A5F"/>
          <w:sz w:val="58"/>
        </w:rPr>
        <w:t>泛FOF型多资产</w:t>
        <w:br/>
        <w:t>理财产品方案</w:t>
      </w:r>
    </w:p>
    <w:p>
      <w:pPr>
        <w:spacing w:before="0" w:after="480" w:line="320" w:lineRule="auto"/>
        <w:jc w:val="left"/>
      </w:pPr>
      <w:r>
        <w:rPr>
          <w:rFonts w:ascii="Arial" w:hAnsi="Arial" w:eastAsia="Microsoft YaHei"/>
          <w:b w:val="0"/>
          <w:i w:val="0"/>
          <w:color w:val="2A7F8E"/>
          <w:sz w:val="30"/>
        </w:rPr>
        <w:t>用专业“积木块”搭建持有期体验导向的产品矩阵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面向银行财富渠道的核心价值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用“风险风格 × 最短持有期”形成清晰货架；将基金、专户和策略统一为可识别、可组合、可归因的专业“积木块”；用正收益概率、收益分布、回撤和修复周期管理客户持有体验。</w:t>
            </w:r>
          </w:p>
        </w:tc>
      </w:tr>
    </w:tbl>
    <w:p>
      <w:pPr>
        <w:spacing w:after="20"/>
      </w:pPr>
    </w:p>
    <w:p>
      <w:pPr>
        <w:spacing w:before="800" w:after="100" w:line="320" w:lineRule="auto"/>
        <w:jc w:val="left"/>
      </w:pPr>
      <w:r>
        <w:rPr>
          <w:rFonts w:ascii="Arial" w:hAnsi="Arial" w:eastAsia="Microsoft YaHei"/>
          <w:b w:val="0"/>
          <w:i w:val="0"/>
          <w:color w:val="5F6B76"/>
          <w:sz w:val="21"/>
        </w:rPr>
        <w:t>适用读者：渠道产品经理、销售管理人员、财富顾问团队</w:t>
      </w:r>
    </w:p>
    <w:p>
      <w:pPr>
        <w:spacing w:before="0" w:after="60" w:line="320" w:lineRule="auto"/>
        <w:jc w:val="left"/>
      </w:pPr>
      <w:r>
        <w:rPr>
          <w:rFonts w:ascii="Arial" w:hAnsi="Arial" w:eastAsia="Microsoft YaHei"/>
          <w:b w:val="0"/>
          <w:i w:val="0"/>
          <w:color w:val="5F6B76"/>
          <w:sz w:val="20"/>
        </w:rPr>
        <w:t>版本：V1.1  |  2026年7月</w:t>
      </w:r>
    </w:p>
    <w:p>
      <w:pPr>
        <w:spacing w:before="700" w:after="0" w:line="320" w:lineRule="auto"/>
        <w:jc w:val="left"/>
      </w:pPr>
      <w:r>
        <w:rPr>
          <w:rFonts w:ascii="Arial" w:hAnsi="Arial" w:eastAsia="Microsoft YaHei"/>
          <w:b w:val="0"/>
          <w:i w:val="0"/>
          <w:color w:val="9B1C1C"/>
          <w:sz w:val="18"/>
        </w:rPr>
        <w:t>本材料用于产品方案交流，不构成任何收益承诺或投资建议。</w:t>
      </w:r>
    </w:p>
    <w:p>
      <w:r>
        <w:br w:type="page"/>
      </w:r>
    </w:p>
    <w:p>
      <w:pPr>
        <w:pStyle w:val="Heading1"/>
        <w:keepNext/>
      </w:pPr>
      <w:r>
        <w:t>一、执行摘要：渠道需要一套“看得懂、卖得准、拿得住”的产品体系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" w:hAnsi="Arial" w:eastAsia="Microsoft YaHei"/>
                <w:b/>
                <w:color w:val="163A5F"/>
                <w:sz w:val="34"/>
              </w:rPr>
              <w:t>33.29万亿元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5F6B76"/>
                <w:sz w:val="17"/>
              </w:rPr>
              <w:t>2025年末理财存续规模</w:t>
            </w:r>
          </w:p>
        </w:tc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" w:hAnsi="Arial" w:eastAsia="Microsoft YaHei"/>
                <w:b/>
                <w:color w:val="163A5F"/>
                <w:sz w:val="34"/>
              </w:rPr>
              <w:t>1.43亿个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5F6B76"/>
                <w:sz w:val="17"/>
              </w:rPr>
              <w:t>持有理财产品的投资者数量</w:t>
            </w:r>
          </w:p>
        </w:tc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" w:hAnsi="Arial" w:eastAsia="Microsoft YaHei"/>
                <w:b/>
                <w:color w:val="163A5F"/>
                <w:sz w:val="34"/>
              </w:rPr>
              <w:t>97.09%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5F6B76"/>
                <w:sz w:val="17"/>
              </w:rPr>
              <w:t>固定收益类产品规模占比</w:t>
            </w:r>
          </w:p>
        </w:tc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" w:hAnsi="Arial" w:eastAsia="Microsoft YaHei"/>
                <w:b/>
                <w:color w:val="163A5F"/>
                <w:sz w:val="34"/>
              </w:rPr>
              <w:t>95.73%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5F6B76"/>
                <w:sz w:val="17"/>
              </w:rPr>
              <w:t>二级及以下产品规模占比</w:t>
            </w:r>
          </w:p>
        </w:tc>
      </w:tr>
    </w:tbl>
    <w:p>
      <w:pPr>
        <w:spacing w:after="40"/>
      </w:pP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资料来源：《中国银行业理财市场年度报告（2025年）》；数据截至2025年末。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银行理财市场规模持续扩大，但产品结构仍高度集中于固定收益类和中低风险产品。渠道真正缺少的，不是更多名称相似的“固收+”，而是一套能够清楚解释风险来源、持有期限和客户体验差异的产品矩阵。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方案结论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以固收底仓形成基础收益和流动性缓冲，以多资产、多策略和多风格“积木块”获取风险溢价；先确定客户风险与持有期，再配置资产簇和策略簇，最后选择公募基金、专户及具体标的。</w:t>
            </w:r>
          </w:p>
        </w:tc>
      </w:tr>
    </w:tbl>
    <w:p>
      <w:pPr>
        <w:spacing w:after="20"/>
      </w:pP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四类风险风格：稳健低波、稳健增利、均衡成长、进取增强。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四档最短持有期：30天、90天、180天、365天。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每个矩阵单元是一套独立目标组合，而不是同一组合更换期限标签。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同时设置最短持有期和推荐持有期，分别管理赎回安排与适宜投资周期。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统一对公募基金和专户进行资产、策略、风格与风险因子分类，形成可替换、可评价的“积木块”库。</w:t>
      </w:r>
    </w:p>
    <w:p>
      <w:r>
        <w:br w:type="page"/>
      </w:r>
    </w:p>
    <w:p>
      <w:pPr>
        <w:pStyle w:val="Heading1"/>
        <w:keepNext/>
      </w:pPr>
      <w:r>
        <w:t>二、市场背景：大体量、低风险偏好与多资产转型并存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2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na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2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_lev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资料来源：银行业理财登记托管中心，《中国银行业理财市场年度报告（2025年）》。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2025年末，固定收益类产品存续规模32.32万亿元，占比97.09%；风险等级二级及以下产品规模31.87万亿元，占比95.73%。个人投资者1.41亿个，占全部理财投资者的98.64%，其中稳健型投资者数量占比最高，达到33.54%。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与此同时，行业正在从“单一资产驱动”向“多资产配置”转型。年度报告中的行业案例显示，头部机构已开始使用宏观因子、风险预算、情景分析、策略组合和工具层对冲，推动多资产配置从简单拼接走向组合管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渠道机会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客户风险偏好整体稳健，并不意味着产品只能依赖单一固收收益。更可持续的方向，是在严格风险预算下引入差异化资产和策略，通过分散风险来源改善持有期结果。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三、公开案例：持有期产品已形成清晰的期限梯度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公开产品文件显示，最短持有期已经成为开放式理财产品常见的流动性安排。市场上已存在30天、90天、180天和365天等不同期限产品，为建立期限矩阵提供了成熟的客户认知基础。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100"/>
        <w:gridCol w:w="4700"/>
        <w:gridCol w:w="35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期限案例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公开产品案例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可借鉴要点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30天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信银理财安盈象固收稳利一个月持有期101号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每笔份额持有满30个自然日后可在开放日申请赎回</w:t>
            </w:r>
          </w:p>
        </w:tc>
      </w:tr>
      <w:tr>
        <w:tc>
          <w:tcPr>
            <w:tcW w:type="dxa" w:w="11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90天</w:t>
            </w:r>
          </w:p>
        </w:tc>
        <w:tc>
          <w:tcPr>
            <w:tcW w:type="dxa" w:w="4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中银理财－悦享（90天持有期）</w:t>
            </w:r>
          </w:p>
        </w:tc>
        <w:tc>
          <w:tcPr>
            <w:tcW w:type="dxa" w:w="3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最短持有90个自然日，产品成立后工作日开放申购赎回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180天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工银理财·核心优选最短持有180天固定收益类开放式产品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公募、开放式、固定收益类、PR2；基准由存款与同业存单指数等合成</w:t>
            </w:r>
          </w:p>
        </w:tc>
      </w:tr>
      <w:tr>
        <w:tc>
          <w:tcPr>
            <w:tcW w:type="dxa" w:w="11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365天</w:t>
            </w:r>
          </w:p>
        </w:tc>
        <w:tc>
          <w:tcPr>
            <w:tcW w:type="dxa" w:w="4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中邮理财灵活添利·鸿锦最短持有365天8号</w:t>
            </w:r>
          </w:p>
        </w:tc>
        <w:tc>
          <w:tcPr>
            <w:tcW w:type="dxa" w:w="3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以365天持有期承载更长的策略实现周期</w:t>
            </w:r>
          </w:p>
        </w:tc>
      </w:tr>
    </w:tbl>
    <w:p>
      <w:pPr>
        <w:spacing w:after="20"/>
      </w:pP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资料来源：招商银行代销产品页面、中银理财产品说明书、工银理财发行公告、中邮理财发行公告；详见文末资料来源。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本方案不把“最短持有期”等同于“推荐持有期”。客户满期后获得赎回权，但是否适合继续持有，应由组合波动、收益分布和回撤修复周期决定。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T-01】期限梯度与客户持有体验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形成30/90/180/365天产品在渠道端的直观对比。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使用拟定SAA和代表性指数，分别测算最短持有期与推荐持有期的滚动收益。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期限—正收益概率曲线、期限—5%分位收益曲线、期限—回撤修复概率曲线。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四、产品定位：不是公募FOF的复制，而是理财特色的泛FOF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泛FOF是一种组合管理方法：在产品层配置多资产、多策略、多风格和多管理人，并通过公募基金、专户、其他合规资产管理计划及允许范围内的直接投资加以实现。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500"/>
        <w:gridCol w:w="3930"/>
        <w:gridCol w:w="393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比较维度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泛FOF型理财产品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公募FOF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风险偏好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整体偏中低风险，强调固收底仓、持有期正收益概率和回撤控制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风险谱系更宽，可覆盖偏债、平衡、偏股、目标风险及养老目标等类型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产品起点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银行客户风险偏好、资金期限和持有体验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基金合同约定的投资目标和风险收益特征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底层工具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多资产、多策略公募基金、专户、资管计划及合规直投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原则上80%以上基金资产投资于其他公募基金份额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固收实施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可直接管理固收资产，亦可通过定制专户和公募工具实施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主要通过债券基金、货币基金等间接实现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策略定制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可直接设定久期、信用、杠杆、风格、流动性和风险边界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受底层基金合同、开放安排与管理方式约束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客户管理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最短持有期＋推荐持有期＋银行渠道陪伴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依据基金合同、销售适当性和基金持有安排</w:t>
            </w:r>
          </w:p>
        </w:tc>
      </w:tr>
    </w:tbl>
    <w:p>
      <w:pPr>
        <w:spacing w:after="20"/>
      </w:pP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资料来源：中国证监会《公开募集证券投资基金运作指引第2号——基金中基金指引》；银行理财相关制度。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差异化价值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本方案的优势不是简单增加权益仓位，而是在较低风险预算下，使用更丰富的底层工具和策略组合，争取更稳定、更可解释的持有期体验。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五、产品矩阵：风险风格 × 最短持有期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风险风格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30天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90天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180天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365天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稳健低波（高波动资产0%–5%）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扩展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扩展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</w:tr>
      <w:tr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稳健增利（高波动资产0%–10%）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扩展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均衡成长（高波动资产5%–15%）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</w:tr>
      <w:tr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进取增强（高波动资产5%–25%）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核心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“核心”代表首期或重点布局；“扩展”代表具备渠道需求后逐步发行；“储备”代表保留策略模型；“不建议”代表风险特征与最短持有期明显不匹配。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每个矩阵单元的定义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产品矩阵单元 = 资产簇配置 × 策略与风格“积木块” × 实施工具 × 风险预算 × 流动性约束 × 持有期目标。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52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matrix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示例图：六类核心产品在目标波动、持有期收益和最大回撤三个维度的相对定位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资料来源：模拟数据，仅用于展示图表结构与阅读方式，不代表拟发行产品的收益预测。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示例阅读：从左下到右上依次对应更高的风险预算和更长的策略实现周期；同一期限下，产品仍可因风格“积木块”、固收久期和对冲安排不同而处于不同位置。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T-02】完整产品矩阵风险收益地图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让渠道直观看到各矩阵单元的收益目标、波动与回撤差异。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基于各单元SAA、费用和历史代表指数测算，统一采用最短持有期与推荐持有期两个窗口。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二维气泡图：横轴为目标波动，纵轴为持有期平均收益，气泡大小代表最大回撤或尾部损失。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六、首期核心产品：形成清晰可销售的六个组合单元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40"/>
        <w:gridCol w:w="1120"/>
        <w:gridCol w:w="1350"/>
        <w:gridCol w:w="1400"/>
        <w:gridCol w:w="1050"/>
        <w:gridCol w:w="2500"/>
      </w:tblGrid>
      <w:tr>
        <w:trPr>
          <w:cantSplit/>
          <w:tblHeader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产品单元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最短持有期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推荐持有期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高波动资产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战略中枢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核心定位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稳健低波30天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30天</w:t>
            </w:r>
          </w:p>
        </w:tc>
        <w:tc>
          <w:tcPr>
            <w:tcW w:type="dxa" w:w="1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3个月以上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0%–5%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2%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短持有、低波动、流动性优先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稳健增利90天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90天</w:t>
            </w:r>
          </w:p>
        </w:tc>
        <w:tc>
          <w:tcPr>
            <w:tcW w:type="dxa" w:w="1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6个月以上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0%–10%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固收底仓加有限多策略增强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稳健增利180天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180天</w:t>
            </w:r>
          </w:p>
        </w:tc>
        <w:tc>
          <w:tcPr>
            <w:tcW w:type="dxa" w:w="1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9–12个月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0%–10%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6%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增加固收策略空间与收益弹性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均衡成长180天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180天</w:t>
            </w:r>
          </w:p>
        </w:tc>
        <w:tc>
          <w:tcPr>
            <w:tcW w:type="dxa" w:w="1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12个月以上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5%–15%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10%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多风格权益及其他风险溢价组合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均衡成长365天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18个月以上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5%–15%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12%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更完整的跨资产、跨周期配置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进取增强365天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24个月以上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5%–25%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15%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长期风险溢价与主动管理结合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战略中枢代表正常市场状态下的目标位置，高波动资产上下限则为战术调整和风险控制提供空间。最终中枢、推荐持有期及监管分类须以回测、压力测试和正式立项结果为准。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T-03】六类产品持有期画像表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形成渠道可直接使用的产品比较页。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对每个产品分别统计最短持有期和推荐持有期的滚动结果，并扣除拟定综合费率。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正收益概率、平均收益、中位数、5%/25%/75%/95%分位、单位净值波动率、最大回撤、修复时间。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典型产品案例库：沉淀可复用的“积木搭法”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2400"/>
        <w:gridCol w:w="2800"/>
        <w:gridCol w:w="2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典型客户场景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核心“积木块”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组合与管理重点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案例A｜稳健低波30天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短期闲置资金，重视流动性和净值稳定</w:t>
            </w:r>
          </w:p>
        </w:tc>
        <w:tc>
          <w:tcPr>
            <w:tcW w:type="dxa" w:w="2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短久期高等级固收专户＋货币工具＋少量绝对收益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控制久期、杠杆和解锁日前流动性；高波动资产以0%–2%为中枢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案例B｜稳健增利90天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可承受轻微波动，希望高于纯现金管理体验</w:t>
            </w:r>
          </w:p>
        </w:tc>
        <w:tc>
          <w:tcPr>
            <w:tcW w:type="dxa" w:w="2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中短久期信用专户＋红利低波＋黄金</w:t>
            </w:r>
          </w:p>
        </w:tc>
        <w:tc>
          <w:tcPr>
            <w:tcW w:type="dxa" w:w="23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固收贡献主要收益；估值与拥挤度决定红利预算，黄金用于尾部分散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案例C｜稳健增利180天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资金半年以上不用，重视正收益概率和回撤修复</w:t>
            </w:r>
          </w:p>
        </w:tc>
        <w:tc>
          <w:tcPr>
            <w:tcW w:type="dxa" w:w="2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票息与骑乘专户＋转债＋红利＋市场中性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通过收益积累释放风险预算；转债估值过高时由绝对收益策略替代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案例D｜均衡成长180天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接受阶段性浮亏，希望兼顾防御和上涨弹性</w:t>
            </w:r>
          </w:p>
        </w:tc>
        <w:tc>
          <w:tcPr>
            <w:tcW w:type="dxa" w:w="2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固收底仓＋红利低波＋宽基指数增强＋科技成长＋黄金</w:t>
            </w:r>
          </w:p>
        </w:tc>
        <w:tc>
          <w:tcPr>
            <w:tcW w:type="dxa" w:w="23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高波动资产约10%；控制成长风格集中度及股债相关性上升风险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案例E｜均衡成长365天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一年以上配置资金，关注多资产跨周期能力</w:t>
            </w:r>
          </w:p>
        </w:tc>
        <w:tc>
          <w:tcPr>
            <w:tcW w:type="dxa" w:w="28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固收专户＋多风格权益＋转债＋REITs＋商品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允许更完整的风险预算配置；通过估值、趋势和流动性信号进行再平衡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案例F｜进取增强365天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较高风险承受能力，接受较大净值波动</w:t>
            </w:r>
          </w:p>
        </w:tc>
        <w:tc>
          <w:tcPr>
            <w:tcW w:type="dxa" w:w="28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指数增强＋主动成长＋量化选股＋黄金商品＋对冲策略</w:t>
            </w:r>
          </w:p>
        </w:tc>
        <w:tc>
          <w:tcPr>
            <w:tcW w:type="dxa" w:w="23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强化风格和容量管理；设置风险预算上限、压力情景和分阶段恢复条件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案例库用于沉淀可复用的产品设计逻辑：每个案例均保留“客户场景—积木块构成—模型参数—组合结果—销售表达—投后复盘”六类档案。正式产品可在同一案例框架下进行簇内标的替换，而不改变产品定位。</w:t>
      </w:r>
    </w:p>
    <w:p>
      <w:r>
        <w:br w:type="page"/>
      </w:r>
    </w:p>
    <w:p>
      <w:pPr>
        <w:pStyle w:val="Heading1"/>
        <w:keepNext/>
      </w:pPr>
      <w:r>
        <w:t>七、“积木块”体系：统一分类基金与专户，再搭建产品组合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什么是“积木块”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“积木块”是完成资产归属、策略标签、风格画像、风险因子、流动性约束和准入评价后的可组合投资单元。它既可以是一只公募基金，也可以是一个定制专户或其他合规资管计划；载体不同，但必须使用同一套语言识别其真实风险来源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4300"/>
        <w:gridCol w:w="32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资产簇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主要资产与策略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组合功能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流动性资产簇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现金、存款、同业存单、货币工具、短期回购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申赎准备、净值稳定、交易缓冲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利率资产簇</w:t>
            </w:r>
          </w:p>
        </w:tc>
        <w:tc>
          <w:tcPr>
            <w:tcW w:type="dxa" w:w="43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国债、政策性金融债、利率债基金及专户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久期收益、流动性、避险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信用资产簇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高等级信用债、信用债基金及专户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票息和信用利差收益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固收增强簇</w:t>
            </w:r>
          </w:p>
        </w:tc>
        <w:tc>
          <w:tcPr>
            <w:tcW w:type="dxa" w:w="43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骑乘、杠杆、信用挖掘、波段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提高固收收益弹性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权益Beta/Alpha簇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指数、指数增强、主动权益、量化选股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获取市场风险溢价与管理人Alpha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转债与实物资产簇</w:t>
            </w:r>
          </w:p>
        </w:tc>
        <w:tc>
          <w:tcPr>
            <w:tcW w:type="dxa" w:w="43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可转债、黄金、商品、公募REITs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增强、通胀对冲和风险分散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绝对收益与对冲簇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市场中性、多策略、套利及合规衍生品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降低方向依赖、管理尾部风险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公募基金和专户首先按照同一套资产、策略和风格标签分类，再比较费率、透明度、流动性、合同约束和管理人能力。载体不同，不应被误认为风险来源已经分散。</w:t>
      </w:r>
    </w:p>
    <w:p>
      <w:pPr>
        <w:pStyle w:val="Heading2"/>
        <w:keepNext/>
      </w:pPr>
      <w:r>
        <w:t>从全市场标的到代表性“积木块”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1.  统一分类：按资产、策略、风格和风险因子完成基金与专户的共同标签。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2.  策略聚类：以收益相关性、波动、回撤、Beta、风格暴露和持仓特征识别同类策略，减少“名称不同、风险相同”的重复配置。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3.  簇内精选：在同一聚类内比较持续Alpha、下行保护、费率、流动性、透明度、容量和管理稳定性。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4.  组合搭建：从不同簇中选择互补“积木块”，形成典型产品组合并回测净值与持有期结果。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5.  动态替换：当管理人、风格或执行效率变化时，在不改变产品定义的前提下优先进行簇内替换。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组合纪律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先回答组合需要什么风险收益来源，再回答用哪只基金、哪个专户和哪位管理人实现。优秀的单一标的，只有在改善组合持有期结果时才具有入池价值。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52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cluster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示例图：基金与专户采用统一风险收益特征进行聚类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资料来源：模拟数据，仅展示聚类后的策略簇、相对风险和容量表达方式。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示例阅读：同一聚类内的基金和专户承担相似风险来源，可进行费率、Alpha、流动性和管理稳定性的簇内比较；组合分散应优先跨簇实现，而不是机械增加同簇标的数量。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A-01】统一分类、策略聚类与代表性“积木块”地图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置于本节末，用一张图展示从标的池、聚类到代表性策略单元的筛选路径。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基金与专户使用相同观察期、收益频率、费后净值和风险因子定义；聚类算法、距离度量及人工复核规则留痕。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聚类树或二维降维散点图＋各簇标签、代表标的、簇内离散度和容量。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527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typical_na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示例图：典型产品组合与合成指数基准的净值路径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资料来源：模拟数据，统一起点为1；仅用于展示正式组合回测图的结构。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示例阅读：比较期末收益之外，还应同步观察回撤发生时间、各组合下跌幅度、恢复速度及与合成基准的阶段性偏离。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A-02】典型产品组合构成与回测净值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紧接聚类地图，展示代表性“积木块”如何搭成六类核心产品。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统一起始日、净值归一为1、费率假设、再平衡频率、现金拖累和可交易性；明确实盘、回测及代理指数区间。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组合权重堆叠图＋组合净值、合成基准与回撤子图＋最短/推荐持有期统计摘要。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八、同样10%的高波动资产，不同“积木块”会形成不同产品特征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3000"/>
        <w:gridCol w:w="2120"/>
        <w:gridCol w:w="2120"/>
        <w:gridCol w:w="212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策略子簇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防御收益型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均衡配置型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成长增强型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红利价值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4%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低波动权益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宽基Beta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科技成长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5%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小盘成长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2%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转债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黄金及商品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公募REITs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合计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10%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三种方案名义仓位相同，但风险来源不同：防御收益型更依赖股息、低波和实物资产分散；成长增强型更依赖科技、小盘和高Beta环境；均衡配置型则在多种风格之间分配风险预算。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527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style_bloc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示例图：同为10%高波动资产，不同风格“积木块”的组合方式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资料来源：根据本节示例权重绘制；不构成正式产品配置建议。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T-04】高波动资产风格指纹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展示产品并非只控制权益比例，还控制风格、行业和风险因子。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对底层公募基金和专户进行穿透，汇总价值/成长、大小盘、红利、质量、动量、Beta、行业及流动性暴露。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六个核心产品的风格雷达图＋行业集中度热力图。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九、固收底仓与专户：稳定收益来源，也是产品差异化基础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固收仓承担基础收益积累、净值稳定、流动性管理、回撤缓冲和战术资金来源。不同期限产品应使用不同的久期、信用、杠杆和流动性安排。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产品单元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固收底仓建议特征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稳健低波30天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短久期、高等级、高流动性；严格限制信用下沉和杠杆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稳健增利90天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中短久期、适度信用挖掘，以票息积累与流动性为主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稳健增利180天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可适度增加骑乘、杠杆、信用利差和资本利得策略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均衡成长180天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承担净值稳定、流动性和高波动仓缓冲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均衡成长365天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可使用更完整的久期、曲线和跨策略组合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进取增强365天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兼顾收益积累、战术资金和组合尾部缓冲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专户的价值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通过合同定制久期、信用、杠杆、流动性、预警和报告要求；在规模允许时争取更具竞争力的费率和更透明的风险管理。专户是否优于公募基金，必须综合管理费、托管费、运营成本、最低规模和流动性成本比较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固收专户相对指数工具的实施案例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以同区间、同起点净值比较固收专户、债券指数和债券基金指数，可以更直观地检验专户在收益获取、回撤控制和路径稳定性上的实施效果。评价结论应同时结合策略约束与费用，避免仅凭期末收益判断。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784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图：固收专户净值与债券指数、债券基金指数对比示例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资料来源：已有内部策略材料；对外使用前应核对专户名称、样本区间、基准名称、费后口径及数据授权。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收益维度：区间收益、年化收益、超额收益及滚动胜率。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风险维度：年化波动率、最大回撤、回撤修复时间、下行捕获率和尾部损失。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实施维度：综合费率、久期与信用偏离、杠杆使用、流动性、容量及信息透明度。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T-05】公募基金与专户实施效率比较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为各资产簇选择更合适的实施载体。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在相同策略口径下比较公募基金与专户的费率、跟踪误差、Alpha、最大回撤、流动性、透明度和运营成本。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分策略评分卡＋三年情景成本测算＋最小经济规模。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十、投资管理：SAA确定产品性格，TAA管理阶段性风险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1.  以客户需求、风险承受能力和持有期限确定产品矩阵单元。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2.  设置收益目标、波动与回撤容忍度、流动性约束和业绩比较基准。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3.  通过SAA确定资产簇、策略簇、风格子簇和长期风险预算。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4.  通过TAA在授权区间内，根据增长、通胀、流动性、估值、趋势和风险偏好调整。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5.  选择相应策略的公募基金、专户和具体标的，完成穿透式风险复核。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6.  持续监控风险贡献、持有期结果、流动性和客户行为，并按规则再平衡。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3700"/>
        <w:gridCol w:w="38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管理层级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SAA战略配置</w:t>
            </w:r>
          </w:p>
        </w:tc>
        <w:tc>
          <w:tcPr>
            <w:tcW w:type="dxa" w:w="3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产品长期依靠哪些风险收益来源？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资产中枢、风格预算、风险贡献、长期基准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TAA战术配置</w:t>
            </w:r>
          </w:p>
        </w:tc>
        <w:tc>
          <w:tcPr>
            <w:tcW w:type="dxa" w:w="3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当前市场状态下应偏离多少？</w:t>
            </w:r>
          </w:p>
        </w:tc>
        <w:tc>
          <w:tcPr>
            <w:tcW w:type="dxa" w:w="3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资产偏离、风险状态、加减仓和恢复条件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标的选择</w:t>
            </w:r>
          </w:p>
        </w:tc>
        <w:tc>
          <w:tcPr>
            <w:tcW w:type="dxa" w:w="3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用什么工具和管理人实现？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公募基金、专户、指数化工具及具体标的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风险与质量控制</w:t>
            </w:r>
          </w:p>
        </w:tc>
        <w:tc>
          <w:tcPr>
            <w:tcW w:type="dxa" w:w="3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实际组合是否仍符合产品定义？</w:t>
            </w:r>
          </w:p>
        </w:tc>
        <w:tc>
          <w:tcPr>
            <w:tcW w:type="dxa" w:w="3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限额、预警、压力测试、回撤与流动性处置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风险预算模型示例：量化形成底稿，主观校准关键参数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风险预算模型将组合总风险分配到不同资产簇和策略“积木块”，根据波动率与相关性求得初始权重。模型输出不是自动交易指令，而是可复核的配置底稿；投研团队结合国内市场结构和当前环境，对波动率、相关性、预期回报、置信度、容量与上下限进行主观校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风险预算模型的核心公式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组合波动率：σp = √(wᵀΣw)</w:t>
              <w:br/>
              <w:t>边际风险贡献：MRC_i = (Σw)_i / σp</w:t>
              <w:br/>
              <w:t>策略风险贡献：RC_i = w_i × MRC_i</w:t>
              <w:br/>
              <w:t>相对风险贡献：RRC_i = RC_i / σp</w:t>
              <w:br/>
              <w:t>优化目标：min Σ_i (RRC_i − b_i)²，并满足资金权重和为1、资产上下限、流动性及监管比例等约束。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19"/>
        </w:rPr>
        <w:t>其中，w为各“积木块”的资金权重向量，Σ为协方差矩阵，σp为组合波动率，MRC_i为第i个策略的边际风险贡献，RC_i为其绝对风险贡献，RRC_i为相对风险贡献，b_i为经审批的目标风险预算。风险预算模型关注“谁贡献了多少风险”，因此资金权重与风险预算通常并不相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700"/>
        <w:gridCol w:w="1700"/>
        <w:gridCol w:w="1500"/>
        <w:gridCol w:w="34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“积木块”风险来源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量化初始风险预算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主观校准后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校准考虑（示例）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固收票息与久期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70%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76%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流动性宽松、票息可见度较高；同时约束久期和信用尾部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红利与低波权益</w:t>
            </w:r>
          </w:p>
        </w:tc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10%</w:t>
            </w:r>
          </w:p>
        </w:tc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8%</w:t>
            </w:r>
          </w:p>
        </w:tc>
        <w:tc>
          <w:tcPr>
            <w:tcW w:type="dxa" w:w="3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估值仍有支撑，但交易拥挤度上升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科技成长权益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8%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4%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盈利弹性较高，但波动率和风格拥挤度偏高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黄金及商品</w:t>
            </w:r>
          </w:p>
        </w:tc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7%</w:t>
            </w:r>
          </w:p>
        </w:tc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7%</w:t>
            </w:r>
          </w:p>
        </w:tc>
        <w:tc>
          <w:tcPr>
            <w:tcW w:type="dxa" w:w="3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保留对冲通胀、地缘与股债同跌风险的预算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绝对收益与其他策略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结合策略容量、流动性和实盘稳定性控制上限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7"/>
        </w:rPr>
        <w:t>注：表中为机制示例，风险预算不等同于资金权重，也不代表拟发行产品的最终参数。模型需在产品约束下反解资金权重，并通过压力测试、交易成本和流动性检验。</w:t>
      </w:r>
    </w:p>
    <w:p>
      <w:pPr>
        <w:pStyle w:val="Heading3"/>
        <w:keepNext/>
      </w:pPr>
      <w:r>
        <w:t>关键参数如何被“量化＋主观”共同调整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750"/>
        <w:gridCol w:w="2450"/>
        <w:gridCol w:w="2750"/>
        <w:gridCol w:w="241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量化基础值（示例）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主观校准（示例）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对组合的影响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波动率估计σ_i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过去3年日收益，60日半衰期EWMA</w:t>
            </w:r>
          </w:p>
        </w:tc>
        <w:tc>
          <w:tcPr>
            <w:tcW w:type="dxa" w:w="27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进入冲击状态后改为20日半衰期，并设置历史压力下限</w:t>
            </w:r>
          </w:p>
        </w:tc>
        <w:tc>
          <w:tcPr>
            <w:tcW w:type="dxa" w:w="24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更快反映近期风险，减少模型因长期均值而低估仓位风险</w:t>
            </w:r>
          </w:p>
        </w:tc>
      </w:tr>
      <w:tr>
        <w:tc>
          <w:tcPr>
            <w:tcW w:type="dxa" w:w="17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相关性矩阵Σ</w:t>
            </w:r>
          </w:p>
        </w:tc>
        <w:tc>
          <w:tcPr>
            <w:tcW w:type="dxa" w:w="24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历史样本＋收缩估计</w:t>
            </w:r>
          </w:p>
        </w:tc>
        <w:tc>
          <w:tcPr>
            <w:tcW w:type="dxa" w:w="27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Σ*＝(1−λ)Σ历史＋λΣ压力；λ由20%提高至35%</w:t>
            </w:r>
          </w:p>
        </w:tc>
        <w:tc>
          <w:tcPr>
            <w:tcW w:type="dxa" w:w="24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提高股债同跌或风格共振情景权重，降低虚假分散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目标风险预算b_i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依据产品SAA和长期风险溢价设定</w:t>
            </w:r>
          </w:p>
        </w:tc>
        <w:tc>
          <w:tcPr>
            <w:tcW w:type="dxa" w:w="27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结合估值、政策、盈利趋势和拥挤度乘以0.5–1.3的主观系数</w:t>
            </w:r>
          </w:p>
        </w:tc>
        <w:tc>
          <w:tcPr>
            <w:tcW w:type="dxa" w:w="24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改变风险在红利、成长、商品和绝对收益策略间的分配</w:t>
            </w:r>
          </w:p>
        </w:tc>
      </w:tr>
      <w:tr>
        <w:tc>
          <w:tcPr>
            <w:tcW w:type="dxa" w:w="17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流动性折扣L_i</w:t>
            </w:r>
          </w:p>
        </w:tc>
        <w:tc>
          <w:tcPr>
            <w:tcW w:type="dxa" w:w="24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日均成交、赎回安排、冲击成本和容量评分</w:t>
            </w:r>
          </w:p>
        </w:tc>
        <w:tc>
          <w:tcPr>
            <w:tcW w:type="dxa" w:w="27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小微盘、低流动性信用及容量接近上限时由1.00下调至0.70</w:t>
            </w:r>
          </w:p>
        </w:tc>
        <w:tc>
          <w:tcPr>
            <w:tcW w:type="dxa" w:w="24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降低可配置上限，增加现金和高流动性工具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置信度C_i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信号稳定性、样本外胜率和模型一致性</w:t>
            </w:r>
          </w:p>
        </w:tc>
        <w:tc>
          <w:tcPr>
            <w:tcW w:type="dxa" w:w="27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政策或制度变化导致历史规律失真时下调置信度</w:t>
            </w:r>
          </w:p>
        </w:tc>
        <w:tc>
          <w:tcPr>
            <w:tcW w:type="dxa" w:w="24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缩小TAA偏离幅度，避免过度依赖单一信号</w:t>
            </w:r>
          </w:p>
        </w:tc>
      </w:tr>
      <w:tr>
        <w:tc>
          <w:tcPr>
            <w:tcW w:type="dxa" w:w="17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5"/>
              </w:rPr>
              <w:t>仓位上下限</w:t>
            </w:r>
          </w:p>
        </w:tc>
        <w:tc>
          <w:tcPr>
            <w:tcW w:type="dxa" w:w="24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产品合同、监管分类和长期SAA区间</w:t>
            </w:r>
          </w:p>
        </w:tc>
        <w:tc>
          <w:tcPr>
            <w:tcW w:type="dxa" w:w="27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根据回撤预算、策略容量及渠道解锁节奏进一步收紧</w:t>
            </w:r>
          </w:p>
        </w:tc>
        <w:tc>
          <w:tcPr>
            <w:tcW w:type="dxa" w:w="24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5"/>
              </w:rPr>
              <w:t>保证模型解可执行，并控制客户持有期体验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参数合成示例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经调整的协方差矩阵采用Σ*；经调整的目标风险预算可写为 b_i* ∝ b_i量化 × S_i主观 × L_i流动性 × C_i置信度，并重新归一化使Σb_i*=100%。例如，科技成长的量化风险预算为8%，若主观系数0.70、流动性系数0.90、置信度0.85，则调整前乘积为4.28%，再与其他策略共同归一化并接受仓位上下限检验。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“主观＋量化”的决策闭环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量化模型负责一致地测量风险并生成初始方案；主观研究负责识别模型尚未充分反映的制度、估值、政策、拥挤、流动性和尾部变化；风险纪律负责限定调整幅度、记录参数版本，并设定触发、退出与恢复条件。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历史市场情景下的参数校准与组合动作示例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550"/>
        <w:gridCol w:w="2500"/>
        <w:gridCol w:w="2400"/>
        <w:gridCol w:w="29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历史情景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市场特征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量化模型信号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主观校准与组合动作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4"/>
              </w:rPr>
              <w:t>2018年A股风险偏好下行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上证综指全年下跌24.59%，深证成指下跌34.42%；股票市场压力处于较高水平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权益波动率和下行相关性上升，成长与小盘风险贡献快速提高</w:t>
            </w:r>
          </w:p>
        </w:tc>
        <w:tc>
          <w:tcPr>
            <w:tcW w:type="dxa" w:w="29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提高权益压力波动率，压降成长预算；增加高等级利率债、红利低波和现金缓冲，待估值与趋势共同修复后分阶段恢复</w:t>
            </w:r>
          </w:p>
        </w:tc>
      </w:tr>
      <w:tr>
        <w:tc>
          <w:tcPr>
            <w:tcW w:type="dxa" w:w="15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4"/>
              </w:rPr>
              <w:t>2020年初疫情冲击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全球经济和金融市场遭受突发冲击，跨资产相关性与流动性短期失真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历史相关性低估共振风险，短窗口波动和流动性指标迅速恶化</w:t>
            </w:r>
          </w:p>
        </w:tc>
        <w:tc>
          <w:tcPr>
            <w:tcW w:type="dxa" w:w="29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提高压力矩阵权重λ和现金需求假设；优先降低低流动性及高Beta策略，保留高等级固收，并以政策、流动性和趋势信号作为恢复条件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4"/>
              </w:rPr>
              <w:t>2022年11月债市调整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债券收益率上升、部分理财净值下跌并引发集中赎回，赎回又增加债市调整压力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固收波动率、久期风险和流动性折价同步上升，原有“低波底仓”风险贡献超预算</w:t>
            </w:r>
          </w:p>
        </w:tc>
        <w:tc>
          <w:tcPr>
            <w:tcW w:type="dxa" w:w="29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上调固收压力波动率和赎回情景，降低杠杆与久期，增加可变现资产；避免机械抛售，按解锁日和客户行为安排流动性</w:t>
            </w:r>
          </w:p>
        </w:tc>
      </w:tr>
      <w:tr>
        <w:tc>
          <w:tcPr>
            <w:tcW w:type="dxa" w:w="15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4"/>
              </w:rPr>
              <w:t>2024年初小微盘冲击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一季度中证1000、中证2000及微盘风格明显弱于大盘与红利，风格分化扩大</w:t>
            </w:r>
          </w:p>
        </w:tc>
        <w:tc>
          <w:tcPr>
            <w:tcW w:type="dxa" w:w="2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小盘Beta、拥挤度和流动性因子触发预警，簇内相关性明显升高</w:t>
            </w:r>
          </w:p>
        </w:tc>
        <w:tc>
          <w:tcPr>
            <w:tcW w:type="dxa" w:w="29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将小微盘流动性折扣由1.00下调至0.70，收紧容量和单一管理人上限；转向宽基、红利及基本面更稳定的指数增强“积木块”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4"/>
              </w:rPr>
              <w:t>2024年9月后风险偏好切换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9月24日一揽子金融政策提升市场信心和流动性，权益市场快速走强并发生风格切换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趋势和风险偏好信号转正，但短期波动、相关性和拥挤度同时上升</w:t>
            </w:r>
          </w:p>
        </w:tc>
        <w:tc>
          <w:tcPr>
            <w:tcW w:type="dxa" w:w="29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4"/>
              </w:rPr>
              <w:t>不直接按趋势满仓；提高权益预算但分批执行，保留风格分散与止盈再平衡，设置成交量、估值和波动率作为继续加仓或降温条件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7"/>
        </w:rPr>
        <w:t>上述历史情景用于说明参数校准方法，不代表对未来市场路径的判断。正式回放应使用可获得的当时数据，避免引入事后信息，并记录模型信号产生日、投资委员会决策日和实际交易日。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T-06】市场状态与TAA决策面板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将动态管理转化为可解释、可复核的规则。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按增长、通胀、流动性、估值、趋势和波动构建信号，设置正常/预警/防御/恢复四种状态。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状态仪表盘、资产倾向评分、允许偏离范围及历史触发回放。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十一、持有期管理：从“能赎回”走向“更适合持有多久”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00"/>
        <w:gridCol w:w="3900"/>
        <w:gridCol w:w="35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客户含义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管理含义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最短持有期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每笔份额未满期限不能赎回，满期后可按规则申请赎回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稳定产品规模、支持策略实施和流动性管理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推荐持有期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基于组合特征建议的更适宜观察周期，不构成收益承诺</w:t>
            </w:r>
          </w:p>
        </w:tc>
        <w:tc>
          <w:tcPr>
            <w:tcW w:type="dxa" w:w="3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用概率分布和回撤修复判断客户适配性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每个产品同时测算两个窗口：滚动持有满最短持有期，以及滚动持有满推荐持有期。渠道看到的不应只有某一时点年化收益，而应包括不同买入时点的完整结果分布。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结果指标：正收益概率、平均收益、中位数收益、5%/25%/75%/95%分位和最差持有期收益。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过程指标：单位净值波动率、窗口内最大回撤、回撤持续时间、修复时间和负收益天数占比。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方法组合：历史滚动窗口、历史情景重演、Bootstrap、Monte Carlo、压力测试和参数敏感性分析。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031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holding_prob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0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示例图：最短持有期窗口与推荐持有期窗口的正收益概率比较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资料来源：模拟数据，仅用于展示双窗口测算的表达方式；正式结果须基于组合回测与费用口径。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示例阅读：推荐持有期通常比最短持有期更长，目的在于给策略和市场修复留出时间。概率提高不等于承诺盈利，仍需同时展示尾部收益和最大回撤分布。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T-07】最短持有期与推荐持有期双窗口测算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支撑产品命名、渠道适配和客户陪伴。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基于正式SAA、费用、再平衡和流动性假设，对所有申购日进行滚动持有测算。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双窗口正收益概率、收益分布箱线图、最大回撤分布、回撤修复概率。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十二、全流程质量控制：让产品定义在投资过程中保持一致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主要质量控制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产品立项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客户需求、产品矩阵、期限和风险目标匹配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模型验证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数据、参数、样本、压力情景和稳健性复核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标的准入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统一策略分类、管理人能力、合同与运营风险审查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组合构建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SAA、风格预算、风险贡献与流动性检查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建仓执行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成交、风险暴露、资产偏离和交易成本复核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日常管理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净值与合成指数基准跟踪、策略单元归因、风格、信用、流动性和限额监控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调仓处置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调整理由、权限、成本及调整后风险复核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产品复盘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持有期结果、归因、客户体验和策略有效性评估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回撤管理原则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不依赖单一机械止损。先识别回撤来自资产Beta、风格拥挤、信用、流动性还是管理人Alpha失效，再决定降风险顺序、流动性准备、渠道沟通和恢复条件。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把质量控制下沉到策略单元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产品可以归因到每一个策略“积木块”，将组合收益与风险拆分为资产配置、策略选择、标的选择、交易与费用等来源；同时将实际净值与由SAA目标权重和代理指数构成的合成指数基准持续对比，确保产品在运作中没有悄然改变性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050"/>
        <w:gridCol w:w="3350"/>
        <w:gridCol w:w="396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监控对象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出现偏离后的诊断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策略单元归因</w:t>
            </w:r>
          </w:p>
        </w:tc>
        <w:tc>
          <w:tcPr>
            <w:tcW w:type="dxa" w:w="3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收益贡献、风险贡献、Alpha、下行贡献、费用贡献</w:t>
            </w:r>
          </w:p>
        </w:tc>
        <w:tc>
          <w:tcPr>
            <w:tcW w:type="dxa" w:w="39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识别配置失效、策略失效或标的执行偏差</w:t>
            </w:r>
          </w:p>
        </w:tc>
      </w:tr>
      <w:tr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实际净值 vs 合成基准</w:t>
            </w:r>
          </w:p>
        </w:tc>
        <w:tc>
          <w:tcPr>
            <w:tcW w:type="dxa" w:w="3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累计差异、滚动超额、跟踪偏离、回撤差异</w:t>
            </w:r>
          </w:p>
        </w:tc>
        <w:tc>
          <w:tcPr>
            <w:tcW w:type="dxa" w:w="39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区分资产偏离、风格漂移、现金拖累和交易成本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产品特征</w:t>
            </w:r>
          </w:p>
        </w:tc>
        <w:tc>
          <w:tcPr>
            <w:tcW w:type="dxa" w:w="3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高波动资产、久期、信用、风格因子、流动性和容量</w:t>
            </w:r>
          </w:p>
        </w:tc>
        <w:tc>
          <w:tcPr>
            <w:tcW w:type="dxa" w:w="39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判断是否偏离产品矩阵单元的定义</w:t>
            </w:r>
          </w:p>
        </w:tc>
      </w:tr>
      <w:tr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6"/>
              </w:rPr>
              <w:t>持有期体验</w:t>
            </w:r>
          </w:p>
        </w:tc>
        <w:tc>
          <w:tcPr>
            <w:tcW w:type="dxa" w:w="3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正收益概率、尾部收益、最大回撤与修复时间</w:t>
            </w:r>
          </w:p>
        </w:tc>
        <w:tc>
          <w:tcPr>
            <w:tcW w:type="dxa" w:w="39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6"/>
              </w:rPr>
              <w:t>评估是否需要调低风险、调整推荐持有期或加强陪伴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031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at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0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示例图：组合收益穿透至策略“积木块”的贡献归因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资料来源：模拟数据，仅用于展示归因层级和图表形式。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示例阅读：若组合收益主要依赖单一策略，应进一步检查风险集中度；若某个“积木块”持续产生负Alpha，则需区分市场Beta、风格逆风、标的选择和费用拖累后再决定是否替换。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A-03】策略单元绩效与风险归因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置于质量控制章节，展示组合结果如何穿透到每个“积木块”。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采用日频费后净值；收益贡献与风险贡献分别计算；区分资产配置、策略选择、标的选择、交易与费用影响。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收益贡献瀑布图＋风险贡献堆叠图＋策略单元预警清单。</w:t>
            </w:r>
          </w:p>
        </w:tc>
      </w:tr>
    </w:tbl>
    <w:p>
      <w:pPr>
        <w:spacing w:after="20"/>
      </w:pP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031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benchmark_trac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0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eastAsia="Microsoft YaHei"/>
          <w:color w:val="5F6B76"/>
          <w:sz w:val="17"/>
        </w:rPr>
        <w:t>示例图：实际净值与合成指数基准的跟踪及偏离诊断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资料来源：模拟数据；合成基准按SAA目标权重和代理指数构建。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8"/>
        </w:rPr>
        <w:t>示例阅读：持续偏离不必然代表管理失效。偏离可能来自主动资产配置、标的Alpha、现金拖累、费用或执行时点；只有在归因后确认产品风格发生非预期漂移，才触发结构性调整。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【图表素材位 A-04】实际净值与合成指数基准跟踪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建议位置：</w:t>
            </w:r>
            <w:r>
              <w:rPr>
                <w:rFonts w:ascii="Arial" w:hAnsi="Arial" w:eastAsia="Microsoft YaHei"/>
                <w:color w:val="1D2733"/>
                <w:sz w:val="19"/>
              </w:rPr>
              <w:t>紧接归因图，展示产品特征管理的日常抓手。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统一口径：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合成基准采用经审批的SAA目标权重与资产/策略代理指数，明确再平衡、费用、现金和基准切换规则。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实际净值与合成基准累计曲线＋滚动超额/跟踪偏离子图＋偏离原因标注。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T-08】历史压力测试与风险贡献拆解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验证六个核心产品在典型市场冲击下的承受能力。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选择具有代表性的股债、信用、流动性和商品冲击窗口，并对资产簇、策略簇和管理人贡献进行拆解。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情景损益瀑布图、资产风险贡献图、流动性折损和恢复时间表。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十三、渠道销售逻辑：先识别客户，再匹配矩阵单元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500"/>
        <w:gridCol w:w="3550"/>
        <w:gridCol w:w="331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渠道判断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匹配重点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资金多久可能使用？</w:t>
            </w:r>
          </w:p>
        </w:tc>
        <w:tc>
          <w:tcPr>
            <w:tcW w:type="dxa" w:w="35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先确认最低可用期限和流动性需求</w:t>
            </w:r>
          </w:p>
        </w:tc>
        <w:tc>
          <w:tcPr>
            <w:tcW w:type="dxa" w:w="33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选择最短持有期，不以收益倒推期限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能承受多大净值波动？</w:t>
            </w:r>
          </w:p>
        </w:tc>
        <w:tc>
          <w:tcPr>
            <w:tcW w:type="dxa" w:w="35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区分短期浮亏敏感度与长期风险承受能力</w:t>
            </w:r>
          </w:p>
        </w:tc>
        <w:tc>
          <w:tcPr>
            <w:tcW w:type="dxa" w:w="33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选择风险风格和高波动资产预算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更关心稳健还是弹性？</w:t>
            </w:r>
          </w:p>
        </w:tc>
        <w:tc>
          <w:tcPr>
            <w:tcW w:type="dxa" w:w="35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识别客户对正收益概率、回撤和上涨弹性的排序</w:t>
            </w:r>
          </w:p>
        </w:tc>
        <w:tc>
          <w:tcPr>
            <w:tcW w:type="dxa" w:w="33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选择防御、均衡或成长风格组合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市场下跌会不会赎回？</w:t>
            </w:r>
          </w:p>
        </w:tc>
        <w:tc>
          <w:tcPr>
            <w:tcW w:type="dxa" w:w="35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评估客户行为和陪伴需求</w:t>
            </w:r>
          </w:p>
        </w:tc>
        <w:tc>
          <w:tcPr>
            <w:tcW w:type="dxa" w:w="33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使用推荐持有期和回撤情景说明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渠道标准表达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最短持有期：每笔份额在规定期限内不能赎回，满期后可在开放日按规则申请赎回。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推荐持有期：根据资产配置、策略特征和历史测算建议的投资观察周期，不代表收益承诺。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高波动资产：既包括股票、转债、商品和REITs等资产，也包括实际承担较高Beta、杠杆、波动率或流动性风险的策略。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产品差异：不仅是权益比例不同，更是固收久期、资产簇、策略“积木块”、风格组合、风险预算和推荐持有期不同。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B1C1C"/>
          <w:left w:val="single" w:sz="10" w:color="9B1C1C"/>
          <w:bottom w:val="single" w:sz="10" w:color="9B1C1C"/>
          <w:right w:val="single" w:sz="10" w:color="9B1C1C"/>
          <w:insideH w:val="single" w:sz="10" w:color="9B1C1C"/>
          <w:insideV w:val="single" w:sz="1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CEEEE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9B1C1C"/>
                <w:sz w:val="22"/>
              </w:rPr>
              <w:t>渠道不应这样表达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“持有满期一定盈利”“推荐持有期等于保本期限”“专户一定比公募收益高”“低波动等于无风险”“正收益概率代表未来保证”。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十四、渠道合作价值：从单品销售走向产品矩阵经营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渠道价值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具体体现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货架更清晰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风险风格和期限两条轴线，减少同类产品堆叠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客户匹配更准确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先判断资金期限和风险承受能力，再进入具体产品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销售语言更一致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统一解释最短持有期、推荐持有期、高波动资产和产品差异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客户陪伴更有依据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用收益分布、回撤和修复周期替代单点收益解释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产品复盘更可执行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按矩阵单元评估规模、客户结构、策略容量和持有结果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8"/>
              </w:rPr>
              <w:t>合作可持续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8"/>
              </w:rPr>
              <w:t>建立产品、投研、风险和渠道反馈的闭环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1D2733"/>
          <w:sz w:val="22"/>
        </w:rPr>
        <w:t>2025年末，31家理财公司的产品已打通母行之外的代销渠道，全市场跨行代销理财公司产品的机构达到593家。渠道合作正在从“有没有产品”转向“产品是否具有清晰定位、持续业绩和可解释的客户体验”。</w:t>
      </w:r>
    </w:p>
    <w:p>
      <w:pPr>
        <w:spacing w:before="80" w:after="120" w:line="240" w:lineRule="auto"/>
      </w:pPr>
      <w:r>
        <w:rPr>
          <w:rFonts w:ascii="Arial" w:hAnsi="Arial" w:eastAsia="Microsoft YaHei"/>
          <w:i/>
          <w:color w:val="5F6B76"/>
          <w:sz w:val="16"/>
        </w:rPr>
        <w:t>资料来源：《中国银行业理财市场年度报告（2025年）》。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A7F8E"/>
                <w:sz w:val="22"/>
              </w:rPr>
              <w:t>合作主张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Microsoft YaHei"/>
                <w:color w:val="1D2733"/>
                <w:sz w:val="20"/>
              </w:rPr>
              <w:t>以产品矩阵为共同语言，以持有期数据为客户沟通依据，以全流程质量控制保障产品特征稳定，形成发行人与渠道共同经营客户长期体验的合作模式。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十五、落地路径：先校准模型，再形成可发行、可销售、可维护的产品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1.  确认首期核心产品单元、监管分类、正式命名和渠道优先级。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2.  建立资产与策略代理指数，完成SAA、费用和流动性假设。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3.  完成最短持有期、推荐持有期、正收益概率、回撤和压力测试。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4.  确定公募基金、专户及管理人的统一“积木块”分类、聚类与准入规则。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5.  形成产品参数卡、投资管理方案、风险评估和渠道路演材料。</w:t>
      </w:r>
    </w:p>
    <w:p>
      <w:pPr>
        <w:spacing w:after="80" w:line="290" w:lineRule="auto"/>
        <w:ind w:left="540" w:hanging="279"/>
      </w:pPr>
      <w:r>
        <w:rPr>
          <w:rFonts w:ascii="Arial" w:hAnsi="Arial" w:eastAsia="Microsoft YaHei"/>
          <w:color w:val="1D2733"/>
          <w:sz w:val="21"/>
        </w:rPr>
        <w:t>6.  上线后持续跟踪客户结构、份额解锁、持有期结果和渠道反馈。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T-09】首期六类产品参数总表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作为产品立项、渠道准入和后续销售培训的统一参数底稿。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以最终审批口径汇总监管分类、SAA、TAA区间、费用、基准、风险指标、流动性和管理人限额。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一页式产品参数矩阵＋六张单品卡。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" w:hAnsi="Arial" w:eastAsia="Microsoft YaHei"/>
                <w:b/>
                <w:color w:val="B8872D"/>
                <w:sz w:val="22"/>
              </w:rPr>
              <w:t>【待测算图表 T-10】渠道客户适配与持有行为分析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用途：</w:t>
            </w:r>
            <w:r>
              <w:rPr>
                <w:rFonts w:ascii="Arial" w:hAnsi="Arial" w:eastAsia="Microsoft YaHei"/>
                <w:color w:val="1D2733"/>
                <w:sz w:val="19"/>
              </w:rPr>
              <w:t>检验产品设计是否与真实渠道客户结构匹配。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测算口径：</w:t>
            </w:r>
            <w:r>
              <w:rPr>
                <w:rFonts w:ascii="Arial" w:hAnsi="Arial" w:eastAsia="Microsoft YaHei"/>
                <w:color w:val="1D2733"/>
                <w:sz w:val="19"/>
              </w:rPr>
              <w:t>使用渠道客户风险等级、申购规模、持有时长、赎回时点和回撤期行为数据分组分析。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Microsoft YaHei"/>
                <w:b/>
                <w:color w:val="163A5F"/>
                <w:sz w:val="19"/>
              </w:rPr>
              <w:t>建议输出：</w:t>
            </w:r>
            <w:r>
              <w:rPr>
                <w:rFonts w:ascii="Arial" w:hAnsi="Arial" w:eastAsia="Microsoft YaHei"/>
                <w:color w:val="1D2733"/>
                <w:sz w:val="19"/>
              </w:rPr>
              <w:t>客户分群、持有时长分布、回撤期赎回率及产品匹配建议。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附录一：待测算图表清单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900"/>
        <w:gridCol w:w="3900"/>
        <w:gridCol w:w="45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图表主题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T-01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期限梯度与客户持有体验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比较不同期限下正收益和尾部风险变化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T-02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完整产品矩阵风险收益地图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展示矩阵单元的风险收益定位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T-03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六类产品持有期画像表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形成渠道产品比较页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T-04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高波动资产风格指纹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展示风格、行业和因子差异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T-05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公募基金与专户实施效率比较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选择更合适的实施载体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T-06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市场状态与TAA决策面板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解释动态调整规则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T-07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最短与推荐持有期双窗口测算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支撑期限设计和客户陪伴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T-08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历史压力测试与风险贡献拆解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验证极端环境承受能力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T-09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首期六类产品参数总表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统一立项和渠道参数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T-10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渠道客户适配与持有行为分析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检验产品与客户结构匹配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 w:val="0"/>
          <w:color w:val="5F6B76"/>
          <w:sz w:val="19"/>
        </w:rPr>
        <w:t>所有待测算图表应使用统一数据版本、费用假设、再平衡规则和样本区间；历史结果和模拟结果须明确区分，并在对外使用前完成投资、风险和合规复核。</w:t>
      </w:r>
    </w:p>
    <w:p>
      <w:pPr>
        <w:pStyle w:val="Heading2"/>
        <w:keepNext/>
      </w:pPr>
      <w:r>
        <w:t>已有图表素材的嵌入清单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900"/>
        <w:gridCol w:w="3600"/>
        <w:gridCol w:w="48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素材主题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嵌入前统一口径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A-01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统一分类与策略聚类</w:t>
            </w:r>
          </w:p>
        </w:tc>
        <w:tc>
          <w:tcPr>
            <w:tcW w:type="dxa" w:w="4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同观察期、同频率、费后净值、统一风险因子与人工复核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A-02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典型组合构成与回测</w:t>
            </w:r>
          </w:p>
        </w:tc>
        <w:tc>
          <w:tcPr>
            <w:tcW w:type="dxa" w:w="4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净值归一、费用、再平衡、现金拖累、实盘/回测区分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A-03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策略单元归因</w:t>
            </w:r>
          </w:p>
        </w:tc>
        <w:tc>
          <w:tcPr>
            <w:tcW w:type="dxa" w:w="4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收益贡献与风险贡献分列，归因层级与产品账簿一致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1D2733"/>
                <w:sz w:val="17"/>
              </w:rPr>
              <w:t>A-04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实际净值与合成指数基准</w:t>
            </w:r>
          </w:p>
        </w:tc>
        <w:tc>
          <w:tcPr>
            <w:tcW w:type="dxa" w:w="4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1D2733"/>
                <w:sz w:val="17"/>
              </w:rPr>
              <w:t>SAA权重、代理指数、费用、现金及基准切换规则一致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附录二：主要资料来源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1.  银行业理财登记托管中心：《中国银行业理财市场年度报告（2025年）》，2026年1月。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2.  中国证监会：《公开募集证券投资基金运作指引第2号——基金中基金指引》。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3.  国家金融监督管理总局及原中国银保监会：商业银行理财业务、理财公司销售及流动性风险管理相关制度。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4.  招商银行代销页面：信银理财安盈象固收稳利一个月持有期101号理财产品。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5.  中银理财：《中银理财－悦享（90天持有期）产品说明书》。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6.  工银理财：《核心优选最短持有180天固定收益类开放式理财产品（26GS5933）发行公告》。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7.  中邮理财：《灵活添利·鸿锦最短持有365天8号理财产品发行公告》。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8.  中国人民银行：《中国金融稳定报告（2019）》，关于2018年股票市场压力与主要指数表现。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9.  中国人民银行：《中国金融稳定报告（2021）》，关于2020年疫情冲击与金融稳定评估。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10.  中国人民银行：《中国金融稳定报告（2023）》相关章节，关于2022年11月债市调整与理财赎回反馈。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11.  华泰柏瑞中证500增强策略ETF 2024年第一季度报告、交银施罗德智选星光FOF 2024年中期报告，关于2024年初市场风格分化。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12.  上海证券交易所转载国新办2024年9月24日金融支持经济高质量发展新闻发布会材料。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13.  《泛FOF型多资产理财产品规划书》V0.2，2026年7月。</w:t>
      </w:r>
    </w:p>
    <w:p>
      <w:pPr>
        <w:spacing w:after="120" w:line="276" w:lineRule="auto"/>
        <w:ind w:left="540" w:hanging="279"/>
      </w:pPr>
      <w:r>
        <w:rPr>
          <w:rFonts w:ascii="Arial" w:hAnsi="Arial" w:eastAsia="Microsoft YaHei"/>
          <w:color w:val="1D2733"/>
          <w:sz w:val="19"/>
        </w:rPr>
        <w:t>14.  已有内部策略分类、组合回测与固收专户比较材料，数据区间以各图表标注为准。</w:t>
      </w:r>
    </w:p>
    <w:p>
      <w:pPr>
        <w:spacing w:before="0" w:after="160" w:line="320" w:lineRule="auto"/>
        <w:jc w:val="both"/>
      </w:pPr>
      <w:r>
        <w:rPr>
          <w:rFonts w:ascii="Arial" w:hAnsi="Arial" w:eastAsia="Microsoft YaHei"/>
          <w:b w:val="0"/>
          <w:i/>
          <w:color w:val="5F6B76"/>
          <w:sz w:val="18"/>
        </w:rPr>
        <w:t>数据使用说明：公开市场数据截至各资料披露日；产品案例仅用于说明市场实践，不构成对相关产品的推荐或评价。最终产品要素以正式审批文件、产品合同和销售文件为准。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F6B76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Microsoft YaHei"/>
        <w:b/>
        <w:color w:val="5F6B76"/>
        <w:sz w:val="17"/>
      </w:rPr>
      <w:t>渠道路演材料  |  泛FOF型多资产理财产品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rial" w:hAnsi="Arial" w:eastAsia="Microsoft YaHe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contextualSpacing/>
    </w:pPr>
    <w:rPr>
      <w:rFonts w:ascii="Arial" w:hAnsi="Arial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泛FOF型多资产理财产品方案——渠道路演材料</dc:title>
  <dc:subject>面向银行渠道产品经理与销售经理的产品方案</dc:subject>
  <dc:creator>产品规划项目组</dc:creator>
  <cp:keywords>泛FOF, 银行理财, 产品矩阵, 持有期, 渠道路演</cp:keywords>
  <dc:description>正式渠道交流稿；含待测算图表及已有素材嵌入标准占位。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