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520" w:line="320" w:lineRule="auto"/>
        <w:jc w:val="left"/>
      </w:pPr>
      <w:r>
        <w:rPr>
          <w:rFonts w:ascii="Arial" w:hAnsi="Arial" w:eastAsia="Microsoft YaHei"/>
          <w:b/>
          <w:i w:val="0"/>
          <w:color w:val="B8872D"/>
          <w:sz w:val="22"/>
        </w:rPr>
        <w:t>渠道合作路演材料</w:t>
      </w:r>
    </w:p>
    <w:p>
      <w:pPr>
        <w:spacing w:before="800" w:after="280" w:line="252" w:lineRule="auto"/>
        <w:jc w:val="left"/>
      </w:pPr>
      <w:r>
        <w:rPr>
          <w:rFonts w:ascii="Arial" w:hAnsi="Arial" w:eastAsia="Microsoft YaHei"/>
          <w:b/>
          <w:i w:val="0"/>
          <w:color w:val="163A5F"/>
          <w:sz w:val="58"/>
        </w:rPr>
        <w:t>泛FOF型多资产</w:t>
        <w:br/>
        <w:t>理财产品方案</w:t>
      </w:r>
    </w:p>
    <w:p>
      <w:pPr>
        <w:spacing w:before="0" w:after="480" w:line="320" w:lineRule="auto"/>
        <w:jc w:val="left"/>
      </w:pPr>
      <w:r>
        <w:rPr>
          <w:rFonts w:ascii="Arial" w:hAnsi="Arial" w:eastAsia="Microsoft YaHei"/>
          <w:b w:val="0"/>
          <w:i w:val="0"/>
          <w:color w:val="2A7F8E"/>
          <w:sz w:val="29"/>
        </w:rPr>
        <w:t>用专业“积木块”搭建可理解、可匹配、可持续管理的产品矩阵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8FB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2A7F8E"/>
                <w:sz w:val="22"/>
              </w:rPr>
              <w:t>面向渠道的产品解决方案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1D2733"/>
                <w:sz w:val="20"/>
              </w:rPr>
              <w:t>以产品矩阵明确客户、期限和风险定位；以SAA与TAA形成产品资产配置；以基金、专户和策略“积木块”实施组合；以正收益概率、收益分布、净值回撤、净值波动率等参数管理客户持有体验。</w:t>
            </w:r>
          </w:p>
        </w:tc>
      </w:tr>
    </w:tbl>
    <w:p>
      <w:pPr>
        <w:spacing w:after="20"/>
      </w:pPr>
    </w:p>
    <w:p>
      <w:pPr>
        <w:spacing w:before="760" w:after="100" w:line="320" w:lineRule="auto"/>
        <w:jc w:val="left"/>
      </w:pPr>
      <w:r>
        <w:rPr>
          <w:rFonts w:ascii="Arial" w:hAnsi="Arial" w:eastAsia="Microsoft YaHei"/>
          <w:b w:val="0"/>
          <w:i w:val="0"/>
          <w:color w:val="5F6B76"/>
          <w:sz w:val="20"/>
        </w:rPr>
        <w:t>适用读者：渠道产品经理、销售经理、财富顾问及客户经理</w:t>
      </w:r>
    </w:p>
    <w:p>
      <w:pPr>
        <w:spacing w:before="0" w:after="60" w:line="320" w:lineRule="auto"/>
        <w:jc w:val="left"/>
      </w:pPr>
      <w:r>
        <w:rPr>
          <w:rFonts w:ascii="Arial" w:hAnsi="Arial" w:eastAsia="Microsoft YaHei"/>
          <w:b w:val="0"/>
          <w:i w:val="0"/>
          <w:color w:val="5F6B76"/>
          <w:sz w:val="20"/>
        </w:rPr>
        <w:t>版本：V2.0  |  2026年7月</w:t>
      </w:r>
    </w:p>
    <w:p>
      <w:pPr>
        <w:spacing w:before="640" w:after="0" w:line="320" w:lineRule="auto"/>
        <w:jc w:val="left"/>
      </w:pPr>
      <w:r>
        <w:rPr>
          <w:rFonts w:ascii="Arial" w:hAnsi="Arial" w:eastAsia="Microsoft YaHei"/>
          <w:b w:val="0"/>
          <w:i w:val="0"/>
          <w:color w:val="9B1C1C"/>
          <w:sz w:val="18"/>
        </w:rPr>
        <w:t>本材料用于产品方案交流，不构成收益承诺或投资建议。</w:t>
      </w:r>
    </w:p>
    <w:p>
      <w:r>
        <w:br w:type="page"/>
      </w:r>
    </w:p>
    <w:p>
      <w:pPr>
        <w:pStyle w:val="Heading1"/>
        <w:keepNext/>
      </w:pPr>
      <w:r>
        <w:t>方案总览：让产品看得懂、卖得准、拿得住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500"/>
        <w:gridCol w:w="4300"/>
        <w:gridCol w:w="356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渠道目标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产品体系的回答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主要交付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看得懂</w:t>
            </w:r>
          </w:p>
        </w:tc>
        <w:tc>
          <w:tcPr>
            <w:tcW w:type="dxa" w:w="43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明确产品收益来源、风险来源、期限、基准及净值变化原因</w:t>
            </w:r>
          </w:p>
        </w:tc>
        <w:tc>
          <w:tcPr>
            <w:tcW w:type="dxa" w:w="35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产品矩阵、案例卡、净值与基准、积木块归因</w:t>
            </w:r>
          </w:p>
        </w:tc>
      </w:tr>
      <w:tr>
        <w:tc>
          <w:tcPr>
            <w:tcW w:type="dxa" w:w="15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卖得准</w:t>
            </w:r>
          </w:p>
        </w:tc>
        <w:tc>
          <w:tcPr>
            <w:tcW w:type="dxa" w:w="43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先识别资金期限和风险承受能力，再匹配矩阵单元</w:t>
            </w:r>
          </w:p>
        </w:tc>
        <w:tc>
          <w:tcPr>
            <w:tcW w:type="dxa" w:w="35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客户匹配表、产品比较、销售话术及反向提示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拿得住</w:t>
            </w:r>
          </w:p>
        </w:tc>
        <w:tc>
          <w:tcPr>
            <w:tcW w:type="dxa" w:w="43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保持产品特征稳定，在波动阶段提供持续说明和陪伴</w:t>
            </w:r>
          </w:p>
        </w:tc>
        <w:tc>
          <w:tcPr>
            <w:tcW w:type="dxa" w:w="35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产品表现报告、回撤说明、调仓说明及客户陪伴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2F8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2A7F8E"/>
                <w:sz w:val="22"/>
              </w:rPr>
              <w:t>产品管理主线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1D2733"/>
                <w:sz w:val="20"/>
              </w:rPr>
              <w:t>产品定位 → 产品矩阵与持有期 → SAA核心配置与TAA卫星操作 → 七类资产簇 → 策略积木块 → 基金与专户 → 质量控制 → 动态调整 → 渠道及客户服务。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产品矩阵覆盖稳健低波、稳健增利、均衡成长和进取增强四类风险风格，设置30天、90天、180天和365天四档最短持有期，对应的默认推荐持有期为60天、180天、365天和365天。基金、专户及其他合规资管工具统一纳入策略分类，渠道沟通则统一落在正收益概率、收益分布、净值回撤和净值波动率等客户可感知指标上。</w:t>
      </w:r>
    </w:p>
    <w:p>
      <w:r>
        <w:br w:type="page"/>
      </w:r>
    </w:p>
    <w:p>
      <w:pPr>
        <w:pStyle w:val="Heading1"/>
        <w:keepNext/>
      </w:pPr>
      <w:r>
        <w:t>一、产品定位及与公募FOF的差异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泛FOF型理财产品是一种产品层面的组合管理方法：先根据客户期限和风险承受能力确定矩阵单元，再配置资产簇、策略和风格，并通过公募基金、专户、其他合规资管计划及允许范围内的直接投资加以实现。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B8872D"/>
                <w:sz w:val="22"/>
              </w:rPr>
              <w:t>产品不是基金的简单集合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1D2733"/>
                <w:sz w:val="20"/>
              </w:rPr>
              <w:t>本方案首先确定组合需要哪些风险收益来源，再选择相应的“积木块”和实施工具。优秀的单一标的，只有在改善产品整体收益分布、回撤、波动率或流动性时才具有配置价值。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420"/>
        <w:gridCol w:w="3970"/>
        <w:gridCol w:w="3970"/>
      </w:tblGrid>
      <w:tr>
        <w:trPr>
          <w:cantSplit/>
          <w:tblHeader w:val="true"/>
        </w:trPr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比较维度</w:t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泛FOF型理财产品</w:t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公募FOF</w:t>
            </w:r>
          </w:p>
        </w:tc>
      </w:tr>
      <w:tr>
        <w:tc>
          <w:tcPr>
            <w:tcW w:type="dxa" w:w="142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目标客户</w:t>
            </w:r>
          </w:p>
        </w:tc>
        <w:tc>
          <w:tcPr>
            <w:tcW w:type="dxa" w:w="397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以银行中低风险客户为主，强调期限和净值体验</w:t>
            </w:r>
          </w:p>
        </w:tc>
        <w:tc>
          <w:tcPr>
            <w:tcW w:type="dxa" w:w="397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风险谱系更宽，依据基金合同确定目标客户</w:t>
            </w:r>
          </w:p>
        </w:tc>
      </w:tr>
      <w:tr>
        <w:tc>
          <w:tcPr>
            <w:tcW w:type="dxa" w:w="142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产品起点</w:t>
            </w:r>
          </w:p>
        </w:tc>
        <w:tc>
          <w:tcPr>
            <w:tcW w:type="dxa" w:w="397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客户资金期限、风险偏好、渠道货架和持有体验</w:t>
            </w:r>
          </w:p>
        </w:tc>
        <w:tc>
          <w:tcPr>
            <w:tcW w:type="dxa" w:w="397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基金合同约定的投资目标和风险收益特征</w:t>
            </w:r>
          </w:p>
        </w:tc>
      </w:tr>
      <w:tr>
        <w:tc>
          <w:tcPr>
            <w:tcW w:type="dxa" w:w="142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底层工具</w:t>
            </w:r>
          </w:p>
        </w:tc>
        <w:tc>
          <w:tcPr>
            <w:tcW w:type="dxa" w:w="397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公募基金、专户、资管计划及合规直投</w:t>
            </w:r>
          </w:p>
        </w:tc>
        <w:tc>
          <w:tcPr>
            <w:tcW w:type="dxa" w:w="397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原则上主要投资其他公募基金份额</w:t>
            </w:r>
          </w:p>
        </w:tc>
      </w:tr>
      <w:tr>
        <w:tc>
          <w:tcPr>
            <w:tcW w:type="dxa" w:w="142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固收实施</w:t>
            </w:r>
          </w:p>
        </w:tc>
        <w:tc>
          <w:tcPr>
            <w:tcW w:type="dxa" w:w="397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可直接投资，也可通过定制专户和基金实施</w:t>
            </w:r>
          </w:p>
        </w:tc>
        <w:tc>
          <w:tcPr>
            <w:tcW w:type="dxa" w:w="397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主要通过债券基金、货币基金等间接实施</w:t>
            </w:r>
          </w:p>
        </w:tc>
      </w:tr>
      <w:tr>
        <w:tc>
          <w:tcPr>
            <w:tcW w:type="dxa" w:w="142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策略范围</w:t>
            </w:r>
          </w:p>
        </w:tc>
        <w:tc>
          <w:tcPr>
            <w:tcW w:type="dxa" w:w="397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可纳入固收交易、转债、商品、绝对收益及对冲策略</w:t>
            </w:r>
          </w:p>
        </w:tc>
        <w:tc>
          <w:tcPr>
            <w:tcW w:type="dxa" w:w="397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受底层基金合同、开放安排和管理方式约束</w:t>
            </w:r>
          </w:p>
        </w:tc>
      </w:tr>
      <w:tr>
        <w:tc>
          <w:tcPr>
            <w:tcW w:type="dxa" w:w="142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合同定制</w:t>
            </w:r>
          </w:p>
        </w:tc>
        <w:tc>
          <w:tcPr>
            <w:tcW w:type="dxa" w:w="397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可约定久期、信用、杠杆、流动性、预警和报告</w:t>
            </w:r>
          </w:p>
        </w:tc>
        <w:tc>
          <w:tcPr>
            <w:tcW w:type="dxa" w:w="397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通常不能为单一FOF定制底层基金合同</w:t>
            </w:r>
          </w:p>
        </w:tc>
      </w:tr>
      <w:tr>
        <w:tc>
          <w:tcPr>
            <w:tcW w:type="dxa" w:w="142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费率结构</w:t>
            </w:r>
          </w:p>
        </w:tc>
        <w:tc>
          <w:tcPr>
            <w:tcW w:type="dxa" w:w="397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专户达到经济规模后可能具备费率优势</w:t>
            </w:r>
          </w:p>
        </w:tc>
        <w:tc>
          <w:tcPr>
            <w:tcW w:type="dxa" w:w="397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可能承担底层基金相关费用</w:t>
            </w:r>
          </w:p>
        </w:tc>
      </w:tr>
      <w:tr>
        <w:tc>
          <w:tcPr>
            <w:tcW w:type="dxa" w:w="142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流动性设计</w:t>
            </w:r>
          </w:p>
        </w:tc>
        <w:tc>
          <w:tcPr>
            <w:tcW w:type="dxa" w:w="397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最短持有期与客户资金场景结合</w:t>
            </w:r>
          </w:p>
        </w:tc>
        <w:tc>
          <w:tcPr>
            <w:tcW w:type="dxa" w:w="397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依据基金合同和基金开放安排</w:t>
            </w:r>
          </w:p>
        </w:tc>
      </w:tr>
      <w:tr>
        <w:tc>
          <w:tcPr>
            <w:tcW w:type="dxa" w:w="142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归因颗粒度</w:t>
            </w:r>
          </w:p>
        </w:tc>
        <w:tc>
          <w:tcPr>
            <w:tcW w:type="dxa" w:w="397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可下沉至策略“积木块”和专户单元</w:t>
            </w:r>
          </w:p>
        </w:tc>
        <w:tc>
          <w:tcPr>
            <w:tcW w:type="dxa" w:w="397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通常以基金、资产类别或管理人归因为主</w:t>
            </w:r>
          </w:p>
        </w:tc>
      </w:tr>
      <w:tr>
        <w:tc>
          <w:tcPr>
            <w:tcW w:type="dxa" w:w="142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渠道服务</w:t>
            </w:r>
          </w:p>
        </w:tc>
        <w:tc>
          <w:tcPr>
            <w:tcW w:type="dxa" w:w="397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可围绕矩阵持续提供报告、培训和客户陪伴</w:t>
            </w:r>
          </w:p>
        </w:tc>
        <w:tc>
          <w:tcPr>
            <w:tcW w:type="dxa" w:w="397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主要依赖基金销售和投顾服务体系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理财特色的竞争优势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竞争力首先来自更贴近银行客户的风险起点：以低波动产品承接稳健资金，再沿风险预算逐步扩展至多资产增强。实施层面可在指数基金、主动基金和定制专户之间择优，固收专户还可围绕久期、信用、杠杆、流动性和报告口径进行定制。管理层面则把质量控制下沉至策略单元，持续比较实际净值与合成指数基准，使产品矩阵成为可长期维护的货架，而非围绕单一行情临时组织的产品。</w:t>
      </w:r>
    </w:p>
    <w:p>
      <w:pPr>
        <w:pStyle w:val="Heading2"/>
        <w:keepNext/>
      </w:pPr>
      <w:r>
        <w:t>优势成立的边界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专户不天然优于基金，策略丰富也不等于组合一定更好。所有实施工具必须在同策略、同区间、同费用口径下比较，并同时评估最低规模、流动性、透明度、运营成本和管理人集中度。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8FB"/>
          </w:tcPr>
          <w:p>
            <w:pPr>
              <w:spacing w:after="100"/>
            </w:pPr>
            <w:r>
              <w:rPr>
                <w:rFonts w:ascii="Arial" w:hAnsi="Arial" w:eastAsia="Microsoft YaHei"/>
                <w:b/>
                <w:color w:val="2A7F8E"/>
                <w:sz w:val="22"/>
              </w:rPr>
              <w:t>【图表素材位 P-01】产品定位与公募FOF比较补充页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建议位置：</w:t>
            </w:r>
            <w:r>
              <w:rPr>
                <w:rFonts w:ascii="Arial" w:hAnsi="Arial" w:eastAsia="Microsoft YaHei"/>
                <w:color w:val="1D2733"/>
                <w:sz w:val="19"/>
              </w:rPr>
              <w:t>在本节对应位置替换示例或补充内部材料。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统一口径：</w:t>
            </w:r>
            <w:r>
              <w:rPr>
                <w:rFonts w:ascii="Arial" w:hAnsi="Arial" w:eastAsia="Microsoft YaHei"/>
                <w:color w:val="1D2733"/>
                <w:sz w:val="19"/>
              </w:rPr>
              <w:t>比较口径避免绝对优劣判断，突出目标客户、工具范围和管理方式差异。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建议输出：</w:t>
            </w:r>
            <w:r>
              <w:rPr>
                <w:rFonts w:ascii="Arial" w:hAnsi="Arial" w:eastAsia="Microsoft YaHei"/>
                <w:color w:val="1D2733"/>
                <w:sz w:val="19"/>
              </w:rPr>
              <w:t>完整竞争优势对照、能力边界及渠道适用场景。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二、产品矩阵与持有期设计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3600"/>
        <w:gridCol w:w="1440"/>
        <w:gridCol w:w="1440"/>
        <w:gridCol w:w="1440"/>
        <w:gridCol w:w="1440"/>
      </w:tblGrid>
      <w:tr>
        <w:trPr>
          <w:cantSplit/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风险风格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30天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90天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180天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365天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稳健低波（高波动资产0%–5%）</w:t>
            </w:r>
          </w:p>
        </w:tc>
        <w:tc>
          <w:tcPr>
            <w:tcW w:type="dxa" w:w="144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核心</w:t>
            </w:r>
          </w:p>
        </w:tc>
        <w:tc>
          <w:tcPr>
            <w:tcW w:type="dxa" w:w="144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扩展</w:t>
            </w:r>
          </w:p>
        </w:tc>
        <w:tc>
          <w:tcPr>
            <w:tcW w:type="dxa" w:w="144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扩展</w:t>
            </w:r>
          </w:p>
        </w:tc>
        <w:tc>
          <w:tcPr>
            <w:tcW w:type="dxa" w:w="144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储备</w:t>
            </w:r>
          </w:p>
        </w:tc>
      </w:tr>
      <w:tr>
        <w:tc>
          <w:tcPr>
            <w:tcW w:type="dxa" w:w="36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稳健增利（高波动资产0%–10%）</w:t>
            </w:r>
          </w:p>
        </w:tc>
        <w:tc>
          <w:tcPr>
            <w:tcW w:type="dxa" w:w="144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储备</w:t>
            </w:r>
          </w:p>
        </w:tc>
        <w:tc>
          <w:tcPr>
            <w:tcW w:type="dxa" w:w="144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核心</w:t>
            </w:r>
          </w:p>
        </w:tc>
        <w:tc>
          <w:tcPr>
            <w:tcW w:type="dxa" w:w="144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核心</w:t>
            </w:r>
          </w:p>
        </w:tc>
        <w:tc>
          <w:tcPr>
            <w:tcW w:type="dxa" w:w="144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扩展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均衡成长（高波动资产5%–15%）</w:t>
            </w:r>
          </w:p>
        </w:tc>
        <w:tc>
          <w:tcPr>
            <w:tcW w:type="dxa" w:w="144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不建议</w:t>
            </w:r>
          </w:p>
        </w:tc>
        <w:tc>
          <w:tcPr>
            <w:tcW w:type="dxa" w:w="144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储备</w:t>
            </w:r>
          </w:p>
        </w:tc>
        <w:tc>
          <w:tcPr>
            <w:tcW w:type="dxa" w:w="144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核心</w:t>
            </w:r>
          </w:p>
        </w:tc>
        <w:tc>
          <w:tcPr>
            <w:tcW w:type="dxa" w:w="144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核心</w:t>
            </w:r>
          </w:p>
        </w:tc>
      </w:tr>
      <w:tr>
        <w:tc>
          <w:tcPr>
            <w:tcW w:type="dxa" w:w="36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进取增强（高波动资产5%–25%）</w:t>
            </w:r>
          </w:p>
        </w:tc>
        <w:tc>
          <w:tcPr>
            <w:tcW w:type="dxa" w:w="144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不建议</w:t>
            </w:r>
          </w:p>
        </w:tc>
        <w:tc>
          <w:tcPr>
            <w:tcW w:type="dxa" w:w="144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不建议</w:t>
            </w:r>
          </w:p>
        </w:tc>
        <w:tc>
          <w:tcPr>
            <w:tcW w:type="dxa" w:w="144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储备</w:t>
            </w:r>
          </w:p>
        </w:tc>
        <w:tc>
          <w:tcPr>
            <w:tcW w:type="dxa" w:w="144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核心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“核心”代表首期或重点布局；“扩展”代表具备需求后逐步发行；“储备”代表保留组合模型；“不建议”代表风险特征与最短持有期明显不匹配。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700"/>
        <w:gridCol w:w="1800"/>
        <w:gridCol w:w="3500"/>
        <w:gridCol w:w="23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最短持有期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默认推荐持有期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设计重点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主要适用单元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30天</w:t>
            </w:r>
          </w:p>
        </w:tc>
        <w:tc>
          <w:tcPr>
            <w:tcW w:type="dxa" w:w="18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60天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短久期、低波动和流动性优先</w:t>
            </w:r>
          </w:p>
        </w:tc>
        <w:tc>
          <w:tcPr>
            <w:tcW w:type="dxa" w:w="23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稳健低波</w:t>
            </w:r>
          </w:p>
        </w:tc>
      </w:tr>
      <w:tr>
        <w:tc>
          <w:tcPr>
            <w:tcW w:type="dxa" w:w="17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90天</w:t>
            </w:r>
          </w:p>
        </w:tc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180天</w:t>
            </w:r>
          </w:p>
        </w:tc>
        <w:tc>
          <w:tcPr>
            <w:tcW w:type="dxa" w:w="35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固收底仓与有限策略增强</w:t>
            </w:r>
          </w:p>
        </w:tc>
        <w:tc>
          <w:tcPr>
            <w:tcW w:type="dxa" w:w="23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稳健增利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180天</w:t>
            </w:r>
          </w:p>
        </w:tc>
        <w:tc>
          <w:tcPr>
            <w:tcW w:type="dxa" w:w="18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365天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固收策略、转债及多资产配置</w:t>
            </w:r>
          </w:p>
        </w:tc>
        <w:tc>
          <w:tcPr>
            <w:tcW w:type="dxa" w:w="23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稳健增利、均衡成长</w:t>
            </w:r>
          </w:p>
        </w:tc>
      </w:tr>
      <w:tr>
        <w:tc>
          <w:tcPr>
            <w:tcW w:type="dxa" w:w="17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365天</w:t>
            </w:r>
          </w:p>
        </w:tc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365天</w:t>
            </w:r>
          </w:p>
        </w:tc>
        <w:tc>
          <w:tcPr>
            <w:tcW w:type="dxa" w:w="35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年度配置、多资产和多风格组合</w:t>
            </w:r>
          </w:p>
        </w:tc>
        <w:tc>
          <w:tcPr>
            <w:tcW w:type="dxa" w:w="23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均衡成长、进取增强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2F8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2A7F8E"/>
                <w:sz w:val="22"/>
              </w:rPr>
              <w:t>每个矩阵单元的含义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1D2733"/>
                <w:sz w:val="20"/>
              </w:rPr>
              <w:t>矩阵单元＝客户场景＋最短及推荐持有期＋SAA核心配置＋TAA卫星空间＋资产簇和积木块＋风险预算＋流动性约束＋客户体验目标。它不是同一组合更换期限名称。</w:t>
            </w:r>
          </w:p>
        </w:tc>
      </w:tr>
    </w:tbl>
    <w:p>
      <w:pPr>
        <w:spacing w:after="20"/>
      </w:pP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0031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matrix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003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 w:eastAsia="Microsoft YaHei"/>
          <w:color w:val="5F6B76"/>
          <w:sz w:val="17"/>
        </w:rPr>
        <w:t>示例图：六类核心产品在目标波动、持有期收益和净值回撤维度的相对定位</w:t>
      </w:r>
    </w:p>
    <w:p>
      <w:pPr>
        <w:spacing w:before="80" w:after="120" w:line="240" w:lineRule="auto"/>
      </w:pPr>
      <w:r>
        <w:rPr>
          <w:rFonts w:ascii="Arial" w:hAnsi="Arial" w:eastAsia="Microsoft YaHei"/>
          <w:i/>
          <w:color w:val="5F6B76"/>
          <w:sz w:val="16"/>
        </w:rPr>
        <w:t>资料来源：模拟数据，仅展示图表结构，不代表拟发行产品的收益预测。</w:t>
      </w:r>
    </w:p>
    <w:p>
      <w:pPr>
        <w:pStyle w:val="Heading2"/>
        <w:keepNext/>
      </w:pPr>
      <w:r>
        <w:t>矩阵单元参数卡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每个单元需要明确目标客户、资金场景、最短及推荐持有期、收益目标、目标波动率、回撤容忍度、高波动资产中枢、主要收益和风险来源、SAA/TAA区间、业绩基准、流动性及渠道表达。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9286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holding_prob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28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 w:eastAsia="Microsoft YaHei"/>
          <w:color w:val="5F6B76"/>
          <w:sz w:val="17"/>
        </w:rPr>
        <w:t>示例图：最短持有期窗口与推荐持有期窗口的正收益概率表达方式</w:t>
      </w:r>
    </w:p>
    <w:p>
      <w:pPr>
        <w:spacing w:before="80" w:after="120" w:line="240" w:lineRule="auto"/>
      </w:pPr>
      <w:r>
        <w:rPr>
          <w:rFonts w:ascii="Arial" w:hAnsi="Arial" w:eastAsia="Microsoft YaHei"/>
          <w:i/>
          <w:color w:val="5F6B76"/>
          <w:sz w:val="16"/>
        </w:rPr>
        <w:t>资料来源：模拟数据；正式结果应基于最终SAA、费用和再平衡规则测算。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8FB"/>
          </w:tcPr>
          <w:p>
            <w:pPr>
              <w:spacing w:after="100"/>
            </w:pPr>
            <w:r>
              <w:rPr>
                <w:rFonts w:ascii="Arial" w:hAnsi="Arial" w:eastAsia="Microsoft YaHei"/>
                <w:b/>
                <w:color w:val="2A7F8E"/>
                <w:sz w:val="22"/>
              </w:rPr>
              <w:t>【图表素材位 M-01】产品矩阵正式测算结果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建议位置：</w:t>
            </w:r>
            <w:r>
              <w:rPr>
                <w:rFonts w:ascii="Arial" w:hAnsi="Arial" w:eastAsia="Microsoft YaHei"/>
                <w:color w:val="1D2733"/>
                <w:sz w:val="19"/>
              </w:rPr>
              <w:t>在本节对应位置替换示例或补充内部材料。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统一口径：</w:t>
            </w:r>
            <w:r>
              <w:rPr>
                <w:rFonts w:ascii="Arial" w:hAnsi="Arial" w:eastAsia="Microsoft YaHei"/>
                <w:color w:val="1D2733"/>
                <w:sz w:val="19"/>
              </w:rPr>
              <w:t>最短及推荐持有期双窗口；扣除拟定费用；统一样本区间、再平衡和现金口径。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建议输出：</w:t>
            </w:r>
            <w:r>
              <w:rPr>
                <w:rFonts w:ascii="Arial" w:hAnsi="Arial" w:eastAsia="Microsoft YaHei"/>
                <w:color w:val="1D2733"/>
                <w:sz w:val="19"/>
              </w:rPr>
              <w:t>16个矩阵单元的正收益概率、收益分布、净值回撤、净值波动率和最差持有期收益。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三、首期核心产品与典型案例库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940"/>
        <w:gridCol w:w="1120"/>
        <w:gridCol w:w="1250"/>
        <w:gridCol w:w="1400"/>
        <w:gridCol w:w="1050"/>
        <w:gridCol w:w="2600"/>
      </w:tblGrid>
      <w:tr>
        <w:trPr>
          <w:cantSplit/>
          <w:tblHeader w:val="true"/>
        </w:trPr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产品单元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最短持有期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推荐持有期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高波动资产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战略中枢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核心定位</w:t>
            </w:r>
          </w:p>
        </w:tc>
      </w:tr>
      <w:tr>
        <w:tc>
          <w:tcPr>
            <w:tcW w:type="dxa" w:w="194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稳健低波30天</w:t>
            </w:r>
          </w:p>
        </w:tc>
        <w:tc>
          <w:tcPr>
            <w:tcW w:type="dxa" w:w="1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30天</w:t>
            </w:r>
          </w:p>
        </w:tc>
        <w:tc>
          <w:tcPr>
            <w:tcW w:type="dxa" w:w="12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60天</w:t>
            </w:r>
          </w:p>
        </w:tc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0%–5%</w:t>
            </w:r>
          </w:p>
        </w:tc>
        <w:tc>
          <w:tcPr>
            <w:tcW w:type="dxa" w:w="10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2%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短久期、低波动和流动性优先</w:t>
            </w:r>
          </w:p>
        </w:tc>
      </w:tr>
      <w:tr>
        <w:tc>
          <w:tcPr>
            <w:tcW w:type="dxa" w:w="194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稳健增利90天</w:t>
            </w:r>
          </w:p>
        </w:tc>
        <w:tc>
          <w:tcPr>
            <w:tcW w:type="dxa" w:w="1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90天</w:t>
            </w:r>
          </w:p>
        </w:tc>
        <w:tc>
          <w:tcPr>
            <w:tcW w:type="dxa" w:w="12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180天</w:t>
            </w:r>
          </w:p>
        </w:tc>
        <w:tc>
          <w:tcPr>
            <w:tcW w:type="dxa" w:w="14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0%–10%</w:t>
            </w:r>
          </w:p>
        </w:tc>
        <w:tc>
          <w:tcPr>
            <w:tcW w:type="dxa" w:w="10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5%</w:t>
            </w:r>
          </w:p>
        </w:tc>
        <w:tc>
          <w:tcPr>
            <w:tcW w:type="dxa" w:w="26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固收核心加有限多策略增强</w:t>
            </w:r>
          </w:p>
        </w:tc>
      </w:tr>
      <w:tr>
        <w:tc>
          <w:tcPr>
            <w:tcW w:type="dxa" w:w="194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稳健增利180天</w:t>
            </w:r>
          </w:p>
        </w:tc>
        <w:tc>
          <w:tcPr>
            <w:tcW w:type="dxa" w:w="1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180天</w:t>
            </w:r>
          </w:p>
        </w:tc>
        <w:tc>
          <w:tcPr>
            <w:tcW w:type="dxa" w:w="12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365天</w:t>
            </w:r>
          </w:p>
        </w:tc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0%–10%</w:t>
            </w:r>
          </w:p>
        </w:tc>
        <w:tc>
          <w:tcPr>
            <w:tcW w:type="dxa" w:w="10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6%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增加固收策略和转债空间</w:t>
            </w:r>
          </w:p>
        </w:tc>
      </w:tr>
      <w:tr>
        <w:tc>
          <w:tcPr>
            <w:tcW w:type="dxa" w:w="194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均衡成长180天</w:t>
            </w:r>
          </w:p>
        </w:tc>
        <w:tc>
          <w:tcPr>
            <w:tcW w:type="dxa" w:w="1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180天</w:t>
            </w:r>
          </w:p>
        </w:tc>
        <w:tc>
          <w:tcPr>
            <w:tcW w:type="dxa" w:w="12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365天</w:t>
            </w:r>
          </w:p>
        </w:tc>
        <w:tc>
          <w:tcPr>
            <w:tcW w:type="dxa" w:w="14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5%–15%</w:t>
            </w:r>
          </w:p>
        </w:tc>
        <w:tc>
          <w:tcPr>
            <w:tcW w:type="dxa" w:w="10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10%</w:t>
            </w:r>
          </w:p>
        </w:tc>
        <w:tc>
          <w:tcPr>
            <w:tcW w:type="dxa" w:w="26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多风格权益及其他风险溢价</w:t>
            </w:r>
          </w:p>
        </w:tc>
      </w:tr>
      <w:tr>
        <w:tc>
          <w:tcPr>
            <w:tcW w:type="dxa" w:w="194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均衡成长365天</w:t>
            </w:r>
          </w:p>
        </w:tc>
        <w:tc>
          <w:tcPr>
            <w:tcW w:type="dxa" w:w="1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365天</w:t>
            </w:r>
          </w:p>
        </w:tc>
        <w:tc>
          <w:tcPr>
            <w:tcW w:type="dxa" w:w="12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365天</w:t>
            </w:r>
          </w:p>
        </w:tc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5%–15%</w:t>
            </w:r>
          </w:p>
        </w:tc>
        <w:tc>
          <w:tcPr>
            <w:tcW w:type="dxa" w:w="10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12%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完整的跨资产、跨周期配置</w:t>
            </w:r>
          </w:p>
        </w:tc>
      </w:tr>
      <w:tr>
        <w:tc>
          <w:tcPr>
            <w:tcW w:type="dxa" w:w="194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进取增强365天</w:t>
            </w:r>
          </w:p>
        </w:tc>
        <w:tc>
          <w:tcPr>
            <w:tcW w:type="dxa" w:w="1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365天</w:t>
            </w:r>
          </w:p>
        </w:tc>
        <w:tc>
          <w:tcPr>
            <w:tcW w:type="dxa" w:w="12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365天</w:t>
            </w:r>
          </w:p>
        </w:tc>
        <w:tc>
          <w:tcPr>
            <w:tcW w:type="dxa" w:w="14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5%–25%</w:t>
            </w:r>
          </w:p>
        </w:tc>
        <w:tc>
          <w:tcPr>
            <w:tcW w:type="dxa" w:w="10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15%</w:t>
            </w:r>
          </w:p>
        </w:tc>
        <w:tc>
          <w:tcPr>
            <w:tcW w:type="dxa" w:w="26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长期风险溢价与主动管理结合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六类产品的典型“积木搭法”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600"/>
        <w:gridCol w:w="2050"/>
        <w:gridCol w:w="2050"/>
        <w:gridCol w:w="2400"/>
        <w:gridCol w:w="126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案例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客户场景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核心配置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卫星积木块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管理重点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稳健低波30天</w:t>
            </w:r>
          </w:p>
        </w:tc>
        <w:tc>
          <w:tcPr>
            <w:tcW w:type="dxa" w:w="20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短期闲置资金，重视净值稳定</w:t>
            </w:r>
          </w:p>
        </w:tc>
        <w:tc>
          <w:tcPr>
            <w:tcW w:type="dxa" w:w="20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短久期固收专户</w:t>
            </w:r>
          </w:p>
        </w:tc>
        <w:tc>
          <w:tcPr>
            <w:tcW w:type="dxa" w:w="24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少量绝对收益</w:t>
            </w:r>
          </w:p>
        </w:tc>
        <w:tc>
          <w:tcPr>
            <w:tcW w:type="dxa" w:w="12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解锁日前流动性、杠杆和信用</w:t>
            </w:r>
          </w:p>
        </w:tc>
      </w:tr>
      <w:tr>
        <w:tc>
          <w:tcPr>
            <w:tcW w:type="dxa" w:w="16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稳健增利90天</w:t>
            </w:r>
          </w:p>
        </w:tc>
        <w:tc>
          <w:tcPr>
            <w:tcW w:type="dxa" w:w="20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接受轻微波动，希望适度增强</w:t>
            </w:r>
          </w:p>
        </w:tc>
        <w:tc>
          <w:tcPr>
            <w:tcW w:type="dxa" w:w="20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短久期＋中等久期固收</w:t>
            </w:r>
          </w:p>
        </w:tc>
        <w:tc>
          <w:tcPr>
            <w:tcW w:type="dxa" w:w="24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红利低波、黄金</w:t>
            </w:r>
          </w:p>
        </w:tc>
        <w:tc>
          <w:tcPr>
            <w:tcW w:type="dxa" w:w="12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增强仓不改变低波特征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稳健增利180天</w:t>
            </w:r>
          </w:p>
        </w:tc>
        <w:tc>
          <w:tcPr>
            <w:tcW w:type="dxa" w:w="20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半年以上资金，重视收益稳定</w:t>
            </w:r>
          </w:p>
        </w:tc>
        <w:tc>
          <w:tcPr>
            <w:tcW w:type="dxa" w:w="20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中等久期配置固收</w:t>
            </w:r>
          </w:p>
        </w:tc>
        <w:tc>
          <w:tcPr>
            <w:tcW w:type="dxa" w:w="24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转债、红利、市场中性</w:t>
            </w:r>
          </w:p>
        </w:tc>
        <w:tc>
          <w:tcPr>
            <w:tcW w:type="dxa" w:w="12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收益积累与风险预算联动</w:t>
            </w:r>
          </w:p>
        </w:tc>
      </w:tr>
      <w:tr>
        <w:tc>
          <w:tcPr>
            <w:tcW w:type="dxa" w:w="16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均衡成长180天</w:t>
            </w:r>
          </w:p>
        </w:tc>
        <w:tc>
          <w:tcPr>
            <w:tcW w:type="dxa" w:w="20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接受阶段性浮亏，兼顾弹性</w:t>
            </w:r>
          </w:p>
        </w:tc>
        <w:tc>
          <w:tcPr>
            <w:tcW w:type="dxa" w:w="20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固收核心</w:t>
            </w:r>
          </w:p>
        </w:tc>
        <w:tc>
          <w:tcPr>
            <w:tcW w:type="dxa" w:w="24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红利、宽基增强、成长、黄金</w:t>
            </w:r>
          </w:p>
        </w:tc>
        <w:tc>
          <w:tcPr>
            <w:tcW w:type="dxa" w:w="12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风格集中和股债相关性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均衡成长365天</w:t>
            </w:r>
          </w:p>
        </w:tc>
        <w:tc>
          <w:tcPr>
            <w:tcW w:type="dxa" w:w="20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年度配置资金</w:t>
            </w:r>
          </w:p>
        </w:tc>
        <w:tc>
          <w:tcPr>
            <w:tcW w:type="dxa" w:w="20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多层次固收核心</w:t>
            </w:r>
          </w:p>
        </w:tc>
        <w:tc>
          <w:tcPr>
            <w:tcW w:type="dxa" w:w="24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多风格权益、转债、商品、对冲</w:t>
            </w:r>
          </w:p>
        </w:tc>
        <w:tc>
          <w:tcPr>
            <w:tcW w:type="dxa" w:w="12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跨资产风险贡献均衡</w:t>
            </w:r>
          </w:p>
        </w:tc>
      </w:tr>
      <w:tr>
        <w:tc>
          <w:tcPr>
            <w:tcW w:type="dxa" w:w="16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进取增强365天</w:t>
            </w:r>
          </w:p>
        </w:tc>
        <w:tc>
          <w:tcPr>
            <w:tcW w:type="dxa" w:w="20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较高风险承受能力</w:t>
            </w:r>
          </w:p>
        </w:tc>
        <w:tc>
          <w:tcPr>
            <w:tcW w:type="dxa" w:w="20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固收缓冲与流动性仓</w:t>
            </w:r>
          </w:p>
        </w:tc>
        <w:tc>
          <w:tcPr>
            <w:tcW w:type="dxa" w:w="24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指数增强、主动成长、量化、商品</w:t>
            </w:r>
          </w:p>
        </w:tc>
        <w:tc>
          <w:tcPr>
            <w:tcW w:type="dxa" w:w="12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容量、Alpha和尾部风险</w:t>
            </w:r>
          </w:p>
        </w:tc>
      </w:tr>
    </w:tbl>
    <w:p>
      <w:pPr>
        <w:spacing w:after="20"/>
      </w:pP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783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typical_na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 w:eastAsia="Microsoft YaHei"/>
          <w:color w:val="5F6B76"/>
          <w:sz w:val="17"/>
        </w:rPr>
        <w:t>示例图：典型产品组合净值与合成指数基准的表达方式</w:t>
      </w:r>
    </w:p>
    <w:p>
      <w:pPr>
        <w:spacing w:before="80" w:after="120" w:line="240" w:lineRule="auto"/>
      </w:pPr>
      <w:r>
        <w:rPr>
          <w:rFonts w:ascii="Arial" w:hAnsi="Arial" w:eastAsia="Microsoft YaHei"/>
          <w:i/>
          <w:color w:val="5F6B76"/>
          <w:sz w:val="16"/>
        </w:rPr>
        <w:t>资料来源：模拟数据，统一起点为1；正式版替换为内部组合回测。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8FB"/>
          </w:tcPr>
          <w:p>
            <w:pPr>
              <w:spacing w:after="100"/>
            </w:pPr>
            <w:r>
              <w:rPr>
                <w:rFonts w:ascii="Arial" w:hAnsi="Arial" w:eastAsia="Microsoft YaHei"/>
                <w:b/>
                <w:color w:val="2A7F8E"/>
                <w:sz w:val="22"/>
              </w:rPr>
              <w:t>【图表素材位 C-01】六类产品正式案例卡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建议位置：</w:t>
            </w:r>
            <w:r>
              <w:rPr>
                <w:rFonts w:ascii="Arial" w:hAnsi="Arial" w:eastAsia="Microsoft YaHei"/>
                <w:color w:val="1D2733"/>
                <w:sz w:val="19"/>
              </w:rPr>
              <w:t>在本节对应位置替换示例或补充内部材料。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统一口径：</w:t>
            </w:r>
            <w:r>
              <w:rPr>
                <w:rFonts w:ascii="Arial" w:hAnsi="Arial" w:eastAsia="Microsoft YaHei"/>
                <w:color w:val="1D2733"/>
                <w:sz w:val="19"/>
              </w:rPr>
              <w:t>统一产品参数、费用、数据区间和合成基准；明确实盘、回测及模拟数据。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建议输出：</w:t>
            </w:r>
            <w:r>
              <w:rPr>
                <w:rFonts w:ascii="Arial" w:hAnsi="Arial" w:eastAsia="Microsoft YaHei"/>
                <w:color w:val="1D2733"/>
                <w:sz w:val="19"/>
              </w:rPr>
              <w:t>客户画像、SAA、TAA、积木块、主要收益风险来源及持有期测算。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四、SAA确定产品特性与核心配置，TAA管理阶段特征与卫星操作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SAA和TAA属于产品资产配置层面，必须先于资产簇、积木块和具体标的说明。产品矩阵先定义目标，SAA再形成长期核心配置，TAA在授权区间内管理阶段性特征和卫星操作。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900"/>
        <w:gridCol w:w="3700"/>
        <w:gridCol w:w="37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配置层级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主要输出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SAA战略配置</w:t>
            </w:r>
          </w:p>
        </w:tc>
        <w:tc>
          <w:tcPr>
            <w:tcW w:type="dxa" w:w="37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定义产品长期依靠哪些风险收益来源</w:t>
            </w:r>
          </w:p>
        </w:tc>
        <w:tc>
          <w:tcPr>
            <w:tcW w:type="dxa" w:w="37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资产簇中枢、上下限、长期风险预算、核心配置及合成基准</w:t>
            </w:r>
          </w:p>
        </w:tc>
      </w:tr>
      <w:tr>
        <w:tc>
          <w:tcPr>
            <w:tcW w:type="dxa" w:w="19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TAA战术配置</w:t>
            </w:r>
          </w:p>
        </w:tc>
        <w:tc>
          <w:tcPr>
            <w:tcW w:type="dxa" w:w="37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管理当前市场状态下的阶段性偏离</w:t>
            </w:r>
          </w:p>
        </w:tc>
        <w:tc>
          <w:tcPr>
            <w:tcW w:type="dxa" w:w="37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卫星仓位、偏离幅度、触发条件、退出及回归条件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积木块选择</w:t>
            </w:r>
          </w:p>
        </w:tc>
        <w:tc>
          <w:tcPr>
            <w:tcW w:type="dxa" w:w="37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选择实现配置目标的策略和管理人</w:t>
            </w:r>
          </w:p>
        </w:tc>
        <w:tc>
          <w:tcPr>
            <w:tcW w:type="dxa" w:w="37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基金、专户、资管计划及具体标的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风险预算模型案例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8FB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2A7F8E"/>
                <w:sz w:val="22"/>
              </w:rPr>
              <w:t>核心公式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1D2733"/>
                <w:sz w:val="20"/>
              </w:rPr>
              <w:t>组合波动率：σp＝√(wᵀΣw)</w:t>
              <w:br/>
              <w:t>边际风险贡献：MRC_i＝(Σw)_i／σp</w:t>
              <w:br/>
              <w:t>策略风险贡献：RC_i＝w_i×MRC_i</w:t>
              <w:br/>
              <w:t>相对风险贡献：RRC_i＝RC_i／σp</w:t>
              <w:br/>
              <w:t>优化目标：min Σ_i(RRC_i−b_i)²，并满足资金权重、资产上下限、流动性、容量、杠杆和监管约束。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其中，w为资金权重向量，Σ为协方差矩阵，σp为组合波动率，MRC_i为边际风险贡献，RC_i为绝对风险贡献，RRC_i为相对风险贡献，b_i为目标风险预算。资金权重与风险预算通常并不相等。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2600"/>
        <w:gridCol w:w="1800"/>
        <w:gridCol w:w="1500"/>
        <w:gridCol w:w="3460"/>
      </w:tblGrid>
      <w:tr>
        <w:trPr>
          <w:cantSplit/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风险来源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量化初始风险预算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主观校准后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校准依据（示例）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固收票息与久期</w:t>
            </w:r>
          </w:p>
        </w:tc>
        <w:tc>
          <w:tcPr>
            <w:tcW w:type="dxa" w:w="18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70%</w:t>
            </w:r>
          </w:p>
        </w:tc>
        <w:tc>
          <w:tcPr>
            <w:tcW w:type="dxa" w:w="15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76%</w:t>
            </w:r>
          </w:p>
        </w:tc>
        <w:tc>
          <w:tcPr>
            <w:tcW w:type="dxa" w:w="34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票息可见度较高，同时约束久期和信用尾部</w:t>
            </w:r>
          </w:p>
        </w:tc>
      </w:tr>
      <w:tr>
        <w:tc>
          <w:tcPr>
            <w:tcW w:type="dxa" w:w="26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红利与低波权益</w:t>
            </w:r>
          </w:p>
        </w:tc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10%</w:t>
            </w:r>
          </w:p>
        </w:tc>
        <w:tc>
          <w:tcPr>
            <w:tcW w:type="dxa" w:w="15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8%</w:t>
            </w:r>
          </w:p>
        </w:tc>
        <w:tc>
          <w:tcPr>
            <w:tcW w:type="dxa" w:w="34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估值仍有支撑，但交易拥挤度上升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科技成长权益</w:t>
            </w:r>
          </w:p>
        </w:tc>
        <w:tc>
          <w:tcPr>
            <w:tcW w:type="dxa" w:w="18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8%</w:t>
            </w:r>
          </w:p>
        </w:tc>
        <w:tc>
          <w:tcPr>
            <w:tcW w:type="dxa" w:w="15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4%</w:t>
            </w:r>
          </w:p>
        </w:tc>
        <w:tc>
          <w:tcPr>
            <w:tcW w:type="dxa" w:w="34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盈利弹性较高，但波动率和拥挤度偏高</w:t>
            </w:r>
          </w:p>
        </w:tc>
      </w:tr>
      <w:tr>
        <w:tc>
          <w:tcPr>
            <w:tcW w:type="dxa" w:w="26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黄金及商品</w:t>
            </w:r>
          </w:p>
        </w:tc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7%</w:t>
            </w:r>
          </w:p>
        </w:tc>
        <w:tc>
          <w:tcPr>
            <w:tcW w:type="dxa" w:w="15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7%</w:t>
            </w:r>
          </w:p>
        </w:tc>
        <w:tc>
          <w:tcPr>
            <w:tcW w:type="dxa" w:w="34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保留对冲通胀、地缘和股债共振风险的预算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绝对收益与对冲</w:t>
            </w:r>
          </w:p>
        </w:tc>
        <w:tc>
          <w:tcPr>
            <w:tcW w:type="dxa" w:w="18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5%</w:t>
            </w:r>
          </w:p>
        </w:tc>
        <w:tc>
          <w:tcPr>
            <w:tcW w:type="dxa" w:w="15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5%</w:t>
            </w:r>
          </w:p>
        </w:tc>
        <w:tc>
          <w:tcPr>
            <w:tcW w:type="dxa" w:w="34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结合策略容量、流动性和实盘稳定性控制</w:t>
            </w:r>
          </w:p>
        </w:tc>
      </w:tr>
    </w:tbl>
    <w:p>
      <w:pPr>
        <w:spacing w:after="20"/>
      </w:pPr>
    </w:p>
    <w:p>
      <w:pPr>
        <w:spacing w:before="0" w:after="100" w:line="320" w:lineRule="auto"/>
        <w:jc w:val="both"/>
      </w:pPr>
      <w:r>
        <w:rPr>
          <w:rFonts w:ascii="Arial" w:hAnsi="Arial" w:eastAsia="Microsoft YaHei"/>
          <w:b w:val="0"/>
          <w:i/>
          <w:color w:val="5F6B76"/>
          <w:sz w:val="17"/>
        </w:rPr>
        <w:t>表中为机制示例，风险预算不等同于资金权重，也不代表拟发行产品的最终参数。</w:t>
      </w:r>
    </w:p>
    <w:p>
      <w:pPr>
        <w:pStyle w:val="Heading2"/>
        <w:keepNext/>
      </w:pPr>
      <w:r>
        <w:t>“量化＋主观”的参数校准方式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700"/>
        <w:gridCol w:w="2450"/>
        <w:gridCol w:w="2700"/>
        <w:gridCol w:w="251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量化基础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主观校准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主要作用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波动率</w:t>
            </w:r>
          </w:p>
        </w:tc>
        <w:tc>
          <w:tcPr>
            <w:tcW w:type="dxa" w:w="24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历史样本或EWMA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缩短半衰期、设置压力下限</w:t>
            </w:r>
          </w:p>
        </w:tc>
        <w:tc>
          <w:tcPr>
            <w:tcW w:type="dxa" w:w="251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更快反映近期风险变化</w:t>
            </w:r>
          </w:p>
        </w:tc>
      </w:tr>
      <w:tr>
        <w:tc>
          <w:tcPr>
            <w:tcW w:type="dxa" w:w="17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相关性</w:t>
            </w:r>
          </w:p>
        </w:tc>
        <w:tc>
          <w:tcPr>
            <w:tcW w:type="dxa" w:w="24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历史样本＋收缩估计</w:t>
            </w:r>
          </w:p>
        </w:tc>
        <w:tc>
          <w:tcPr>
            <w:tcW w:type="dxa" w:w="27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加入股债同跌或风格共振压力矩阵</w:t>
            </w:r>
          </w:p>
        </w:tc>
        <w:tc>
          <w:tcPr>
            <w:tcW w:type="dxa" w:w="251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减少虚假分散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目标风险预算</w:t>
            </w:r>
          </w:p>
        </w:tc>
        <w:tc>
          <w:tcPr>
            <w:tcW w:type="dxa" w:w="24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依据SAA和长期风险溢价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结合估值、政策、盈利和拥挤度调整</w:t>
            </w:r>
          </w:p>
        </w:tc>
        <w:tc>
          <w:tcPr>
            <w:tcW w:type="dxa" w:w="251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改变风险来源之间的预算分配</w:t>
            </w:r>
          </w:p>
        </w:tc>
      </w:tr>
      <w:tr>
        <w:tc>
          <w:tcPr>
            <w:tcW w:type="dxa" w:w="17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流动性折扣</w:t>
            </w:r>
          </w:p>
        </w:tc>
        <w:tc>
          <w:tcPr>
            <w:tcW w:type="dxa" w:w="24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成交、赎回和冲击成本</w:t>
            </w:r>
          </w:p>
        </w:tc>
        <w:tc>
          <w:tcPr>
            <w:tcW w:type="dxa" w:w="27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容量接近上限或流动性下降时收紧</w:t>
            </w:r>
          </w:p>
        </w:tc>
        <w:tc>
          <w:tcPr>
            <w:tcW w:type="dxa" w:w="251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降低可配置上限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模型置信度</w:t>
            </w:r>
          </w:p>
        </w:tc>
        <w:tc>
          <w:tcPr>
            <w:tcW w:type="dxa" w:w="24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信号稳定性和样本外胜率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制度变化导致历史规律失真时下调</w:t>
            </w:r>
          </w:p>
        </w:tc>
        <w:tc>
          <w:tcPr>
            <w:tcW w:type="dxa" w:w="251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缩小TAA偏离幅度</w:t>
            </w:r>
          </w:p>
        </w:tc>
      </w:tr>
      <w:tr>
        <w:tc>
          <w:tcPr>
            <w:tcW w:type="dxa" w:w="17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仓位上下限</w:t>
            </w:r>
          </w:p>
        </w:tc>
        <w:tc>
          <w:tcPr>
            <w:tcW w:type="dxa" w:w="24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合同、监管和SAA区间</w:t>
            </w:r>
          </w:p>
        </w:tc>
        <w:tc>
          <w:tcPr>
            <w:tcW w:type="dxa" w:w="27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结合回撤预算和解锁节奏进一步约束</w:t>
            </w:r>
          </w:p>
        </w:tc>
        <w:tc>
          <w:tcPr>
            <w:tcW w:type="dxa" w:w="251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保证模型解可执行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B8872D"/>
                <w:sz w:val="22"/>
              </w:rPr>
              <w:t>“量化＋主观”的好处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1D2733"/>
                <w:sz w:val="20"/>
              </w:rPr>
              <w:t>量化提高决策一致性和可复核性；主观研究能够处理政策、制度和市场结构变化造成的历史参数失真；参数校准比直接拍板调整仓位更透明。模型值、主观修正值和最终决策值应分别留痕，并设置调整上限、有效期和退出条件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8FB"/>
          </w:tcPr>
          <w:p>
            <w:pPr>
              <w:spacing w:after="100"/>
            </w:pPr>
            <w:r>
              <w:rPr>
                <w:rFonts w:ascii="Arial" w:hAnsi="Arial" w:eastAsia="Microsoft YaHei"/>
                <w:b/>
                <w:color w:val="2A7F8E"/>
                <w:sz w:val="22"/>
              </w:rPr>
              <w:t>【图表素材位 A-01】现有“量化＋主观”决策案例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建议位置：</w:t>
            </w:r>
            <w:r>
              <w:rPr>
                <w:rFonts w:ascii="Arial" w:hAnsi="Arial" w:eastAsia="Microsoft YaHei"/>
                <w:color w:val="1D2733"/>
                <w:sz w:val="19"/>
              </w:rPr>
              <w:t>在本节对应位置替换示例或补充内部材料。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统一口径：</w:t>
            </w:r>
            <w:r>
              <w:rPr>
                <w:rFonts w:ascii="Arial" w:hAnsi="Arial" w:eastAsia="Microsoft YaHei"/>
                <w:color w:val="1D2733"/>
                <w:sz w:val="19"/>
              </w:rPr>
              <w:t>明确数据时点、参数版本、调整依据、决策日、执行日、有效期和退出条件。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建议输出：</w:t>
            </w:r>
            <w:r>
              <w:rPr>
                <w:rFonts w:ascii="Arial" w:hAnsi="Arial" w:eastAsia="Microsoft YaHei"/>
                <w:color w:val="1D2733"/>
                <w:sz w:val="19"/>
              </w:rPr>
              <w:t>现有信号、模型建议、主观修正、最终配置及后续跟踪。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五、七类资产簇及基金、专户统一分类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900"/>
        <w:gridCol w:w="2600"/>
        <w:gridCol w:w="2600"/>
        <w:gridCol w:w="22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资产簇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主要收益来源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组合功能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主要风险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短久期固收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票息、期限利差、适度骑乘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流动性、基础收益和净值稳定</w:t>
            </w:r>
          </w:p>
        </w:tc>
        <w:tc>
          <w:tcPr>
            <w:tcW w:type="dxa" w:w="22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资金面、信用、流动性、再投资</w:t>
            </w:r>
          </w:p>
        </w:tc>
      </w:tr>
      <w:tr>
        <w:tc>
          <w:tcPr>
            <w:tcW w:type="dxa" w:w="19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中等久期配置固收</w:t>
            </w:r>
          </w:p>
        </w:tc>
        <w:tc>
          <w:tcPr>
            <w:tcW w:type="dxa" w:w="26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票息、骑乘、信用利差、资本利得</w:t>
            </w:r>
          </w:p>
        </w:tc>
        <w:tc>
          <w:tcPr>
            <w:tcW w:type="dxa" w:w="26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产品核心配置和收益积累</w:t>
            </w:r>
          </w:p>
        </w:tc>
        <w:tc>
          <w:tcPr>
            <w:tcW w:type="dxa" w:w="22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久期、信用利差、杠杆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长久期交易固收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久期、曲线和波段交易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提高固收收益弹性</w:t>
            </w:r>
          </w:p>
        </w:tc>
        <w:tc>
          <w:tcPr>
            <w:tcW w:type="dxa" w:w="22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利率反向变化和交易时点</w:t>
            </w:r>
          </w:p>
        </w:tc>
      </w:tr>
      <w:tr>
        <w:tc>
          <w:tcPr>
            <w:tcW w:type="dxa" w:w="19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可转债</w:t>
            </w:r>
          </w:p>
        </w:tc>
        <w:tc>
          <w:tcPr>
            <w:tcW w:type="dxa" w:w="26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债底、正股、波动率和个券选择</w:t>
            </w:r>
          </w:p>
        </w:tc>
        <w:tc>
          <w:tcPr>
            <w:tcW w:type="dxa" w:w="26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提供固收与权益之间的非线性收益</w:t>
            </w:r>
          </w:p>
        </w:tc>
        <w:tc>
          <w:tcPr>
            <w:tcW w:type="dxa" w:w="22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正股、估值、信用、赎回和流动性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权益Beta/Alpha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权益风险溢价、风格和管理人Alpha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长期增长和收益弹性</w:t>
            </w:r>
          </w:p>
        </w:tc>
        <w:tc>
          <w:tcPr>
            <w:tcW w:type="dxa" w:w="22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市场、风格、行业、管理人、流动性</w:t>
            </w:r>
          </w:p>
        </w:tc>
      </w:tr>
      <w:tr>
        <w:tc>
          <w:tcPr>
            <w:tcW w:type="dxa" w:w="19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商品</w:t>
            </w:r>
          </w:p>
        </w:tc>
        <w:tc>
          <w:tcPr>
            <w:tcW w:type="dxa" w:w="26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趋势、通胀和地缘风险溢价</w:t>
            </w:r>
          </w:p>
        </w:tc>
        <w:tc>
          <w:tcPr>
            <w:tcW w:type="dxa" w:w="26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分散股债共振风险</w:t>
            </w:r>
          </w:p>
        </w:tc>
        <w:tc>
          <w:tcPr>
            <w:tcW w:type="dxa" w:w="22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趋势反转、波动、汇率、跟踪误差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绝对收益与对冲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市场中性、套利、多策略和对冲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降低方向性依赖</w:t>
            </w:r>
          </w:p>
        </w:tc>
        <w:tc>
          <w:tcPr>
            <w:tcW w:type="dxa" w:w="22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基差、模型、杠杆、容量和尾部风险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基金与专户的五层统一分类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统一分类自上而下分为五层：先识别七类资产簇，再定位具体策略和风格、行业及风险因子，随后选择指数基金、主动基金、专户等实施工具，最后落实到管理人和具体标的。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基金和专户使用同一套资产、策略和风险标签。组合分散应优先跨策略簇实现；同一策略簇内再比较费率、Alpha、流动性、透明度、容量和管理人稳定性。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783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cluster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 w:eastAsia="Microsoft YaHei"/>
          <w:color w:val="5F6B76"/>
          <w:sz w:val="17"/>
        </w:rPr>
        <w:t>示例图：基金和专户统一聚类后的策略“积木块”地图</w:t>
      </w:r>
    </w:p>
    <w:p>
      <w:pPr>
        <w:spacing w:before="80" w:after="120" w:line="240" w:lineRule="auto"/>
      </w:pPr>
      <w:r>
        <w:rPr>
          <w:rFonts w:ascii="Arial" w:hAnsi="Arial" w:eastAsia="Microsoft YaHei"/>
          <w:i/>
          <w:color w:val="5F6B76"/>
          <w:sz w:val="16"/>
        </w:rPr>
        <w:t>资料来源：模拟数据，仅展示分类和聚类的表达方式。</w:t>
      </w:r>
    </w:p>
    <w:p>
      <w:pPr>
        <w:pStyle w:val="Heading2"/>
        <w:keepNext/>
      </w:pPr>
      <w:r>
        <w:t>指数基金选择标准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指数工具重点判断编制规则能否代表目标风险暴露，并综合比较跟踪差异、跟踪误差、现金管理、规模流动性、费率和申赎效率；同时穿透观察行业、个股及风格集中度，以及衍生品使用和运营稳定性。</w:t>
      </w:r>
    </w:p>
    <w:p>
      <w:pPr>
        <w:pStyle w:val="Heading2"/>
        <w:keepNext/>
      </w:pPr>
      <w:r>
        <w:t>主动基金选择标准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主动基金的核心是确认Alpha来源可解释、可持续。评价既看投资理念和风格稳定性，也看上下行捕获、回撤与极端情景表现，并将团队稳定性、策略容量、费率、流动性及数据透明度纳入同一评分体系。</w:t>
      </w:r>
    </w:p>
    <w:p>
      <w:pPr>
        <w:pStyle w:val="Heading2"/>
        <w:keepNext/>
      </w:pPr>
      <w:r>
        <w:t>专户选择标准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专户首先要求合同目标与“积木块”定义一致，并把久期、信用、杠杆、流动性、预警和处置机制写入可执行约束；在此基础上，再评估投资团队、费率和最低经济规模，以及托管估值、运营和风险归因数据的及时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8FB"/>
          </w:tcPr>
          <w:p>
            <w:pPr>
              <w:spacing w:after="100"/>
            </w:pPr>
            <w:r>
              <w:rPr>
                <w:rFonts w:ascii="Arial" w:hAnsi="Arial" w:eastAsia="Microsoft YaHei"/>
                <w:b/>
                <w:color w:val="2A7F8E"/>
                <w:sz w:val="22"/>
              </w:rPr>
              <w:t>【图表素材位 B-01】现有统一分类、基金聚类及代表标的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建议位置：</w:t>
            </w:r>
            <w:r>
              <w:rPr>
                <w:rFonts w:ascii="Arial" w:hAnsi="Arial" w:eastAsia="Microsoft YaHei"/>
                <w:color w:val="1D2733"/>
                <w:sz w:val="19"/>
              </w:rPr>
              <w:t>在本节对应位置替换示例或补充内部材料。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统一口径：</w:t>
            </w:r>
            <w:r>
              <w:rPr>
                <w:rFonts w:ascii="Arial" w:hAnsi="Arial" w:eastAsia="Microsoft YaHei"/>
                <w:color w:val="1D2733"/>
                <w:sz w:val="19"/>
              </w:rPr>
              <w:t>基金和专户使用统一观察期、收益频率、费后净值和风险因子定义，并记录人工复核。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建议输出：</w:t>
            </w:r>
            <w:r>
              <w:rPr>
                <w:rFonts w:ascii="Arial" w:hAnsi="Arial" w:eastAsia="Microsoft YaHei"/>
                <w:color w:val="1D2733"/>
                <w:sz w:val="19"/>
              </w:rPr>
              <w:t>分类层级、聚类地图、各簇代表标的、簇内评分及替换规则。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六、高波动资产及不同风格“积木块”组合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相同的高波动资产比例并不代表相同的产品风险。产品特征还取决于风格、行业、Beta、Alpha、相关性、集中度、流动性和风险贡献。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800"/>
        <w:gridCol w:w="2700"/>
        <w:gridCol w:w="2600"/>
        <w:gridCol w:w="22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积木块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主要特征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组合用途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重点监控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宽基Beta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市场代表性较强，风格相对均衡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获取长期权益风险溢价</w:t>
            </w:r>
          </w:p>
        </w:tc>
        <w:tc>
          <w:tcPr>
            <w:tcW w:type="dxa" w:w="22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估值、趋势、Beta和行业结构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红利低波</w:t>
            </w:r>
          </w:p>
        </w:tc>
        <w:tc>
          <w:tcPr>
            <w:tcW w:type="dxa" w:w="27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股息和防御属性较强</w:t>
            </w:r>
          </w:p>
        </w:tc>
        <w:tc>
          <w:tcPr>
            <w:tcW w:type="dxa" w:w="26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改善波动和现金流特征</w:t>
            </w:r>
          </w:p>
        </w:tc>
        <w:tc>
          <w:tcPr>
            <w:tcW w:type="dxa" w:w="22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利率敏感性、拥挤度、行业集中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科技成长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盈利弹性和久期属性较高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提高上涨弹性</w:t>
            </w:r>
          </w:p>
        </w:tc>
        <w:tc>
          <w:tcPr>
            <w:tcW w:type="dxa" w:w="22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估值、盈利兑现、波动和拥挤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指数增强</w:t>
            </w:r>
          </w:p>
        </w:tc>
        <w:tc>
          <w:tcPr>
            <w:tcW w:type="dxa" w:w="27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Beta基础上获取量化Alpha</w:t>
            </w:r>
          </w:p>
        </w:tc>
        <w:tc>
          <w:tcPr>
            <w:tcW w:type="dxa" w:w="26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提高实施效率</w:t>
            </w:r>
          </w:p>
        </w:tc>
        <w:tc>
          <w:tcPr>
            <w:tcW w:type="dxa" w:w="22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超额回撤、风格偏离和容量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主动权益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依赖研究和个股选择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获取管理人Alpha</w:t>
            </w:r>
          </w:p>
        </w:tc>
        <w:tc>
          <w:tcPr>
            <w:tcW w:type="dxa" w:w="22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团队、风格漂移和集中度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黄金商品</w:t>
            </w:r>
          </w:p>
        </w:tc>
        <w:tc>
          <w:tcPr>
            <w:tcW w:type="dxa" w:w="27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与股债相关性阶段性变化</w:t>
            </w:r>
          </w:p>
        </w:tc>
        <w:tc>
          <w:tcPr>
            <w:tcW w:type="dxa" w:w="26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通胀、地缘及股债共振分散</w:t>
            </w:r>
          </w:p>
        </w:tc>
        <w:tc>
          <w:tcPr>
            <w:tcW w:type="dxa" w:w="22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趋势、波动、汇率和跟踪误差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绝对收益对冲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降低方向依赖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平滑组合风险来源</w:t>
            </w:r>
          </w:p>
        </w:tc>
        <w:tc>
          <w:tcPr>
            <w:tcW w:type="dxa" w:w="22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基差、模型、杠杆、容量和尾部风险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同为10%高波动资产的三种搭法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3000"/>
        <w:gridCol w:w="2120"/>
        <w:gridCol w:w="2120"/>
        <w:gridCol w:w="2120"/>
      </w:tblGrid>
      <w:tr>
        <w:trPr>
          <w:cantSplit/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策略积木块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防御收益型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均衡配置型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成长增强型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红利价值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4%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2%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0%</w:t>
            </w:r>
          </w:p>
        </w:tc>
      </w:tr>
      <w:tr>
        <w:tc>
          <w:tcPr>
            <w:tcW w:type="dxa" w:w="30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低波权益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2%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1%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0%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宽基Beta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2%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1%</w:t>
            </w:r>
          </w:p>
        </w:tc>
      </w:tr>
      <w:tr>
        <w:tc>
          <w:tcPr>
            <w:tcW w:type="dxa" w:w="30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科技成长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0%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2%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5%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小盘成长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0%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0%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2%</w:t>
            </w:r>
          </w:p>
        </w:tc>
      </w:tr>
      <w:tr>
        <w:tc>
          <w:tcPr>
            <w:tcW w:type="dxa" w:w="30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可转债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1%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1%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1%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黄金及商品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1%</w:t>
            </w:r>
          </w:p>
        </w:tc>
      </w:tr>
      <w:tr>
        <w:tc>
          <w:tcPr>
            <w:tcW w:type="dxa" w:w="30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公募REITs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1%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1%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0%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合计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10%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10%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10%</w:t>
            </w:r>
          </w:p>
        </w:tc>
      </w:tr>
    </w:tbl>
    <w:p>
      <w:pPr>
        <w:spacing w:after="20"/>
      </w:pP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783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style_block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 w:eastAsia="Microsoft YaHei"/>
          <w:color w:val="5F6B76"/>
          <w:sz w:val="17"/>
        </w:rPr>
        <w:t>示例图：同为10%高波动资产，不同风格积木块形成不同产品特征</w:t>
      </w:r>
    </w:p>
    <w:p>
      <w:pPr>
        <w:spacing w:before="80" w:after="120" w:line="240" w:lineRule="auto"/>
      </w:pPr>
      <w:r>
        <w:rPr>
          <w:rFonts w:ascii="Arial" w:hAnsi="Arial" w:eastAsia="Microsoft YaHei"/>
          <w:i/>
          <w:color w:val="5F6B76"/>
          <w:sz w:val="16"/>
        </w:rPr>
        <w:t>资料来源：根据示例权重绘制，不构成正式配置建议。</w:t>
      </w:r>
    </w:p>
    <w:p>
      <w:pPr>
        <w:pStyle w:val="Heading2"/>
        <w:keepNext/>
      </w:pPr>
      <w:r>
        <w:t>历史市场情景的使用方式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900"/>
        <w:gridCol w:w="2500"/>
        <w:gridCol w:w="2400"/>
        <w:gridCol w:w="25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情景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主要问题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模型关注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组合管理启示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2018年权益风险偏好下行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权益Beta和成长风格风险上升</w:t>
            </w:r>
          </w:p>
        </w:tc>
        <w:tc>
          <w:tcPr>
            <w:tcW w:type="dxa" w:w="24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波动率、下行相关性、估值和趋势</w:t>
            </w:r>
          </w:p>
        </w:tc>
        <w:tc>
          <w:tcPr>
            <w:tcW w:type="dxa" w:w="25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控制成长预算，增加防御和流动性</w:t>
            </w:r>
          </w:p>
        </w:tc>
      </w:tr>
      <w:tr>
        <w:tc>
          <w:tcPr>
            <w:tcW w:type="dxa" w:w="19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2020年初跨资产冲击</w:t>
            </w:r>
          </w:p>
        </w:tc>
        <w:tc>
          <w:tcPr>
            <w:tcW w:type="dxa" w:w="25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相关性和流动性短期失真</w:t>
            </w:r>
          </w:p>
        </w:tc>
        <w:tc>
          <w:tcPr>
            <w:tcW w:type="dxa" w:w="24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压力矩阵、现金需求和尾部风险</w:t>
            </w:r>
          </w:p>
        </w:tc>
        <w:tc>
          <w:tcPr>
            <w:tcW w:type="dxa" w:w="25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降低低流动性风险，分阶段恢复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2024年初小微盘冲击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风格拥挤和流动性风险释放</w:t>
            </w:r>
          </w:p>
        </w:tc>
        <w:tc>
          <w:tcPr>
            <w:tcW w:type="dxa" w:w="24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小盘Beta、拥挤度、容量和流动性</w:t>
            </w:r>
          </w:p>
        </w:tc>
        <w:tc>
          <w:tcPr>
            <w:tcW w:type="dxa" w:w="25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收紧容量，增加宽基和红利分散</w:t>
            </w:r>
          </w:p>
        </w:tc>
      </w:tr>
      <w:tr>
        <w:tc>
          <w:tcPr>
            <w:tcW w:type="dxa" w:w="19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2024年9月后风格切换</w:t>
            </w:r>
          </w:p>
        </w:tc>
        <w:tc>
          <w:tcPr>
            <w:tcW w:type="dxa" w:w="25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趋势转正但波动和拥挤上升</w:t>
            </w:r>
          </w:p>
        </w:tc>
        <w:tc>
          <w:tcPr>
            <w:tcW w:type="dxa" w:w="24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趋势、估值、成交和相关性</w:t>
            </w:r>
          </w:p>
        </w:tc>
        <w:tc>
          <w:tcPr>
            <w:tcW w:type="dxa" w:w="25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分批增加风险预算并及时再平衡</w:t>
            </w:r>
          </w:p>
        </w:tc>
      </w:tr>
    </w:tbl>
    <w:p>
      <w:pPr>
        <w:spacing w:after="20"/>
      </w:pPr>
    </w:p>
    <w:p>
      <w:pPr>
        <w:spacing w:before="0" w:after="100" w:line="320" w:lineRule="auto"/>
        <w:jc w:val="both"/>
      </w:pPr>
      <w:r>
        <w:rPr>
          <w:rFonts w:ascii="Arial" w:hAnsi="Arial" w:eastAsia="Microsoft YaHei"/>
          <w:b w:val="0"/>
          <w:i/>
          <w:color w:val="5F6B76"/>
          <w:sz w:val="17"/>
        </w:rPr>
        <w:t>历史情景用于说明决策机制，不代表对未来市场路径的判断。正式回放应使用当时可获得的数据，避免事后信息。</w:t>
      </w:r>
    </w:p>
    <w:p>
      <w:r>
        <w:br w:type="page"/>
      </w:r>
    </w:p>
    <w:p>
      <w:pPr>
        <w:pStyle w:val="Heading1"/>
        <w:keepNext/>
      </w:pPr>
      <w:r>
        <w:t>七、固收、转债专户的构建与实施优势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800"/>
        <w:gridCol w:w="2800"/>
        <w:gridCol w:w="1800"/>
        <w:gridCol w:w="29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专户类型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主要策略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适用产品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合同及风险管理重点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短久期固收</w:t>
            </w:r>
          </w:p>
        </w:tc>
        <w:tc>
          <w:tcPr>
            <w:tcW w:type="dxa" w:w="28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票息、期限利差、适度骑乘</w:t>
            </w:r>
          </w:p>
        </w:tc>
        <w:tc>
          <w:tcPr>
            <w:tcW w:type="dxa" w:w="18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30天、90天</w:t>
            </w:r>
          </w:p>
        </w:tc>
        <w:tc>
          <w:tcPr>
            <w:tcW w:type="dxa" w:w="29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剩余期限、信用等级、流动性、杠杆及解锁安排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中等久期配置固收</w:t>
            </w:r>
          </w:p>
        </w:tc>
        <w:tc>
          <w:tcPr>
            <w:tcW w:type="dxa" w:w="28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票息、骑乘、信用利差、适度资本利得</w:t>
            </w:r>
          </w:p>
        </w:tc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90天、180天、365天</w:t>
            </w:r>
          </w:p>
        </w:tc>
        <w:tc>
          <w:tcPr>
            <w:tcW w:type="dxa" w:w="29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久期、信用、杠杆、行业主体集中及流动性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长久期交易固收</w:t>
            </w:r>
          </w:p>
        </w:tc>
        <w:tc>
          <w:tcPr>
            <w:tcW w:type="dxa" w:w="28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久期择时、曲线和波段交易</w:t>
            </w:r>
          </w:p>
        </w:tc>
        <w:tc>
          <w:tcPr>
            <w:tcW w:type="dxa" w:w="18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180天、365天</w:t>
            </w:r>
          </w:p>
        </w:tc>
        <w:tc>
          <w:tcPr>
            <w:tcW w:type="dxa" w:w="29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久期区间、风险预算、预警、止盈及交易授权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可转债</w:t>
            </w:r>
          </w:p>
        </w:tc>
        <w:tc>
          <w:tcPr>
            <w:tcW w:type="dxa" w:w="28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偏债、平衡、偏股及个券选择</w:t>
            </w:r>
          </w:p>
        </w:tc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90天以上，以180天和365天为主</w:t>
            </w:r>
          </w:p>
        </w:tc>
        <w:tc>
          <w:tcPr>
            <w:tcW w:type="dxa" w:w="29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债底、溢价率、Delta、信用、赎回及流动性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通过专户实施的主要价值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专户的价值不只在费率，更在于可实施性。合同可围绕久期、信用、杠杆、流动性和预警机制进行定制，配置收益、交易收益和个券选择收益也可分开管理；达到经济规模后，费率可能低于同策略公募基金。更透明的持仓、净值和归因数据，有助于专户与产品SAA、风险预算及合成指数基准保持一致。</w:t>
      </w:r>
    </w:p>
    <w:p>
      <w:pPr>
        <w:pStyle w:val="Heading2"/>
        <w:keepNext/>
      </w:pPr>
      <w:r>
        <w:t>固收专户与指数工具的实施比较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152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15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 w:eastAsia="Microsoft YaHei"/>
          <w:color w:val="5F6B76"/>
          <w:sz w:val="17"/>
        </w:rPr>
        <w:t>现有素材示例：固收专户净值与债券指数、债券基金指数比较</w:t>
      </w:r>
    </w:p>
    <w:p>
      <w:pPr>
        <w:spacing w:before="80" w:after="120" w:line="240" w:lineRule="auto"/>
      </w:pPr>
      <w:r>
        <w:rPr>
          <w:rFonts w:ascii="Arial" w:hAnsi="Arial" w:eastAsia="Microsoft YaHei"/>
          <w:i/>
          <w:color w:val="5F6B76"/>
          <w:sz w:val="16"/>
        </w:rPr>
        <w:t>资料来源：内部策略材料；对外使用前核对名称、样本区间、基准、费后口径及授权。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比较不能只看期末收益。收益端观察区间收益、年化收益、超额收益和滚动胜率；风险端观察净值波动率、最大回撤、下行捕获和尾部损失；实施端则同时核对综合费率、久期与信用偏离、杠杆、流动性、容量和透明度。</w:t>
      </w:r>
    </w:p>
    <w:p>
      <w:pPr>
        <w:pStyle w:val="Heading2"/>
        <w:keepNext/>
      </w:pPr>
      <w:r>
        <w:t>专户使用边界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专户存在最低规模、运营成本、管理人集中度和流动性约束。是否优于基金必须在同策略、同区间、同费后口径下比较，不能仅根据期末收益下结论。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8FB"/>
          </w:tcPr>
          <w:p>
            <w:pPr>
              <w:spacing w:after="100"/>
            </w:pPr>
            <w:r>
              <w:rPr>
                <w:rFonts w:ascii="Arial" w:hAnsi="Arial" w:eastAsia="Microsoft YaHei"/>
                <w:b/>
                <w:color w:val="2A7F8E"/>
                <w:sz w:val="22"/>
              </w:rPr>
              <w:t>【图表素材位 FI-01】四类固收及转债专户正式图表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建议位置：</w:t>
            </w:r>
            <w:r>
              <w:rPr>
                <w:rFonts w:ascii="Arial" w:hAnsi="Arial" w:eastAsia="Microsoft YaHei"/>
                <w:color w:val="1D2733"/>
                <w:sz w:val="19"/>
              </w:rPr>
              <w:t>在本节对应位置替换示例或补充内部材料。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统一口径：</w:t>
            </w:r>
            <w:r>
              <w:rPr>
                <w:rFonts w:ascii="Arial" w:hAnsi="Arial" w:eastAsia="Microsoft YaHei"/>
                <w:color w:val="1D2733"/>
                <w:sz w:val="19"/>
              </w:rPr>
              <w:t>统一起点、样本区间、费后口径、基准、回撤和波动率；说明实盘和回测区间。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建议输出：</w:t>
            </w:r>
            <w:r>
              <w:rPr>
                <w:rFonts w:ascii="Arial" w:hAnsi="Arial" w:eastAsia="Microsoft YaHei"/>
                <w:color w:val="1D2733"/>
                <w:sz w:val="19"/>
              </w:rPr>
              <w:t>短久期、中等久期、长久期交易和转债专户分别与相应指数及基金指数比较。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八、产品质量控制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600"/>
        <w:gridCol w:w="4500"/>
        <w:gridCol w:w="326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控制模块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主要检查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主要输出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组合构建</w:t>
            </w:r>
          </w:p>
        </w:tc>
        <w:tc>
          <w:tcPr>
            <w:tcW w:type="dxa" w:w="45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是否符合矩阵定义、SAA、风险预算、流动性和监管约束</w:t>
            </w:r>
          </w:p>
        </w:tc>
        <w:tc>
          <w:tcPr>
            <w:tcW w:type="dxa" w:w="32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组合检查表、风险预算和约束结果</w:t>
            </w:r>
          </w:p>
        </w:tc>
      </w:tr>
      <w:tr>
        <w:tc>
          <w:tcPr>
            <w:tcW w:type="dxa" w:w="16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板块配置</w:t>
            </w:r>
          </w:p>
        </w:tc>
        <w:tc>
          <w:tcPr>
            <w:tcW w:type="dxa" w:w="45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实际配置与SAA中枢、TAA偏离及各积木块风险贡献</w:t>
            </w:r>
          </w:p>
        </w:tc>
        <w:tc>
          <w:tcPr>
            <w:tcW w:type="dxa" w:w="32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配置偏离、风格、久期、信用和流动性暴露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单位净值走势</w:t>
            </w:r>
          </w:p>
        </w:tc>
        <w:tc>
          <w:tcPr>
            <w:tcW w:type="dxa" w:w="45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实际净值与合成指数基准的累计差异和滚动偏离</w:t>
            </w:r>
          </w:p>
        </w:tc>
        <w:tc>
          <w:tcPr>
            <w:tcW w:type="dxa" w:w="32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净值、基准、滚动超额、波动率和回撤</w:t>
            </w:r>
          </w:p>
        </w:tc>
      </w:tr>
      <w:tr>
        <w:tc>
          <w:tcPr>
            <w:tcW w:type="dxa" w:w="16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收益归因</w:t>
            </w:r>
          </w:p>
        </w:tc>
        <w:tc>
          <w:tcPr>
            <w:tcW w:type="dxa" w:w="45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按积木块拆分收益、风险、下行及Alpha贡献</w:t>
            </w:r>
          </w:p>
        </w:tc>
        <w:tc>
          <w:tcPr>
            <w:tcW w:type="dxa" w:w="32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归因瀑布图、风险贡献和异常清单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调整建议</w:t>
            </w:r>
          </w:p>
        </w:tc>
        <w:tc>
          <w:tcPr>
            <w:tcW w:type="dxa" w:w="45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偏离是否改变产品长期特征及应如何处理</w:t>
            </w:r>
          </w:p>
        </w:tc>
        <w:tc>
          <w:tcPr>
            <w:tcW w:type="dxa" w:w="32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调整方向、幅度、触发、退出和复核时间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实际净值与合成指数基准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合成指数基准由SAA目标权重和资产或策略代理指数构成，明确再平衡、费用、现金和基准切换规则。实际净值偏离可能来自主动配置、标的Alpha、现金拖累、费用、交易时点或风格漂移。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29535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benchmark_track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953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 w:eastAsia="Microsoft YaHei"/>
          <w:color w:val="5F6B76"/>
          <w:sz w:val="17"/>
        </w:rPr>
        <w:t>示例图：实际净值与合成指数基准的跟踪和偏离诊断</w:t>
      </w:r>
    </w:p>
    <w:p>
      <w:pPr>
        <w:spacing w:before="80" w:after="120" w:line="240" w:lineRule="auto"/>
      </w:pPr>
      <w:r>
        <w:rPr>
          <w:rFonts w:ascii="Arial" w:hAnsi="Arial" w:eastAsia="Microsoft YaHei"/>
          <w:i/>
          <w:color w:val="5F6B76"/>
          <w:sz w:val="16"/>
        </w:rPr>
        <w:t>资料来源：模拟数据；正式版替换为内部净值和基准材料。</w:t>
      </w:r>
    </w:p>
    <w:p>
      <w:pPr>
        <w:pStyle w:val="Heading2"/>
        <w:keepNext/>
      </w:pPr>
      <w:r>
        <w:t>按策略“积木块”进行收益归因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归因至少拆分短久期固收、中等久期配置固收、长久期交易固收、可转债、权益Beta、权益Alpha、商品、绝对收益与对冲，以及现金、交易和费用。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29535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attribu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953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 w:eastAsia="Microsoft YaHei"/>
          <w:color w:val="5F6B76"/>
          <w:sz w:val="17"/>
        </w:rPr>
        <w:t>示例图：组合收益穿透至策略积木块的贡献归因</w:t>
      </w:r>
    </w:p>
    <w:p>
      <w:pPr>
        <w:spacing w:before="80" w:after="120" w:line="240" w:lineRule="auto"/>
      </w:pPr>
      <w:r>
        <w:rPr>
          <w:rFonts w:ascii="Arial" w:hAnsi="Arial" w:eastAsia="Microsoft YaHei"/>
          <w:i/>
          <w:color w:val="5F6B76"/>
          <w:sz w:val="16"/>
        </w:rPr>
        <w:t>资料来源：模拟数据，仅展示归因层级和图表形式。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B8872D"/>
                <w:sz w:val="22"/>
              </w:rPr>
              <w:t>质量控制闭环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1D2733"/>
                <w:sz w:val="20"/>
              </w:rPr>
              <w:t>发现偏离 → 完成归因 → 判断偏离性质 → 提出调整建议 → 投资决策 → 执行复核 → 跟踪结果。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8FB"/>
          </w:tcPr>
          <w:p>
            <w:pPr>
              <w:spacing w:after="100"/>
            </w:pPr>
            <w:r>
              <w:rPr>
                <w:rFonts w:ascii="Arial" w:hAnsi="Arial" w:eastAsia="Microsoft YaHei"/>
                <w:b/>
                <w:color w:val="2A7F8E"/>
                <w:sz w:val="22"/>
              </w:rPr>
              <w:t>【图表素材位 Q-01】现有质量控制图表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建议位置：</w:t>
            </w:r>
            <w:r>
              <w:rPr>
                <w:rFonts w:ascii="Arial" w:hAnsi="Arial" w:eastAsia="Microsoft YaHei"/>
                <w:color w:val="1D2733"/>
                <w:sz w:val="19"/>
              </w:rPr>
              <w:t>在本节对应位置替换示例或补充内部材料。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统一口径：</w:t>
            </w:r>
            <w:r>
              <w:rPr>
                <w:rFonts w:ascii="Arial" w:hAnsi="Arial" w:eastAsia="Microsoft YaHei"/>
                <w:color w:val="1D2733"/>
                <w:sz w:val="19"/>
              </w:rPr>
              <w:t>归因层级与实际投资账簿一致；实际净值和基准使用统一费用、现金和再平衡口径。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建议输出：</w:t>
            </w:r>
            <w:r>
              <w:rPr>
                <w:rFonts w:ascii="Arial" w:hAnsi="Arial" w:eastAsia="Microsoft YaHei"/>
                <w:color w:val="1D2733"/>
                <w:sz w:val="19"/>
              </w:rPr>
              <w:t>组合构建、板块配置、净值与基准、积木块归因及调整建议。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九、动态调整与“量化＋主观”投资决策闭环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本章不重新解释SAA和TAA，而是说明质量控制发现偏离后，如何通过TAA卫星操作进行动态处理，并在条件满足后回归SAA中枢。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调整从识别偏离开始。团队先判断变化来自市场Beta、风格、久期信用、管理人Alpha、流动性还是费用，再由量化模型生成参数和配置建议；投研人员结合政策、估值、盈利、拥挤度、容量及尾部风险进行校准，投资决策机制据此确定调整幅度、执行方式和有效期。操作通过TAA卫星仓位落地，并持续跟踪净值、风险贡献和交易成本；退出条件满足后，组合逐步回归SAA中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记录项目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必须保留的内容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模型原始信号</w:t>
            </w:r>
          </w:p>
        </w:tc>
        <w:tc>
          <w:tcPr>
            <w:tcW w:type="dxa" w:w="74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数据时点、信号值、参数版本和模型建议权重</w:t>
            </w:r>
          </w:p>
        </w:tc>
      </w:tr>
      <w:tr>
        <w:tc>
          <w:tcPr>
            <w:tcW w:type="dxa" w:w="19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主观修正</w:t>
            </w:r>
          </w:p>
        </w:tc>
        <w:tc>
          <w:tcPr>
            <w:tcW w:type="dxa" w:w="74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修正依据、修正参数、幅度、有效期和适用情景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最终决策</w:t>
            </w:r>
          </w:p>
        </w:tc>
        <w:tc>
          <w:tcPr>
            <w:tcW w:type="dxa" w:w="74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最终权重、交易计划、风险影响和决策人员</w:t>
            </w:r>
          </w:p>
        </w:tc>
      </w:tr>
      <w:tr>
        <w:tc>
          <w:tcPr>
            <w:tcW w:type="dxa" w:w="19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退出条件</w:t>
            </w:r>
          </w:p>
        </w:tc>
        <w:tc>
          <w:tcPr>
            <w:tcW w:type="dxa" w:w="74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触发指标、恢复条件、复核日期和回归SAA安排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执行复盘</w:t>
            </w:r>
          </w:p>
        </w:tc>
        <w:tc>
          <w:tcPr>
            <w:tcW w:type="dxa" w:w="74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成交、成本、净值、风险贡献及预期与实际差异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历史情景下的动态调整示例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900"/>
        <w:gridCol w:w="2600"/>
        <w:gridCol w:w="2400"/>
        <w:gridCol w:w="2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情景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质量控制发现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参数校准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TAA操作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债券市场快速调整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固收波动、久期风险和流动性折价上升</w:t>
            </w:r>
          </w:p>
        </w:tc>
        <w:tc>
          <w:tcPr>
            <w:tcW w:type="dxa" w:w="24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提高固收压力波动率和赎回假设</w:t>
            </w:r>
          </w:p>
        </w:tc>
        <w:tc>
          <w:tcPr>
            <w:tcW w:type="dxa" w:w="24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降低杠杆与久期，增加可变现资产，避免机械抛售</w:t>
            </w:r>
          </w:p>
        </w:tc>
      </w:tr>
      <w:tr>
        <w:tc>
          <w:tcPr>
            <w:tcW w:type="dxa" w:w="19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权益风格快速切换</w:t>
            </w:r>
          </w:p>
        </w:tc>
        <w:tc>
          <w:tcPr>
            <w:tcW w:type="dxa" w:w="26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成长或小盘风险贡献和簇内相关性上升</w:t>
            </w:r>
          </w:p>
        </w:tc>
        <w:tc>
          <w:tcPr>
            <w:tcW w:type="dxa" w:w="24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提高拥挤度和流动性折扣</w:t>
            </w:r>
          </w:p>
        </w:tc>
        <w:tc>
          <w:tcPr>
            <w:tcW w:type="dxa" w:w="24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降低集中风格，增加宽基和红利分散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股债相关性转正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传统股债分散效果下降</w:t>
            </w:r>
          </w:p>
        </w:tc>
        <w:tc>
          <w:tcPr>
            <w:tcW w:type="dxa" w:w="24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提高压力相关性矩阵权重</w:t>
            </w:r>
          </w:p>
        </w:tc>
        <w:tc>
          <w:tcPr>
            <w:tcW w:type="dxa" w:w="24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增加现金、黄金或对冲策略预算</w:t>
            </w:r>
          </w:p>
        </w:tc>
      </w:tr>
      <w:tr>
        <w:tc>
          <w:tcPr>
            <w:tcW w:type="dxa" w:w="19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管理人Alpha变化</w:t>
            </w:r>
          </w:p>
        </w:tc>
        <w:tc>
          <w:tcPr>
            <w:tcW w:type="dxa" w:w="26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实际净值持续弱于同簇基准</w:t>
            </w:r>
          </w:p>
        </w:tc>
        <w:tc>
          <w:tcPr>
            <w:tcW w:type="dxa" w:w="24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降低管理人置信度和容量</w:t>
            </w:r>
          </w:p>
        </w:tc>
        <w:tc>
          <w:tcPr>
            <w:tcW w:type="dxa" w:w="24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先进行簇内替换，避免改变产品长期风格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8FB"/>
          </w:tcPr>
          <w:p>
            <w:pPr>
              <w:spacing w:after="100"/>
            </w:pPr>
            <w:r>
              <w:rPr>
                <w:rFonts w:ascii="Arial" w:hAnsi="Arial" w:eastAsia="Microsoft YaHei"/>
                <w:b/>
                <w:color w:val="2A7F8E"/>
                <w:sz w:val="22"/>
              </w:rPr>
              <w:t>【图表素材位 D-01】现有动态调整案例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建议位置：</w:t>
            </w:r>
            <w:r>
              <w:rPr>
                <w:rFonts w:ascii="Arial" w:hAnsi="Arial" w:eastAsia="Microsoft YaHei"/>
                <w:color w:val="1D2733"/>
                <w:sz w:val="19"/>
              </w:rPr>
              <w:t>在本节对应位置替换示例或补充内部材料。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统一口径：</w:t>
            </w:r>
            <w:r>
              <w:rPr>
                <w:rFonts w:ascii="Arial" w:hAnsi="Arial" w:eastAsia="Microsoft YaHei"/>
                <w:color w:val="1D2733"/>
                <w:sz w:val="19"/>
              </w:rPr>
              <w:t>使用当时可获得的数据；区分决策日和执行日；完整记录参数版本和退出条件。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建议输出：</w:t>
            </w:r>
            <w:r>
              <w:rPr>
                <w:rFonts w:ascii="Arial" w:hAnsi="Arial" w:eastAsia="Microsoft YaHei"/>
                <w:color w:val="1D2733"/>
                <w:sz w:val="19"/>
              </w:rPr>
              <w:t>模型信号、主观修正、最终权重、执行结果及回归SAA过程。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十、能为渠道及客户提供的附加服务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500"/>
        <w:gridCol w:w="4500"/>
        <w:gridCol w:w="336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服务目标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主要服务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渠道及客户价值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看得懂</w:t>
            </w:r>
          </w:p>
        </w:tc>
        <w:tc>
          <w:tcPr>
            <w:tcW w:type="dxa" w:w="45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多资产市场分析、产品表现、净值与基准、积木块归因、调仓说明</w:t>
            </w:r>
          </w:p>
        </w:tc>
        <w:tc>
          <w:tcPr>
            <w:tcW w:type="dxa" w:w="33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理解产品为什么涨跌、是否仍符合定位</w:t>
            </w:r>
          </w:p>
        </w:tc>
      </w:tr>
      <w:tr>
        <w:tc>
          <w:tcPr>
            <w:tcW w:type="dxa" w:w="15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卖得准</w:t>
            </w:r>
          </w:p>
        </w:tc>
        <w:tc>
          <w:tcPr>
            <w:tcW w:type="dxa" w:w="45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产品矩阵、客户匹配、案例卡、比较工具、培训、话术和反向提示</w:t>
            </w:r>
          </w:p>
        </w:tc>
        <w:tc>
          <w:tcPr>
            <w:tcW w:type="dxa" w:w="33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提高客户和产品匹配准确性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拿得住</w:t>
            </w:r>
          </w:p>
        </w:tc>
        <w:tc>
          <w:tcPr>
            <w:tcW w:type="dxa" w:w="45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建仓说明、波动及回撤沟通、重大事件材料、持有期节点和行为分析</w:t>
            </w:r>
          </w:p>
        </w:tc>
        <w:tc>
          <w:tcPr>
            <w:tcW w:type="dxa" w:w="33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改善客户对净值波动的理解和持有体验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“看得懂”：市场分析与产品表现汇报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以周度或月度多资产观点为背景，重点呈现产品实际净值与合成指数基准的差异，并把收益、风险和回撤拆解到策略“积木块”。调仓原因、执行结果和后续观察指标采用同一口径表达，同时形成渠道专业版和客户简版两套材料。</w:t>
      </w:r>
    </w:p>
    <w:p>
      <w:pPr>
        <w:pStyle w:val="Heading2"/>
        <w:keepNext/>
      </w:pPr>
      <w:r>
        <w:t>“卖得准”：产品匹配与销售支持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用产品矩阵和六类核心产品案例卡支持货架管理，先匹配客户资金期限、流动性与风险承受能力，再提供产品比较和反向提示。渠道培训和销售演练统一最短持有期、推荐持有期、高波动资产及策略“积木块”的解释口径。</w:t>
      </w:r>
    </w:p>
    <w:p>
      <w:pPr>
        <w:pStyle w:val="Heading2"/>
        <w:keepNext/>
      </w:pPr>
      <w:r>
        <w:t>“拿得住”：客户陪伴与持有体验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陪伴从建仓期开始，提前说明正常净值波动，并在市场回撤和重大事件发生时及时沟通。最短持有期解锁前及推荐持有期内设置关键触点，持续对照实际表现与产品原定特征，再结合客户持有行为和渠道反馈优化后续服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3200"/>
        <w:gridCol w:w="2400"/>
        <w:gridCol w:w="3760"/>
      </w:tblGrid>
      <w:tr>
        <w:trPr>
          <w:cantSplit/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服务内容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常规频率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特殊触发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市场及资产配置观点</w:t>
            </w:r>
          </w:p>
        </w:tc>
        <w:tc>
          <w:tcPr>
            <w:tcW w:type="dxa" w:w="24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周度或月度</w:t>
            </w:r>
          </w:p>
        </w:tc>
        <w:tc>
          <w:tcPr>
            <w:tcW w:type="dxa" w:w="37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重大政策和市场变化</w:t>
            </w:r>
          </w:p>
        </w:tc>
      </w:tr>
      <w:tr>
        <w:tc>
          <w:tcPr>
            <w:tcW w:type="dxa" w:w="32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产品表现报告</w:t>
            </w:r>
          </w:p>
        </w:tc>
        <w:tc>
          <w:tcPr>
            <w:tcW w:type="dxa" w:w="24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月度或季度</w:t>
            </w:r>
          </w:p>
        </w:tc>
        <w:tc>
          <w:tcPr>
            <w:tcW w:type="dxa" w:w="37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净值或基准明显偏离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策略积木块归因</w:t>
            </w:r>
          </w:p>
        </w:tc>
        <w:tc>
          <w:tcPr>
            <w:tcW w:type="dxa" w:w="24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月度或季度</w:t>
            </w:r>
          </w:p>
        </w:tc>
        <w:tc>
          <w:tcPr>
            <w:tcW w:type="dxa" w:w="37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单一策略表现异常</w:t>
            </w:r>
          </w:p>
        </w:tc>
      </w:tr>
      <w:tr>
        <w:tc>
          <w:tcPr>
            <w:tcW w:type="dxa" w:w="32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渠道产品培训</w:t>
            </w:r>
          </w:p>
        </w:tc>
        <w:tc>
          <w:tcPr>
            <w:tcW w:type="dxa" w:w="24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发行前及定期</w:t>
            </w:r>
          </w:p>
        </w:tc>
        <w:tc>
          <w:tcPr>
            <w:tcW w:type="dxa" w:w="37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产品定位或市场特征变化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客户陪伴材料</w:t>
            </w:r>
          </w:p>
        </w:tc>
        <w:tc>
          <w:tcPr>
            <w:tcW w:type="dxa" w:w="24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持有期关键节点</w:t>
            </w:r>
          </w:p>
        </w:tc>
        <w:tc>
          <w:tcPr>
            <w:tcW w:type="dxa" w:w="37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净值回撤或波动明显放大</w:t>
            </w:r>
          </w:p>
        </w:tc>
      </w:tr>
      <w:tr>
        <w:tc>
          <w:tcPr>
            <w:tcW w:type="dxa" w:w="32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产品质量复盘</w:t>
            </w:r>
          </w:p>
        </w:tc>
        <w:tc>
          <w:tcPr>
            <w:tcW w:type="dxa" w:w="24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季度或半年度</w:t>
            </w:r>
          </w:p>
        </w:tc>
        <w:tc>
          <w:tcPr>
            <w:tcW w:type="dxa" w:w="37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产品特征持续偏离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2F8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2A7F8E"/>
                <w:sz w:val="22"/>
              </w:rPr>
              <w:t>合作主张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1D2733"/>
                <w:sz w:val="20"/>
              </w:rPr>
              <w:t>以产品矩阵为共同语言，以持有期数据为客户沟通依据，以积木块归因和质量控制保持产品特征稳定，形成发行人与渠道共同经营客户长期体验的合作模式。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附录一：内部素材及图表清单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000"/>
        <w:gridCol w:w="3600"/>
        <w:gridCol w:w="4760"/>
      </w:tblGrid>
      <w:tr>
        <w:trPr>
          <w:cantSplit/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统一口径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P-01</w:t>
            </w:r>
          </w:p>
        </w:tc>
        <w:tc>
          <w:tcPr>
            <w:tcW w:type="dxa" w:w="36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产品定位与公募FOF比较</w:t>
            </w:r>
          </w:p>
        </w:tc>
        <w:tc>
          <w:tcPr>
            <w:tcW w:type="dxa" w:w="47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突出场景和能力差异，避免绝对优劣</w:t>
            </w:r>
          </w:p>
        </w:tc>
      </w:tr>
      <w:tr>
        <w:tc>
          <w:tcPr>
            <w:tcW w:type="dxa" w:w="10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M-01</w:t>
            </w:r>
          </w:p>
        </w:tc>
        <w:tc>
          <w:tcPr>
            <w:tcW w:type="dxa" w:w="36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产品矩阵持有期测算</w:t>
            </w:r>
          </w:p>
        </w:tc>
        <w:tc>
          <w:tcPr>
            <w:tcW w:type="dxa" w:w="47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最短及推荐持有期、费用、样本和再平衡一致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C-01</w:t>
            </w:r>
          </w:p>
        </w:tc>
        <w:tc>
          <w:tcPr>
            <w:tcW w:type="dxa" w:w="36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六类产品案例卡</w:t>
            </w:r>
          </w:p>
        </w:tc>
        <w:tc>
          <w:tcPr>
            <w:tcW w:type="dxa" w:w="47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SAA、TAA、基准、费用和数据区间一致</w:t>
            </w:r>
          </w:p>
        </w:tc>
      </w:tr>
      <w:tr>
        <w:tc>
          <w:tcPr>
            <w:tcW w:type="dxa" w:w="10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A-01</w:t>
            </w:r>
          </w:p>
        </w:tc>
        <w:tc>
          <w:tcPr>
            <w:tcW w:type="dxa" w:w="36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量化＋主观决策案例</w:t>
            </w:r>
          </w:p>
        </w:tc>
        <w:tc>
          <w:tcPr>
            <w:tcW w:type="dxa" w:w="47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参数版本、修正依据、有效期和退出条件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B-01</w:t>
            </w:r>
          </w:p>
        </w:tc>
        <w:tc>
          <w:tcPr>
            <w:tcW w:type="dxa" w:w="36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统一分类和基金聚类</w:t>
            </w:r>
          </w:p>
        </w:tc>
        <w:tc>
          <w:tcPr>
            <w:tcW w:type="dxa" w:w="47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同观察期、同频率、费后净值和统一因子</w:t>
            </w:r>
          </w:p>
        </w:tc>
      </w:tr>
      <w:tr>
        <w:tc>
          <w:tcPr>
            <w:tcW w:type="dxa" w:w="10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FI-01</w:t>
            </w:r>
          </w:p>
        </w:tc>
        <w:tc>
          <w:tcPr>
            <w:tcW w:type="dxa" w:w="36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四类固收及转债专户</w:t>
            </w:r>
          </w:p>
        </w:tc>
        <w:tc>
          <w:tcPr>
            <w:tcW w:type="dxa" w:w="47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同策略、同区间、同费用和同基准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Q-01</w:t>
            </w:r>
          </w:p>
        </w:tc>
        <w:tc>
          <w:tcPr>
            <w:tcW w:type="dxa" w:w="36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质量控制图表</w:t>
            </w:r>
          </w:p>
        </w:tc>
        <w:tc>
          <w:tcPr>
            <w:tcW w:type="dxa" w:w="47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净值、基准、归因和实际投资账簿一致</w:t>
            </w:r>
          </w:p>
        </w:tc>
      </w:tr>
      <w:tr>
        <w:tc>
          <w:tcPr>
            <w:tcW w:type="dxa" w:w="10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D-01</w:t>
            </w:r>
          </w:p>
        </w:tc>
        <w:tc>
          <w:tcPr>
            <w:tcW w:type="dxa" w:w="36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动态调整案例</w:t>
            </w:r>
          </w:p>
        </w:tc>
        <w:tc>
          <w:tcPr>
            <w:tcW w:type="dxa" w:w="47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区分模型、主观修正、最终决策和执行结果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5F6B76"/>
          <w:sz w:val="18"/>
        </w:rPr>
        <w:t>内部图表对外使用前，应完成数据、投资、风险、产品和合规复核。历史、实盘、回测和模拟结果必须明确区分。</w:t>
      </w:r>
    </w:p>
    <w:p>
      <w:pPr>
        <w:pStyle w:val="Heading1"/>
        <w:keepNext/>
      </w:pPr>
      <w:r>
        <w:t>附录二：主要资料来源及说明</w:t>
      </w:r>
    </w:p>
    <w:p>
      <w:pPr>
        <w:spacing w:before="0" w:after="120" w:line="276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18"/>
        </w:rPr>
        <w:t>1.  中国证监会：《公开募集证券投资基金运作指引第2号——基金中基金指引》。</w:t>
      </w:r>
    </w:p>
    <w:p>
      <w:pPr>
        <w:spacing w:before="0" w:after="120" w:line="276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18"/>
        </w:rPr>
        <w:t>2.  国家金融监督管理总局及原中国银保监会：商业银行理财业务、理财公司销售及流动性风险管理相关制度。</w:t>
      </w:r>
    </w:p>
    <w:p>
      <w:pPr>
        <w:spacing w:before="0" w:after="120" w:line="276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18"/>
        </w:rPr>
        <w:t>3.  中国人民银行：《中国金融稳定报告》相关年度报告，用于历史市场情景说明。</w:t>
      </w:r>
    </w:p>
    <w:p>
      <w:pPr>
        <w:spacing w:before="0" w:after="120" w:line="276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18"/>
        </w:rPr>
        <w:t>4.  《泛FOF型多资产理财产品渠道路演报告V2.0框架》，2026年7月。</w:t>
      </w:r>
    </w:p>
    <w:p>
      <w:pPr>
        <w:spacing w:before="0" w:after="120" w:line="276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18"/>
        </w:rPr>
        <w:t>5.  现有内部基金与专户统一分类、策略聚类、典型组合回测、固收专户比较、质量控制及投资决策材料。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/>
          <w:color w:val="5F6B76"/>
          <w:sz w:val="18"/>
        </w:rPr>
        <w:t>数据使用说明：历史及模拟结果不代表未来表现；最终产品要素以正式审批文件、产品合同和销售文件为准。本材料不得替代适当性管理和风险揭示。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color w:val="5F6B76"/>
        <w:sz w:val="17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Microsoft YaHei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 w:eastAsia="Microsoft YaHei"/>
        <w:b/>
        <w:color w:val="5F6B76"/>
        <w:sz w:val="17"/>
      </w:rPr>
      <w:t>渠道路演材料  |  泛FOF型多资产理财产品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Arial" w:hAnsi="Arial" w:eastAsia="Microsoft YaHei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6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contextualSpacing/>
    </w:pPr>
    <w:rPr>
      <w:rFonts w:ascii="Arial" w:hAnsi="Arial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90" w:lineRule="auto"/>
      <w:contextualSpacing/>
    </w:pPr>
    <w:rPr>
      <w:rFonts w:ascii="Arial" w:hAnsi="Arial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contextualSpacing/>
    </w:pPr>
    <w:rPr>
      <w:rFonts w:ascii="Arial" w:hAnsi="Arial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泛FOF型多资产理财产品方案——渠道路演材料V2.0</dc:title>
  <dc:subject>面向银行渠道产品经理与销售经理的泛FOF产品方案</dc:subject>
  <dc:creator>产品规划项目组</dc:creator>
  <cp:keywords>泛FOF, 银行理财, 产品矩阵, SAA, TAA, 积木块, 渠道路演</cp:keywords>
  <dc:description>V2.0渠道交流稿；不含独立市场背景及持有期公开案例。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