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rFonts w:ascii="Arial" w:cs="Arial" w:eastAsia="Arial" w:hAnsi="Arial"/>
          <w:b/>
          <w:bCs/>
          <w:color w:val="1D1D1F"/>
          <w:sz w:val="56"/>
          <w:szCs w:val="56"/>
        </w:rPr>
        <w:t xml:space="preserve">NitNab</w:t>
      </w:r>
    </w:p>
    <w:p>
      <w:pPr>
        <w:spacing w:after="200"/>
        <w:jc w:val="center"/>
      </w:pPr>
      <w:r>
        <w:rPr>
          <w:rFonts w:ascii="Arial" w:cs="Arial" w:eastAsia="Arial" w:hAnsi="Arial"/>
          <w:color w:val="007AFF"/>
          <w:sz w:val="28"/>
          <w:szCs w:val="28"/>
        </w:rPr>
        <w:t xml:space="preserve">Liquid Glass Implementation Plan</w:t>
      </w:r>
    </w:p>
    <w:p>
      <w:pPr>
        <w:spacing w:after="120"/>
        <w:jc w:val="center"/>
      </w:pPr>
      <w:r>
        <w:rPr>
          <w:rFonts w:ascii="Arial" w:cs="Arial" w:eastAsia="Arial" w:hAnsi="Arial"/>
          <w:color w:val="86868B"/>
          <w:sz w:val="20"/>
          <w:szCs w:val="20"/>
        </w:rPr>
        <w:t xml:space="preserve">Direction 05 — Contextual Tint System with Liquid Glass Material</w:t>
      </w:r>
    </w:p>
    <w:p>
      <w:pPr>
        <w:spacing w:before="600"/>
        <w:jc w:val="center"/>
      </w:pPr>
      <w:r>
        <w:rPr>
          <w:rFonts w:ascii="Arial" w:cs="Arial" w:eastAsia="Arial" w:hAnsi="Arial"/>
          <w:color w:val="86868B"/>
          <w:sz w:val="18"/>
          <w:szCs w:val="18"/>
        </w:rPr>
        <w:t xml:space="preserve">Prepared by Deloitte Digital</w:t>
      </w:r>
    </w:p>
    <w:p>
      <w:pPr>
        <w:jc w:val="center"/>
      </w:pPr>
      <w:r>
        <w:rPr>
          <w:rFonts w:ascii="Arial" w:cs="Arial" w:eastAsia="Arial" w:hAnsi="Arial"/>
          <w:color w:val="86868B"/>
          <w:sz w:val="18"/>
          <w:szCs w:val="18"/>
        </w:rPr>
        <w:t xml:space="preserve">Under Apple Design Leadership</w:t>
      </w:r>
    </w:p>
    <w:p>
      <w:pPr>
        <w:spacing w:before="200"/>
        <w:jc w:val="center"/>
      </w:pPr>
      <w:r>
        <w:rPr>
          <w:rFonts w:ascii="Arial" w:cs="Arial" w:eastAsia="Arial" w:hAnsi="Arial"/>
          <w:color w:val="86868B"/>
          <w:sz w:val="18"/>
          <w:szCs w:val="18"/>
        </w:rPr>
        <w:t xml:space="preserve">February 26, 2026</w:t>
      </w:r>
    </w:p>
    <w:p>
      <w:pPr>
        <w:spacing w:before="600"/>
        <w:jc w:val="center"/>
      </w:pPr>
      <w:r>
        <w:rPr>
          <w:rFonts w:ascii="Arial" w:cs="Arial" w:eastAsia="Arial" w:hAnsi="Arial"/>
          <w:color w:val="AEAEB2"/>
          <w:sz w:val="16"/>
          <w:szCs w:val="16"/>
        </w:rPr>
        <w:t xml:space="preserve">macOS Tahoe 26  ·  Apple Intelligence  ·  100% On-Device</w:t>
      </w:r>
    </w:p>
    <w:p>
      <w:r>
        <w:br w:type="page"/>
      </w:r>
    </w:p>
    <w:p>
      <w:pPr>
        <w:pStyle w:val="Heading1"/>
      </w:pPr>
      <w:r>
        <w:t xml:space="preserve">Executive Summary</w:t>
      </w:r>
    </w:p>
    <w:p>
      <w:pPr>
        <w:spacing w:after="160"/>
      </w:pPr>
      <w:r>
        <w:rPr>
          <w:sz w:val="21"/>
          <w:szCs w:val="21"/>
        </w:rPr>
        <w:t xml:space="preserve">This document outlines the full implementation plan for applying the Liquid Glass brand direction (Direction 05) to NitNab, a privacy-first, on-device transcription app for macOS Tahoe 26+. The plan covers design token creation, view-by-view implementation, testing strategy, timeline, and risk management.</w:t>
      </w:r>
    </w:p>
    <w:p>
      <w:pPr>
        <w:spacing w:after="120"/>
      </w:pPr>
      <w:r>
        <w:rPr>
          <w:sz w:val="21"/>
          <w:szCs w:val="21"/>
        </w:rPr>
        <w:t xml:space="preserve">The Liquid Glass direction uses macOS Tahoe’s translucent material system with a contextual tint approach. Each functional area of the app receives its own Apple system color identity: Transcript (.blue), Summary (.indigo), Chat (.purple), Privacy (.green), and Audio (.orange). All implementation uses pure Apple platform APIs with zero custom colors, zero custom fonts, and zero asset catalogs.</w:t>
      </w:r>
    </w:p>
    <w:p>
      <w:pPr>
        <w:pStyle w:val="Heading1"/>
      </w:pPr>
      <w:r>
        <w:t xml:space="preserve">Phase 1: Foundation (Week 1–2)</w:t>
      </w:r>
    </w:p>
    <w:p>
      <w:pPr>
        <w:pStyle w:val="Heading2"/>
      </w:pPr>
      <w:r>
        <w:t xml:space="preserve">1.1 Design Token Layer</w:t>
      </w:r>
    </w:p>
    <w:p>
      <w:pPr>
        <w:pStyle w:val="ListParagraph"/>
        <w:numPr>
          <w:ilvl w:val="0"/>
          <w:numId w:val="2"/>
        </w:numPr>
      </w:pPr>
      <w:r>
        <w:rPr>
          <w:sz w:val="21"/>
          <w:szCs w:val="21"/>
        </w:rPr>
        <w:t xml:space="preserve">Create NitNabTokens.swift with spacing (4pt–64pt), radius (8pt–980pt), and tint enums</w:t>
      </w:r>
    </w:p>
    <w:p>
      <w:pPr>
        <w:pStyle w:val="ListParagraph"/>
        <w:numPr>
          <w:ilvl w:val="0"/>
          <w:numId w:val="2"/>
        </w:numPr>
      </w:pPr>
      <w:r>
        <w:rPr>
          <w:sz w:val="21"/>
          <w:szCs w:val="21"/>
        </w:rPr>
        <w:t xml:space="preserve">Define NitNabContext enum mapping tabs to Apple system colors</w:t>
      </w:r>
    </w:p>
    <w:p>
      <w:pPr>
        <w:pStyle w:val="ListParagraph"/>
        <w:numPr>
          <w:ilvl w:val="0"/>
          <w:numId w:val="2"/>
        </w:numPr>
      </w:pPr>
      <w:r>
        <w:rPr>
          <w:sz w:val="21"/>
          <w:szCs w:val="21"/>
        </w:rPr>
        <w:t xml:space="preserve">Create GlassModifier ViewModifier wrapping .glassEffect(in: .rect(cornerRadius: 16))</w:t>
      </w:r>
    </w:p>
    <w:p>
      <w:pPr>
        <w:pStyle w:val="ListParagraph"/>
        <w:numPr>
          <w:ilvl w:val="0"/>
          <w:numId w:val="2"/>
        </w:numPr>
      </w:pPr>
      <w:r>
        <w:rPr>
          <w:sz w:val="21"/>
          <w:szCs w:val="21"/>
        </w:rPr>
        <w:t xml:space="preserve">Establish NitNabTint environment key for contextual tinting across the view hierarchy</w:t>
      </w:r>
    </w:p>
    <w:p>
      <w:pPr>
        <w:pStyle w:val="Heading2"/>
      </w:pPr>
      <w:r>
        <w:t xml:space="preserve">1.2 App Shell Updates</w:t>
      </w:r>
    </w:p>
    <w:p>
      <w:pPr>
        <w:pStyle w:val="ListParagraph"/>
        <w:numPr>
          <w:ilvl w:val="0"/>
          <w:numId w:val="2"/>
        </w:numPr>
      </w:pPr>
      <w:r>
        <w:rPr>
          <w:sz w:val="21"/>
          <w:szCs w:val="21"/>
        </w:rPr>
        <w:t xml:space="preserve">Update NitNabApp.swift to inject contextual tint environment at WindowGroup level</w:t>
      </w:r>
    </w:p>
    <w:p>
      <w:pPr>
        <w:pStyle w:val="ListParagraph"/>
        <w:numPr>
          <w:ilvl w:val="0"/>
          <w:numId w:val="2"/>
        </w:numPr>
      </w:pPr>
      <w:r>
        <w:rPr>
          <w:sz w:val="21"/>
          <w:szCs w:val="21"/>
        </w:rPr>
        <w:t xml:space="preserve">Apply .glassEffect() to main window container</w:t>
      </w:r>
    </w:p>
    <w:p>
      <w:pPr>
        <w:pStyle w:val="ListParagraph"/>
        <w:numPr>
          <w:ilvl w:val="0"/>
          <w:numId w:val="2"/>
        </w:numPr>
      </w:pPr>
      <w:r>
        <w:rPr>
          <w:sz w:val="21"/>
          <w:szCs w:val="21"/>
        </w:rPr>
        <w:t xml:space="preserve">Configure sidebar width to 240pt default per HIG</w:t>
      </w:r>
    </w:p>
    <w:p>
      <w:pPr>
        <w:pStyle w:val="Heading2"/>
      </w:pPr>
      <w:r>
        <w:t xml:space="preserve">1.3 Typography Audit</w:t>
      </w:r>
    </w:p>
    <w:p>
      <w:pPr>
        <w:pStyle w:val="ListParagraph"/>
        <w:numPr>
          <w:ilvl w:val="0"/>
          <w:numId w:val="2"/>
        </w:numPr>
      </w:pPr>
      <w:r>
        <w:rPr>
          <w:sz w:val="21"/>
          <w:szCs w:val="21"/>
        </w:rPr>
        <w:t xml:space="preserve">Audit all 12 view files for hardcoded font sizes and replace with Dynamic Type tokens</w:t>
      </w:r>
    </w:p>
    <w:p>
      <w:pPr>
        <w:pStyle w:val="ListParagraph"/>
        <w:numPr>
          <w:ilvl w:val="0"/>
          <w:numId w:val="2"/>
        </w:numPr>
      </w:pPr>
      <w:r>
        <w:rPr>
          <w:sz w:val="21"/>
          <w:szCs w:val="21"/>
        </w:rPr>
        <w:t xml:space="preserve">Verify all text supports Dynamic Type accessibility scaling at all 7 size categories</w:t>
      </w:r>
    </w:p>
    <w:p>
      <w:pPr>
        <w:pStyle w:val="Heading1"/>
      </w:pPr>
      <w:r>
        <w:t xml:space="preserve">Phase 2: Core Views (Week 3–4)</w:t>
      </w:r>
    </w:p>
    <w:p>
      <w:pPr>
        <w:pStyle w:val="Heading2"/>
      </w:pPr>
      <w:r>
        <w:t xml:space="preserve">2.1 ContentView + Tab Switching</w:t>
      </w:r>
    </w:p>
    <w:p>
      <w:pPr>
        <w:pStyle w:val="ListParagraph"/>
        <w:numPr>
          <w:ilvl w:val="0"/>
          <w:numId w:val="2"/>
        </w:numPr>
      </w:pPr>
      <w:r>
        <w:rPr>
          <w:sz w:val="21"/>
          <w:szCs w:val="21"/>
        </w:rPr>
        <w:t xml:space="preserve">Apply glass material to main container and implement tab-aware contextual tint switching</w:t>
      </w:r>
    </w:p>
    <w:p>
      <w:pPr>
        <w:pStyle w:val="ListParagraph"/>
        <w:numPr>
          <w:ilvl w:val="0"/>
          <w:numId w:val="2"/>
        </w:numPr>
      </w:pPr>
      <w:r>
        <w:rPr>
          <w:sz w:val="21"/>
          <w:szCs w:val="21"/>
        </w:rPr>
        <w:t xml:space="preserve">Replace Color(nsColor: .controlBackgroundColor) with system semantic colors throughout</w:t>
      </w:r>
    </w:p>
    <w:p>
      <w:pPr>
        <w:pStyle w:val="ListParagraph"/>
        <w:numPr>
          <w:ilvl w:val="0"/>
          <w:numId w:val="2"/>
        </w:numPr>
      </w:pPr>
      <w:r>
        <w:rPr>
          <w:sz w:val="21"/>
          <w:szCs w:val="21"/>
        </w:rPr>
        <w:t xml:space="preserve">Add .clipShape(.rect(cornerRadius: 16, style: .continuous)) to all panels</w:t>
      </w:r>
    </w:p>
    <w:p>
      <w:pPr>
        <w:pStyle w:val="Heading2"/>
      </w:pPr>
      <w:r>
        <w:t xml:space="preserve">2.2 StandardView + AdvancedView</w:t>
      </w:r>
    </w:p>
    <w:p>
      <w:pPr>
        <w:spacing w:after="80"/>
      </w:pPr>
      <w:r>
        <w:rPr>
          <w:sz w:val="21"/>
          <w:szCs w:val="21"/>
        </w:rPr>
        <w:t xml:space="preserve">Apply contextual tints per functional area: .blue (transcript), .indigo (summary), .purple (chat), .green (privacy), .orange (audio). Add glass material to all card containers.</w:t>
      </w:r>
    </w:p>
    <w:p>
      <w:pPr>
        <w:pStyle w:val="Heading2"/>
      </w:pPr>
      <w:r>
        <w:t xml:space="preserve">2.3 DropZoneView, TranscriptView, FileListView</w:t>
      </w:r>
    </w:p>
    <w:p>
      <w:pPr>
        <w:spacing w:after="80"/>
      </w:pPr>
      <w:r>
        <w:rPr>
          <w:sz w:val="21"/>
          <w:szCs w:val="21"/>
        </w:rPr>
        <w:t xml:space="preserve">Redesign with glass material, animate tint on file hover (.orange for audio context), apply 16pt continuous corners, glass inner surfaces for accepted files, blue tint context on transcript, 12pt continuous corners on file list rows.</w:t>
      </w:r>
    </w:p>
    <w:p>
      <w:pPr>
        <w:pStyle w:val="Heading1"/>
      </w:pPr>
      <w:r>
        <w:t xml:space="preserve">Phase 3: Supporting Views (Week 5–6)</w:t>
      </w:r>
    </w:p>
    <w:p>
      <w:pPr>
        <w:pStyle w:val="ListParagraph"/>
        <w:numPr>
          <w:ilvl w:val="0"/>
          <w:numId w:val="2"/>
        </w:numPr>
      </w:pPr>
      <w:r>
        <w:rPr>
          <w:sz w:val="21"/>
          <w:szCs w:val="21"/>
        </w:rPr>
        <w:t xml:space="preserve">HeaderView: Glass toolbar background, contextual tint for active tab, 52pt toolbar height, pill controls</w:t>
      </w:r>
    </w:p>
    <w:p>
      <w:pPr>
        <w:pStyle w:val="ListParagraph"/>
        <w:numPr>
          <w:ilvl w:val="0"/>
          <w:numId w:val="2"/>
        </w:numPr>
      </w:pPr>
      <w:r>
        <w:rPr>
          <w:sz w:val="21"/>
          <w:szCs w:val="21"/>
        </w:rPr>
        <w:t xml:space="preserve">SettingsView + MemoriesSettingsView: Standard grouped list styling, 20pt card padding</w:t>
      </w:r>
    </w:p>
    <w:p>
      <w:pPr>
        <w:pStyle w:val="ListParagraph"/>
        <w:numPr>
          <w:ilvl w:val="0"/>
          <w:numId w:val="2"/>
        </w:numPr>
      </w:pPr>
      <w:r>
        <w:rPr>
          <w:sz w:val="21"/>
          <w:szCs w:val="21"/>
        </w:rPr>
        <w:t xml:space="preserve">TagCloudView + CompanyPickerSheet: Pill tags (8pt), glass sheet (22pt continuous corners)</w:t>
      </w:r>
    </w:p>
    <w:p>
      <w:pPr>
        <w:pStyle w:val="ListParagraph"/>
        <w:numPr>
          <w:ilvl w:val="0"/>
          <w:numId w:val="2"/>
        </w:numPr>
      </w:pPr>
      <w:r>
        <w:rPr>
          <w:sz w:val="21"/>
          <w:szCs w:val="21"/>
        </w:rPr>
        <w:t xml:space="preserve">SearchBarView: Glass background, 8pt spacing grid compliance</w:t>
      </w:r>
    </w:p>
    <w:p>
      <w:pPr>
        <w:pStyle w:val="Heading1"/>
      </w:pPr>
      <w:r>
        <w:t xml:space="preserve">Phase 4: Polish &amp; QA (Week 7–8)</w:t>
      </w:r>
    </w:p>
    <w:p>
      <w:pPr>
        <w:pStyle w:val="ListParagraph"/>
        <w:numPr>
          <w:ilvl w:val="0"/>
          <w:numId w:val="2"/>
        </w:numPr>
      </w:pPr>
      <w:r>
        <w:rPr>
          <w:sz w:val="21"/>
          <w:szCs w:val="21"/>
        </w:rPr>
        <w:t xml:space="preserve">Light/Dark appearance audit: Verify all glass materials in both modes, validate WCAG AA contrast ratios</w:t>
      </w:r>
    </w:p>
    <w:p>
      <w:pPr>
        <w:pStyle w:val="ListParagraph"/>
        <w:numPr>
          <w:ilvl w:val="0"/>
          <w:numId w:val="2"/>
        </w:numPr>
      </w:pPr>
      <w:r>
        <w:rPr>
          <w:sz w:val="21"/>
          <w:szCs w:val="21"/>
        </w:rPr>
        <w:t xml:space="preserve">Dynamic Type testing: All 11 text styles at all sizes, layout integrity at largest sizes</w:t>
      </w:r>
    </w:p>
    <w:p>
      <w:pPr>
        <w:pStyle w:val="ListParagraph"/>
        <w:numPr>
          <w:ilvl w:val="0"/>
          <w:numId w:val="2"/>
        </w:numPr>
      </w:pPr>
      <w:r>
        <w:rPr>
          <w:sz w:val="21"/>
          <w:szCs w:val="21"/>
        </w:rPr>
        <w:t xml:space="preserve">Animation: Smooth tint transitions between tabs, glass material fade-in, Reduce Motion compliance</w:t>
      </w:r>
    </w:p>
    <w:p>
      <w:pPr>
        <w:pStyle w:val="ListParagraph"/>
        <w:numPr>
          <w:ilvl w:val="0"/>
          <w:numId w:val="2"/>
        </w:numPr>
      </w:pPr>
      <w:r>
        <w:rPr>
          <w:sz w:val="21"/>
          <w:szCs w:val="21"/>
        </w:rPr>
        <w:t xml:space="preserve">Performance: Profile .glassEffect() GPU impact, backdrop blur at 40pt, minimum-spec hardware testing</w:t>
      </w:r>
    </w:p>
    <w:p>
      <w:pPr>
        <w:pStyle w:val="ListParagraph"/>
        <w:numPr>
          <w:ilvl w:val="0"/>
          <w:numId w:val="2"/>
        </w:numPr>
      </w:pPr>
      <w:r>
        <w:rPr>
          <w:sz w:val="21"/>
          <w:szCs w:val="21"/>
        </w:rPr>
        <w:t xml:space="preserve">Screenshot-based visual regression testing against brand kit PDF</w:t>
      </w:r>
    </w:p>
    <w:p>
      <w:r>
        <w:br w:type="page"/>
      </w:r>
    </w:p>
    <w:p>
      <w:pPr>
        <w:pStyle w:val="Heading1"/>
      </w:pPr>
      <w:r>
        <w:t xml:space="preserve">Risk Register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1100"/>
        <w:gridCol w:w="1100"/>
        <w:gridCol w:w="5080"/>
      </w:tblGrid>
      <w:tr>
        <w:tc>
          <w:tcPr>
            <w:tcW w:type="dxa" w:w="2800"/>
            <w:tcBorders>
              <w:top w:val="single" w:color="D2D2D7" w:sz="1"/>
              <w:left w:val="single" w:color="D2D2D7" w:sz="1"/>
              <w:bottom w:val="single" w:color="D2D2D7" w:sz="1"/>
              <w:right w:val="single" w:color="D2D2D7" w:sz="1"/>
            </w:tcBorders>
            <w:shd w:fill="F2F2F7" w:val="clear"/>
            <w:tcMar>
              <w:top w:type="dxa" w:w="60"/>
              <w:left w:type="dxa" w:w="100"/>
              <w:bottom w:type="dxa" w:w="60"/>
              <w:right w:type="dxa" w:w="100"/>
            </w:tcMar>
          </w:tcPr>
          <w:p>
            <w:r>
              <w:rPr>
                <w:rFonts w:ascii="Arial" w:cs="Arial" w:eastAsia="Arial" w:hAnsi="Arial"/>
                <w:b/>
                <w:bCs/>
                <w:color w:val="86868B"/>
                <w:sz w:val="16"/>
                <w:szCs w:val="16"/>
              </w:rPr>
              <w:t xml:space="preserve">Risk</w:t>
            </w:r>
          </w:p>
        </w:tc>
        <w:tc>
          <w:tcPr>
            <w:tcW w:type="dxa" w:w="1100"/>
            <w:tcBorders>
              <w:top w:val="single" w:color="D2D2D7" w:sz="1"/>
              <w:left w:val="single" w:color="D2D2D7" w:sz="1"/>
              <w:bottom w:val="single" w:color="D2D2D7" w:sz="1"/>
              <w:right w:val="single" w:color="D2D2D7" w:sz="1"/>
            </w:tcBorders>
            <w:shd w:fill="F2F2F7" w:val="clear"/>
            <w:tcMar>
              <w:top w:type="dxa" w:w="60"/>
              <w:left w:type="dxa" w:w="100"/>
              <w:bottom w:type="dxa" w:w="60"/>
              <w:right w:type="dxa" w:w="100"/>
            </w:tcMar>
          </w:tcPr>
          <w:p>
            <w:r>
              <w:rPr>
                <w:rFonts w:ascii="Arial" w:cs="Arial" w:eastAsia="Arial" w:hAnsi="Arial"/>
                <w:b/>
                <w:bCs/>
                <w:color w:val="86868B"/>
                <w:sz w:val="16"/>
                <w:szCs w:val="16"/>
              </w:rPr>
              <w:t xml:space="preserve">Likelihood</w:t>
            </w:r>
          </w:p>
        </w:tc>
        <w:tc>
          <w:tcPr>
            <w:tcW w:type="dxa" w:w="1100"/>
            <w:tcBorders>
              <w:top w:val="single" w:color="D2D2D7" w:sz="1"/>
              <w:left w:val="single" w:color="D2D2D7" w:sz="1"/>
              <w:bottom w:val="single" w:color="D2D2D7" w:sz="1"/>
              <w:right w:val="single" w:color="D2D2D7" w:sz="1"/>
            </w:tcBorders>
            <w:shd w:fill="F2F2F7" w:val="clear"/>
            <w:tcMar>
              <w:top w:type="dxa" w:w="60"/>
              <w:left w:type="dxa" w:w="100"/>
              <w:bottom w:type="dxa" w:w="60"/>
              <w:right w:type="dxa" w:w="100"/>
            </w:tcMar>
          </w:tcPr>
          <w:p>
            <w:r>
              <w:rPr>
                <w:rFonts w:ascii="Arial" w:cs="Arial" w:eastAsia="Arial" w:hAnsi="Arial"/>
                <w:b/>
                <w:bCs/>
                <w:color w:val="86868B"/>
                <w:sz w:val="16"/>
                <w:szCs w:val="16"/>
              </w:rPr>
              <w:t xml:space="preserve">Impact</w:t>
            </w:r>
          </w:p>
        </w:tc>
        <w:tc>
          <w:tcPr>
            <w:tcW w:type="dxa" w:w="5080"/>
            <w:tcBorders>
              <w:top w:val="single" w:color="D2D2D7" w:sz="1"/>
              <w:left w:val="single" w:color="D2D2D7" w:sz="1"/>
              <w:bottom w:val="single" w:color="D2D2D7" w:sz="1"/>
              <w:right w:val="single" w:color="D2D2D7" w:sz="1"/>
            </w:tcBorders>
            <w:shd w:fill="F2F2F7" w:val="clear"/>
            <w:tcMar>
              <w:top w:type="dxa" w:w="60"/>
              <w:left w:type="dxa" w:w="100"/>
              <w:bottom w:type="dxa" w:w="60"/>
              <w:right w:type="dxa" w:w="100"/>
            </w:tcMar>
          </w:tcPr>
          <w:p>
            <w:r>
              <w:rPr>
                <w:rFonts w:ascii="Arial" w:cs="Arial" w:eastAsia="Arial" w:hAnsi="Arial"/>
                <w:b/>
                <w:bCs/>
                <w:color w:val="86868B"/>
                <w:sz w:val="16"/>
                <w:szCs w:val="16"/>
              </w:rPr>
              <w:t xml:space="preserve">Mitigation</w:t>
            </w:r>
          </w:p>
        </w:tc>
      </w:tr>
      <w:tr>
        <w:tc>
          <w:tcPr>
            <w:tcW w:type="dxa" w:w="2800"/>
            <w:tcBorders>
              <w:top w:val="single" w:color="D2D2D7" w:sz="1"/>
              <w:left w:val="single" w:color="D2D2D7" w:sz="1"/>
              <w:bottom w:val="single" w:color="D2D2D7" w:sz="1"/>
              <w:right w:val="single" w:color="D2D2D7" w:sz="1"/>
            </w:tcBorders>
            <w:tcMar>
              <w:top w:type="dxa" w:w="60"/>
              <w:left w:type="dxa" w:w="100"/>
              <w:bottom w:type="dxa" w:w="60"/>
              <w:right w:type="dxa" w:w="100"/>
            </w:tcMar>
          </w:tcPr>
          <w:p>
            <w:r>
              <w:rPr>
                <w:rFonts w:ascii="Arial" w:cs="Arial" w:eastAsia="Arial" w:hAnsi="Arial"/>
                <w:color w:val="1D1D1F"/>
                <w:sz w:val="17"/>
                <w:szCs w:val="17"/>
              </w:rPr>
              <w:t xml:space="preserve">.glassEffect() performance on older Apple Silicon</w:t>
            </w:r>
          </w:p>
        </w:tc>
        <w:tc>
          <w:tcPr>
            <w:tcW w:type="dxa" w:w="1100"/>
            <w:tcBorders>
              <w:top w:val="single" w:color="D2D2D7" w:sz="1"/>
              <w:left w:val="single" w:color="D2D2D7" w:sz="1"/>
              <w:bottom w:val="single" w:color="D2D2D7" w:sz="1"/>
              <w:right w:val="single" w:color="D2D2D7" w:sz="1"/>
            </w:tcBorders>
            <w:tcMar>
              <w:top w:type="dxa" w:w="60"/>
              <w:left w:type="dxa" w:w="100"/>
              <w:bottom w:type="dxa" w:w="60"/>
              <w:right w:type="dxa" w:w="100"/>
            </w:tcMar>
          </w:tcPr>
          <w:p>
            <w:r>
              <w:rPr>
                <w:rFonts w:ascii="Arial" w:cs="Arial" w:eastAsia="Arial" w:hAnsi="Arial"/>
                <w:color w:val="1D1D1F"/>
                <w:sz w:val="17"/>
                <w:szCs w:val="17"/>
              </w:rPr>
              <w:t xml:space="preserve">Medium</w:t>
            </w:r>
          </w:p>
        </w:tc>
        <w:tc>
          <w:tcPr>
            <w:tcW w:type="dxa" w:w="1100"/>
            <w:tcBorders>
              <w:top w:val="single" w:color="D2D2D7" w:sz="1"/>
              <w:left w:val="single" w:color="D2D2D7" w:sz="1"/>
              <w:bottom w:val="single" w:color="D2D2D7" w:sz="1"/>
              <w:right w:val="single" w:color="D2D2D7" w:sz="1"/>
            </w:tcBorders>
            <w:tcMar>
              <w:top w:type="dxa" w:w="60"/>
              <w:left w:type="dxa" w:w="100"/>
              <w:bottom w:type="dxa" w:w="60"/>
              <w:right w:type="dxa" w:w="100"/>
            </w:tcMar>
          </w:tcPr>
          <w:p>
            <w:r>
              <w:rPr>
                <w:rFonts w:ascii="Arial" w:cs="Arial" w:eastAsia="Arial" w:hAnsi="Arial"/>
                <w:color w:val="1D1D1F"/>
                <w:sz w:val="17"/>
                <w:szCs w:val="17"/>
              </w:rPr>
              <w:t xml:space="preserve">High</w:t>
            </w:r>
          </w:p>
        </w:tc>
        <w:tc>
          <w:tcPr>
            <w:tcW w:type="dxa" w:w="5080"/>
            <w:tcBorders>
              <w:top w:val="single" w:color="D2D2D7" w:sz="1"/>
              <w:left w:val="single" w:color="D2D2D7" w:sz="1"/>
              <w:bottom w:val="single" w:color="D2D2D7" w:sz="1"/>
              <w:right w:val="single" w:color="D2D2D7" w:sz="1"/>
            </w:tcBorders>
            <w:tcMar>
              <w:top w:type="dxa" w:w="60"/>
              <w:left w:type="dxa" w:w="100"/>
              <w:bottom w:type="dxa" w:w="60"/>
              <w:right w:type="dxa" w:w="100"/>
            </w:tcMar>
          </w:tcPr>
          <w:p>
            <w:r>
              <w:rPr>
                <w:rFonts w:ascii="Arial" w:cs="Arial" w:eastAsia="Arial" w:hAnsi="Arial"/>
                <w:color w:val="1D1D1F"/>
                <w:sz w:val="17"/>
                <w:szCs w:val="17"/>
              </w:rPr>
              <w:t xml:space="preserve">Profile early in Phase 1; provide opaque fallback path</w:t>
            </w:r>
          </w:p>
        </w:tc>
      </w:tr>
      <w:tr>
        <w:tc>
          <w:tcPr>
            <w:tcW w:type="dxa" w:w="2800"/>
            <w:tcBorders>
              <w:top w:val="single" w:color="D2D2D7" w:sz="1"/>
              <w:left w:val="single" w:color="D2D2D7" w:sz="1"/>
              <w:bottom w:val="single" w:color="D2D2D7" w:sz="1"/>
              <w:right w:val="single" w:color="D2D2D7" w:sz="1"/>
            </w:tcBorders>
            <w:tcMar>
              <w:top w:type="dxa" w:w="60"/>
              <w:left w:type="dxa" w:w="100"/>
              <w:bottom w:type="dxa" w:w="60"/>
              <w:right w:type="dxa" w:w="100"/>
            </w:tcMar>
          </w:tcPr>
          <w:p>
            <w:r>
              <w:rPr>
                <w:rFonts w:ascii="Arial" w:cs="Arial" w:eastAsia="Arial" w:hAnsi="Arial"/>
                <w:color w:val="1D1D1F"/>
                <w:sz w:val="17"/>
                <w:szCs w:val="17"/>
              </w:rPr>
              <w:t xml:space="preserve">Liquid Glass API changes in Tahoe beta</w:t>
            </w:r>
          </w:p>
        </w:tc>
        <w:tc>
          <w:tcPr>
            <w:tcW w:type="dxa" w:w="1100"/>
            <w:tcBorders>
              <w:top w:val="single" w:color="D2D2D7" w:sz="1"/>
              <w:left w:val="single" w:color="D2D2D7" w:sz="1"/>
              <w:bottom w:val="single" w:color="D2D2D7" w:sz="1"/>
              <w:right w:val="single" w:color="D2D2D7" w:sz="1"/>
            </w:tcBorders>
            <w:tcMar>
              <w:top w:type="dxa" w:w="60"/>
              <w:left w:type="dxa" w:w="100"/>
              <w:bottom w:type="dxa" w:w="60"/>
              <w:right w:type="dxa" w:w="100"/>
            </w:tcMar>
          </w:tcPr>
          <w:p>
            <w:r>
              <w:rPr>
                <w:rFonts w:ascii="Arial" w:cs="Arial" w:eastAsia="Arial" w:hAnsi="Arial"/>
                <w:color w:val="1D1D1F"/>
                <w:sz w:val="17"/>
                <w:szCs w:val="17"/>
              </w:rPr>
              <w:t xml:space="preserve">Low</w:t>
            </w:r>
          </w:p>
        </w:tc>
        <w:tc>
          <w:tcPr>
            <w:tcW w:type="dxa" w:w="1100"/>
            <w:tcBorders>
              <w:top w:val="single" w:color="D2D2D7" w:sz="1"/>
              <w:left w:val="single" w:color="D2D2D7" w:sz="1"/>
              <w:bottom w:val="single" w:color="D2D2D7" w:sz="1"/>
              <w:right w:val="single" w:color="D2D2D7" w:sz="1"/>
            </w:tcBorders>
            <w:tcMar>
              <w:top w:type="dxa" w:w="60"/>
              <w:left w:type="dxa" w:w="100"/>
              <w:bottom w:type="dxa" w:w="60"/>
              <w:right w:type="dxa" w:w="100"/>
            </w:tcMar>
          </w:tcPr>
          <w:p>
            <w:r>
              <w:rPr>
                <w:rFonts w:ascii="Arial" w:cs="Arial" w:eastAsia="Arial" w:hAnsi="Arial"/>
                <w:color w:val="1D1D1F"/>
                <w:sz w:val="17"/>
                <w:szCs w:val="17"/>
              </w:rPr>
              <w:t xml:space="preserve">High</w:t>
            </w:r>
          </w:p>
        </w:tc>
        <w:tc>
          <w:tcPr>
            <w:tcW w:type="dxa" w:w="5080"/>
            <w:tcBorders>
              <w:top w:val="single" w:color="D2D2D7" w:sz="1"/>
              <w:left w:val="single" w:color="D2D2D7" w:sz="1"/>
              <w:bottom w:val="single" w:color="D2D2D7" w:sz="1"/>
              <w:right w:val="single" w:color="D2D2D7" w:sz="1"/>
            </w:tcBorders>
            <w:tcMar>
              <w:top w:type="dxa" w:w="60"/>
              <w:left w:type="dxa" w:w="100"/>
              <w:bottom w:type="dxa" w:w="60"/>
              <w:right w:type="dxa" w:w="100"/>
            </w:tcMar>
          </w:tcPr>
          <w:p>
            <w:r>
              <w:rPr>
                <w:rFonts w:ascii="Arial" w:cs="Arial" w:eastAsia="Arial" w:hAnsi="Arial"/>
                <w:color w:val="1D1D1F"/>
                <w:sz w:val="17"/>
                <w:szCs w:val="17"/>
              </w:rPr>
              <w:t xml:space="preserve">Pin to stable API surface; monitor WWDC sessions</w:t>
            </w:r>
          </w:p>
        </w:tc>
      </w:tr>
      <w:tr>
        <w:tc>
          <w:tcPr>
            <w:tcW w:type="dxa" w:w="2800"/>
            <w:tcBorders>
              <w:top w:val="single" w:color="D2D2D7" w:sz="1"/>
              <w:left w:val="single" w:color="D2D2D7" w:sz="1"/>
              <w:bottom w:val="single" w:color="D2D2D7" w:sz="1"/>
              <w:right w:val="single" w:color="D2D2D7" w:sz="1"/>
            </w:tcBorders>
            <w:tcMar>
              <w:top w:type="dxa" w:w="60"/>
              <w:left w:type="dxa" w:w="100"/>
              <w:bottom w:type="dxa" w:w="60"/>
              <w:right w:type="dxa" w:w="100"/>
            </w:tcMar>
          </w:tcPr>
          <w:p>
            <w:r>
              <w:rPr>
                <w:rFonts w:ascii="Arial" w:cs="Arial" w:eastAsia="Arial" w:hAnsi="Arial"/>
                <w:color w:val="1D1D1F"/>
                <w:sz w:val="17"/>
                <w:szCs w:val="17"/>
              </w:rPr>
              <w:t xml:space="preserve">Dynamic Type breaks glass layouts</w:t>
            </w:r>
          </w:p>
        </w:tc>
        <w:tc>
          <w:tcPr>
            <w:tcW w:type="dxa" w:w="1100"/>
            <w:tcBorders>
              <w:top w:val="single" w:color="D2D2D7" w:sz="1"/>
              <w:left w:val="single" w:color="D2D2D7" w:sz="1"/>
              <w:bottom w:val="single" w:color="D2D2D7" w:sz="1"/>
              <w:right w:val="single" w:color="D2D2D7" w:sz="1"/>
            </w:tcBorders>
            <w:tcMar>
              <w:top w:type="dxa" w:w="60"/>
              <w:left w:type="dxa" w:w="100"/>
              <w:bottom w:type="dxa" w:w="60"/>
              <w:right w:type="dxa" w:w="100"/>
            </w:tcMar>
          </w:tcPr>
          <w:p>
            <w:r>
              <w:rPr>
                <w:rFonts w:ascii="Arial" w:cs="Arial" w:eastAsia="Arial" w:hAnsi="Arial"/>
                <w:color w:val="1D1D1F"/>
                <w:sz w:val="17"/>
                <w:szCs w:val="17"/>
              </w:rPr>
              <w:t xml:space="preserve">Medium</w:t>
            </w:r>
          </w:p>
        </w:tc>
        <w:tc>
          <w:tcPr>
            <w:tcW w:type="dxa" w:w="1100"/>
            <w:tcBorders>
              <w:top w:val="single" w:color="D2D2D7" w:sz="1"/>
              <w:left w:val="single" w:color="D2D2D7" w:sz="1"/>
              <w:bottom w:val="single" w:color="D2D2D7" w:sz="1"/>
              <w:right w:val="single" w:color="D2D2D7" w:sz="1"/>
            </w:tcBorders>
            <w:tcMar>
              <w:top w:type="dxa" w:w="60"/>
              <w:left w:type="dxa" w:w="100"/>
              <w:bottom w:type="dxa" w:w="60"/>
              <w:right w:type="dxa" w:w="100"/>
            </w:tcMar>
          </w:tcPr>
          <w:p>
            <w:r>
              <w:rPr>
                <w:rFonts w:ascii="Arial" w:cs="Arial" w:eastAsia="Arial" w:hAnsi="Arial"/>
                <w:color w:val="1D1D1F"/>
                <w:sz w:val="17"/>
                <w:szCs w:val="17"/>
              </w:rPr>
              <w:t xml:space="preserve">Medium</w:t>
            </w:r>
          </w:p>
        </w:tc>
        <w:tc>
          <w:tcPr>
            <w:tcW w:type="dxa" w:w="5080"/>
            <w:tcBorders>
              <w:top w:val="single" w:color="D2D2D7" w:sz="1"/>
              <w:left w:val="single" w:color="D2D2D7" w:sz="1"/>
              <w:bottom w:val="single" w:color="D2D2D7" w:sz="1"/>
              <w:right w:val="single" w:color="D2D2D7" w:sz="1"/>
            </w:tcBorders>
            <w:tcMar>
              <w:top w:type="dxa" w:w="60"/>
              <w:left w:type="dxa" w:w="100"/>
              <w:bottom w:type="dxa" w:w="60"/>
              <w:right w:type="dxa" w:w="100"/>
            </w:tcMar>
          </w:tcPr>
          <w:p>
            <w:r>
              <w:rPr>
                <w:rFonts w:ascii="Arial" w:cs="Arial" w:eastAsia="Arial" w:hAnsi="Arial"/>
                <w:color w:val="1D1D1F"/>
                <w:sz w:val="17"/>
                <w:szCs w:val="17"/>
              </w:rPr>
              <w:t xml:space="preserve">Test all 7 size categories in Phase 4</w:t>
            </w:r>
          </w:p>
        </w:tc>
      </w:tr>
      <w:tr>
        <w:tc>
          <w:tcPr>
            <w:tcW w:type="dxa" w:w="2800"/>
            <w:tcBorders>
              <w:top w:val="single" w:color="D2D2D7" w:sz="1"/>
              <w:left w:val="single" w:color="D2D2D7" w:sz="1"/>
              <w:bottom w:val="single" w:color="D2D2D7" w:sz="1"/>
              <w:right w:val="single" w:color="D2D2D7" w:sz="1"/>
            </w:tcBorders>
            <w:tcMar>
              <w:top w:type="dxa" w:w="60"/>
              <w:left w:type="dxa" w:w="100"/>
              <w:bottom w:type="dxa" w:w="60"/>
              <w:right w:type="dxa" w:w="100"/>
            </w:tcMar>
          </w:tcPr>
          <w:p>
            <w:r>
              <w:rPr>
                <w:rFonts w:ascii="Arial" w:cs="Arial" w:eastAsia="Arial" w:hAnsi="Arial"/>
                <w:color w:val="1D1D1F"/>
                <w:sz w:val="17"/>
                <w:szCs w:val="17"/>
              </w:rPr>
              <w:t xml:space="preserve">Contrast ratio failures on glass</w:t>
            </w:r>
          </w:p>
        </w:tc>
        <w:tc>
          <w:tcPr>
            <w:tcW w:type="dxa" w:w="1100"/>
            <w:tcBorders>
              <w:top w:val="single" w:color="D2D2D7" w:sz="1"/>
              <w:left w:val="single" w:color="D2D2D7" w:sz="1"/>
              <w:bottom w:val="single" w:color="D2D2D7" w:sz="1"/>
              <w:right w:val="single" w:color="D2D2D7" w:sz="1"/>
            </w:tcBorders>
            <w:tcMar>
              <w:top w:type="dxa" w:w="60"/>
              <w:left w:type="dxa" w:w="100"/>
              <w:bottom w:type="dxa" w:w="60"/>
              <w:right w:type="dxa" w:w="100"/>
            </w:tcMar>
          </w:tcPr>
          <w:p>
            <w:r>
              <w:rPr>
                <w:rFonts w:ascii="Arial" w:cs="Arial" w:eastAsia="Arial" w:hAnsi="Arial"/>
                <w:color w:val="1D1D1F"/>
                <w:sz w:val="17"/>
                <w:szCs w:val="17"/>
              </w:rPr>
              <w:t xml:space="preserve">Medium</w:t>
            </w:r>
          </w:p>
        </w:tc>
        <w:tc>
          <w:tcPr>
            <w:tcW w:type="dxa" w:w="1100"/>
            <w:tcBorders>
              <w:top w:val="single" w:color="D2D2D7" w:sz="1"/>
              <w:left w:val="single" w:color="D2D2D7" w:sz="1"/>
              <w:bottom w:val="single" w:color="D2D2D7" w:sz="1"/>
              <w:right w:val="single" w:color="D2D2D7" w:sz="1"/>
            </w:tcBorders>
            <w:tcMar>
              <w:top w:type="dxa" w:w="60"/>
              <w:left w:type="dxa" w:w="100"/>
              <w:bottom w:type="dxa" w:w="60"/>
              <w:right w:type="dxa" w:w="100"/>
            </w:tcMar>
          </w:tcPr>
          <w:p>
            <w:r>
              <w:rPr>
                <w:rFonts w:ascii="Arial" w:cs="Arial" w:eastAsia="Arial" w:hAnsi="Arial"/>
                <w:color w:val="1D1D1F"/>
                <w:sz w:val="17"/>
                <w:szCs w:val="17"/>
              </w:rPr>
              <w:t xml:space="preserve">High</w:t>
            </w:r>
          </w:p>
        </w:tc>
        <w:tc>
          <w:tcPr>
            <w:tcW w:type="dxa" w:w="5080"/>
            <w:tcBorders>
              <w:top w:val="single" w:color="D2D2D7" w:sz="1"/>
              <w:left w:val="single" w:color="D2D2D7" w:sz="1"/>
              <w:bottom w:val="single" w:color="D2D2D7" w:sz="1"/>
              <w:right w:val="single" w:color="D2D2D7" w:sz="1"/>
            </w:tcBorders>
            <w:tcMar>
              <w:top w:type="dxa" w:w="60"/>
              <w:left w:type="dxa" w:w="100"/>
              <w:bottom w:type="dxa" w:w="60"/>
              <w:right w:type="dxa" w:w="100"/>
            </w:tcMar>
          </w:tcPr>
          <w:p>
            <w:r>
              <w:rPr>
                <w:rFonts w:ascii="Arial" w:cs="Arial" w:eastAsia="Arial" w:hAnsi="Arial"/>
                <w:color w:val="1D1D1F"/>
                <w:sz w:val="17"/>
                <w:szCs w:val="17"/>
              </w:rPr>
              <w:t xml:space="preserve">Pre-validate all tint/glass combinations against WCAG AA</w:t>
            </w:r>
          </w:p>
        </w:tc>
      </w:tr>
      <w:tr>
        <w:tc>
          <w:tcPr>
            <w:tcW w:type="dxa" w:w="2800"/>
            <w:tcBorders>
              <w:top w:val="single" w:color="D2D2D7" w:sz="1"/>
              <w:left w:val="single" w:color="D2D2D7" w:sz="1"/>
              <w:bottom w:val="single" w:color="D2D2D7" w:sz="1"/>
              <w:right w:val="single" w:color="D2D2D7" w:sz="1"/>
            </w:tcBorders>
            <w:tcMar>
              <w:top w:type="dxa" w:w="60"/>
              <w:left w:type="dxa" w:w="100"/>
              <w:bottom w:type="dxa" w:w="60"/>
              <w:right w:type="dxa" w:w="100"/>
            </w:tcMar>
          </w:tcPr>
          <w:p>
            <w:r>
              <w:rPr>
                <w:rFonts w:ascii="Arial" w:cs="Arial" w:eastAsia="Arial" w:hAnsi="Arial"/>
                <w:color w:val="1D1D1F"/>
                <w:sz w:val="17"/>
                <w:szCs w:val="17"/>
              </w:rPr>
              <w:t xml:space="preserve">Scope creep from Apple Design review</w:t>
            </w:r>
          </w:p>
        </w:tc>
        <w:tc>
          <w:tcPr>
            <w:tcW w:type="dxa" w:w="1100"/>
            <w:tcBorders>
              <w:top w:val="single" w:color="D2D2D7" w:sz="1"/>
              <w:left w:val="single" w:color="D2D2D7" w:sz="1"/>
              <w:bottom w:val="single" w:color="D2D2D7" w:sz="1"/>
              <w:right w:val="single" w:color="D2D2D7" w:sz="1"/>
            </w:tcBorders>
            <w:tcMar>
              <w:top w:type="dxa" w:w="60"/>
              <w:left w:type="dxa" w:w="100"/>
              <w:bottom w:type="dxa" w:w="60"/>
              <w:right w:type="dxa" w:w="100"/>
            </w:tcMar>
          </w:tcPr>
          <w:p>
            <w:r>
              <w:rPr>
                <w:rFonts w:ascii="Arial" w:cs="Arial" w:eastAsia="Arial" w:hAnsi="Arial"/>
                <w:color w:val="1D1D1F"/>
                <w:sz w:val="17"/>
                <w:szCs w:val="17"/>
              </w:rPr>
              <w:t xml:space="preserve">High</w:t>
            </w:r>
          </w:p>
        </w:tc>
        <w:tc>
          <w:tcPr>
            <w:tcW w:type="dxa" w:w="1100"/>
            <w:tcBorders>
              <w:top w:val="single" w:color="D2D2D7" w:sz="1"/>
              <w:left w:val="single" w:color="D2D2D7" w:sz="1"/>
              <w:bottom w:val="single" w:color="D2D2D7" w:sz="1"/>
              <w:right w:val="single" w:color="D2D2D7" w:sz="1"/>
            </w:tcBorders>
            <w:tcMar>
              <w:top w:type="dxa" w:w="60"/>
              <w:left w:type="dxa" w:w="100"/>
              <w:bottom w:type="dxa" w:w="60"/>
              <w:right w:type="dxa" w:w="100"/>
            </w:tcMar>
          </w:tcPr>
          <w:p>
            <w:r>
              <w:rPr>
                <w:rFonts w:ascii="Arial" w:cs="Arial" w:eastAsia="Arial" w:hAnsi="Arial"/>
                <w:color w:val="1D1D1F"/>
                <w:sz w:val="17"/>
                <w:szCs w:val="17"/>
              </w:rPr>
              <w:t xml:space="preserve">Medium</w:t>
            </w:r>
          </w:p>
        </w:tc>
        <w:tc>
          <w:tcPr>
            <w:tcW w:type="dxa" w:w="5080"/>
            <w:tcBorders>
              <w:top w:val="single" w:color="D2D2D7" w:sz="1"/>
              <w:left w:val="single" w:color="D2D2D7" w:sz="1"/>
              <w:bottom w:val="single" w:color="D2D2D7" w:sz="1"/>
              <w:right w:val="single" w:color="D2D2D7" w:sz="1"/>
            </w:tcBorders>
            <w:tcMar>
              <w:top w:type="dxa" w:w="60"/>
              <w:left w:type="dxa" w:w="100"/>
              <w:bottom w:type="dxa" w:w="60"/>
              <w:right w:type="dxa" w:w="100"/>
            </w:tcMar>
          </w:tcPr>
          <w:p>
            <w:r>
              <w:rPr>
                <w:rFonts w:ascii="Arial" w:cs="Arial" w:eastAsia="Arial" w:hAnsi="Arial"/>
                <w:color w:val="1D1D1F"/>
                <w:sz w:val="17"/>
                <w:szCs w:val="17"/>
              </w:rPr>
              <w:t xml:space="preserve">Phase-gate deliverables; weekly sign-off</w:t>
            </w:r>
          </w:p>
        </w:tc>
      </w:tr>
    </w:tbl>
    <w:p>
      <w:pPr>
        <w:spacing w:before="400"/>
      </w:pPr>
    </w:p>
    <w:p>
      <w:pPr>
        <w:pStyle w:val="Heading1"/>
      </w:pPr>
      <w:r>
        <w:t xml:space="preserve">Team &amp; Governance</w:t>
      </w:r>
    </w:p>
    <w:p>
      <w:pPr>
        <w:pStyle w:val="Heading2"/>
      </w:pPr>
      <w:r>
        <w:t xml:space="preserve">Deloitte Digital</w:t>
      </w:r>
    </w:p>
    <w:p>
      <w:pPr>
        <w:pStyle w:val="ListParagraph"/>
        <w:numPr>
          <w:ilvl w:val="0"/>
          <w:numId w:val="2"/>
        </w:numPr>
      </w:pPr>
      <w:r>
        <w:rPr>
          <w:sz w:val="21"/>
          <w:szCs w:val="21"/>
        </w:rPr>
        <w:t xml:space="preserve">Engagement Lead — Client relationship, Apple Design liaison</w:t>
      </w:r>
    </w:p>
    <w:p>
      <w:pPr>
        <w:pStyle w:val="ListParagraph"/>
        <w:numPr>
          <w:ilvl w:val="0"/>
          <w:numId w:val="2"/>
        </w:numPr>
      </w:pPr>
      <w:r>
        <w:rPr>
          <w:sz w:val="21"/>
          <w:szCs w:val="21"/>
        </w:rPr>
        <w:t xml:space="preserve">Design Lead — Brand kit fidelity, HIG compliance review</w:t>
      </w:r>
    </w:p>
    <w:p>
      <w:pPr>
        <w:pStyle w:val="ListParagraph"/>
        <w:numPr>
          <w:ilvl w:val="0"/>
          <w:numId w:val="2"/>
        </w:numPr>
      </w:pPr>
      <w:r>
        <w:rPr>
          <w:sz w:val="21"/>
          <w:szCs w:val="21"/>
        </w:rPr>
        <w:t xml:space="preserve">SwiftUI Engineers (2) — Implementation, token system, glass materials</w:t>
      </w:r>
    </w:p>
    <w:p>
      <w:pPr>
        <w:pStyle w:val="ListParagraph"/>
        <w:numPr>
          <w:ilvl w:val="0"/>
          <w:numId w:val="2"/>
        </w:numPr>
      </w:pPr>
      <w:r>
        <w:rPr>
          <w:sz w:val="21"/>
          <w:szCs w:val="21"/>
        </w:rPr>
        <w:t xml:space="preserve">QA Lead — Accessibility, performance, visual regression testing</w:t>
      </w:r>
    </w:p>
    <w:p>
      <w:pPr>
        <w:pStyle w:val="ListParagraph"/>
        <w:numPr>
          <w:ilvl w:val="0"/>
          <w:numId w:val="2"/>
        </w:numPr>
      </w:pPr>
      <w:r>
        <w:rPr>
          <w:sz w:val="21"/>
          <w:szCs w:val="21"/>
        </w:rPr>
        <w:t xml:space="preserve">Project Manager — Timeline, risk management, sprint planning</w:t>
      </w:r>
    </w:p>
    <w:p>
      <w:pPr>
        <w:pStyle w:val="Heading2"/>
      </w:pPr>
      <w:r>
        <w:t xml:space="preserve">Apple Counterparts</w:t>
      </w:r>
    </w:p>
    <w:p>
      <w:pPr>
        <w:pStyle w:val="ListParagraph"/>
        <w:numPr>
          <w:ilvl w:val="0"/>
          <w:numId w:val="2"/>
        </w:numPr>
      </w:pPr>
      <w:r>
        <w:rPr>
          <w:sz w:val="21"/>
          <w:szCs w:val="21"/>
        </w:rPr>
        <w:t xml:space="preserve">Lead Designer — Creative direction, approval authority</w:t>
      </w:r>
    </w:p>
    <w:p>
      <w:pPr>
        <w:pStyle w:val="ListParagraph"/>
        <w:numPr>
          <w:ilvl w:val="0"/>
          <w:numId w:val="2"/>
        </w:numPr>
      </w:pPr>
      <w:r>
        <w:rPr>
          <w:sz w:val="21"/>
          <w:szCs w:val="21"/>
        </w:rPr>
        <w:t xml:space="preserve">SwiftUI Framework Engineer — .glassEffect() technical guidance</w:t>
      </w:r>
    </w:p>
    <w:p>
      <w:pPr>
        <w:pStyle w:val="ListParagraph"/>
        <w:numPr>
          <w:ilvl w:val="0"/>
          <w:numId w:val="2"/>
        </w:numPr>
      </w:pPr>
      <w:r>
        <w:rPr>
          <w:sz w:val="21"/>
          <w:szCs w:val="21"/>
        </w:rPr>
        <w:t xml:space="preserve">HIG Review — Compliance sign-off at phase gates</w:t>
      </w:r>
    </w:p>
    <w:p>
      <w:pPr>
        <w:spacing w:after="200" w:before="400"/>
        <w:jc w:val="center"/>
      </w:pPr>
      <w:r>
        <w:rPr>
          <w:i/>
          <w:iCs/>
          <w:color w:val="86868B"/>
          <w:sz w:val="18"/>
          <w:szCs w:val="18"/>
        </w:rPr>
        <w:t xml:space="preserve">— End of Document —</w:t>
      </w:r>
    </w:p>
    <w:sectPr>
      <w:headerReference w:type="default" r:id="rId7"/>
      <w:footerReference w:type="default" r:id="rId8"/>
      <w:pgSz w:w="12240" w:h="15840" w:orient="portrait"/>
      <w:pgMar w:top="144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86868B"/>
        <w:sz w:val="14"/>
        <w:szCs w:val="14"/>
      </w:rPr>
      <w:t xml:space="preserve">Deloitte Digital — Under Apple Design Direction</w:t>
    </w:r>
    <w:r>
      <w:t xml:space="preserve">	Page </w:t>
    </w: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2D2D7" w:sz="2" w:space="4"/>
      </w:pBdr>
      <w:tabs>
        <w:tab w:val="right" w:pos="9026"/>
      </w:tabs>
      <w:spacing w:after="200"/>
    </w:pPr>
    <w:r>
      <w:rPr>
        <w:rFonts w:ascii="Arial" w:cs="Arial" w:eastAsia="Arial" w:hAnsi="Arial"/>
        <w:color w:val="86868B"/>
        <w:sz w:val="14"/>
        <w:szCs w:val="14"/>
      </w:rPr>
      <w:t xml:space="preserve">NitNab — Liquid Glass Implementation Plan</w:t>
    </w:r>
    <w: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D1D1F"/>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D1D1F"/>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42424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2026-02-26T21:16:12.710Z</dcterms:created>
  <dcterms:modified xsi:type="dcterms:W3CDTF">2026-02-26T21:16:12.710Z</dcterms:modified>
</cp:coreProperties>
</file>

<file path=docProps/custom.xml><?xml version="1.0" encoding="utf-8"?>
<Properties xmlns="http://schemas.openxmlformats.org/officeDocument/2006/custom-properties" xmlns:vt="http://schemas.openxmlformats.org/officeDocument/2006/docPropsVTypes"/>
</file>