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2400" w:after="0"/>
      </w:pPr>
    </w:p>
    <w:p xmlns:wp14="http://schemas.microsoft.com/office/word/2010/wordml" w14:paraId="26B66D56" wp14:textId="77777777">
      <w:pPr>
        <w:spacing w:after="120"/>
        <w:jc w:val="left"/>
      </w:pPr>
      <w:r>
        <w:rPr>
          <w:rFonts w:ascii="Arial" w:hAnsi="Arial" w:eastAsia="Arial" w:cs="Arial"/>
          <w:b/>
          <w:bCs/>
          <w:color w:val="1E2B4D"/>
          <w:sz w:val="40"/>
          <w:szCs w:val="40"/>
        </w:rPr>
        <w:t xml:space="preserve">METRO &amp; MARKET ANALYSIS</w:t>
      </w:r>
    </w:p>
    <w:p xmlns:wp14="http://schemas.microsoft.com/office/word/2010/wordml" w14:paraId="0515A2CB" wp14:textId="77777777">
      <w:pPr>
        <w:spacing w:after="80"/>
        <w:jc w:val="left"/>
      </w:pPr>
      <w:r w:rsidRPr="0D8A6E29" w:rsidR="0D8A6E29">
        <w:rPr>
          <w:rFonts w:ascii="Arial" w:hAnsi="Arial" w:eastAsia="Arial" w:cs="Arial"/>
          <w:color w:val="2E75B6"/>
          <w:sz w:val="26"/>
          <w:szCs w:val="26"/>
          <w:lang w:val="en-US"/>
        </w:rPr>
        <w:t xml:space="preserve">Elizabethtown + Louisville </w:t>
      </w:r>
      <w:r w:rsidRPr="0D8A6E29" w:rsidR="0D8A6E29">
        <w:rPr>
          <w:rFonts w:ascii="Arial" w:hAnsi="Arial" w:eastAsia="Arial" w:cs="Arial"/>
          <w:color w:val="2E75B6"/>
          <w:sz w:val="26"/>
          <w:szCs w:val="26"/>
          <w:lang w:val="en-US"/>
        </w:rPr>
        <w:t>Corridor  |</w:t>
      </w:r>
      <w:r w:rsidRPr="0D8A6E29" w:rsidR="0D8A6E29">
        <w:rPr>
          <w:rFonts w:ascii="Arial" w:hAnsi="Arial" w:eastAsia="Arial" w:cs="Arial"/>
          <w:color w:val="2E75B6"/>
          <w:sz w:val="26"/>
          <w:szCs w:val="26"/>
          <w:lang w:val="en-US"/>
        </w:rPr>
        <w:t xml:space="preserve">  Kentucky</w:t>
      </w:r>
    </w:p>
    <w:p xmlns:wp14="http://schemas.microsoft.com/office/word/2010/wordml" w:rsidP="0D8A6E29" w14:paraId="63F2D15F" wp14:textId="77777777">
      <w:pPr>
        <w:pBdr>
          <w:bottom w:val="single" w:color="1E2B4D" w:sz="6" w:space="8"/>
        </w:pBdr>
        <w:spacing w:after="40"/>
        <w:jc w:val="left"/>
      </w:pPr>
      <w:r w:rsidRPr="0D8A6E29" w:rsidR="0D8A6E29">
        <w:rPr>
          <w:rFonts w:ascii="Arial" w:hAnsi="Arial" w:eastAsia="Arial" w:cs="Arial"/>
          <w:color w:val="555555"/>
          <w:sz w:val="22"/>
          <w:szCs w:val="22"/>
          <w:lang w:val="en-US"/>
        </w:rPr>
        <w:t xml:space="preserve">Oak Hills Build-to-Rent </w:t>
      </w:r>
      <w:r w:rsidRPr="0D8A6E29" w:rsidR="0D8A6E29">
        <w:rPr>
          <w:rFonts w:ascii="Arial" w:hAnsi="Arial" w:eastAsia="Arial" w:cs="Arial"/>
          <w:color w:val="555555"/>
          <w:sz w:val="22"/>
          <w:szCs w:val="22"/>
          <w:lang w:val="en-US"/>
        </w:rPr>
        <w:t>Community  |</w:t>
      </w:r>
      <w:r w:rsidRPr="0D8A6E29" w:rsidR="0D8A6E29">
        <w:rPr>
          <w:rFonts w:ascii="Arial" w:hAnsi="Arial" w:eastAsia="Arial" w:cs="Arial"/>
          <w:color w:val="555555"/>
          <w:sz w:val="22"/>
          <w:szCs w:val="22"/>
          <w:lang w:val="en-US"/>
        </w:rPr>
        <w:t xml:space="preserve">  128 Units</w:t>
      </w:r>
    </w:p>
    <w:p xmlns:wp14="http://schemas.microsoft.com/office/word/2010/wordml" w14:paraId="699A426F" wp14:textId="77777777">
      <w:pPr>
        <w:spacing w:before="200" w:after="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 xml:space="preserve">Prepared for Institutional Underwriting Review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3A1050FA" wp14:textId="77777777">
      <w:pPr>
        <w:pStyle w:val="Heading1"/>
        <w:spacing w:before="360" w:after="160"/>
      </w:pPr>
      <w:r>
        <w:rPr>
          <w:rFonts w:ascii="Arial" w:hAnsi="Arial" w:eastAsia="Arial" w:cs="Arial"/>
          <w:b/>
          <w:bCs/>
          <w:color w:val="1E2B4D"/>
          <w:sz w:val="28"/>
          <w:szCs w:val="28"/>
        </w:rPr>
        <w:t xml:space="preserve">1. Major Employers</w:t>
      </w:r>
    </w:p>
    <w:p xmlns:wp14="http://schemas.microsoft.com/office/word/2010/wordml" w:rsidP="0D8A6E29" w14:paraId="42D94DF0" wp14:textId="77777777">
      <w:pPr>
        <w:spacing w:after="120" w:line="276" w:lineRule="auto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The Louisville-Elizabethtown corridor is anchored by a diversified base of institutional-grade employers spanning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logistics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, healthcare, manufacturing, defense, education, and corporate services.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This employment diversity provides a resilient foundation for sustained rental housing demand.</w:t>
      </w:r>
    </w:p>
    <w:p xmlns:wp14="http://schemas.microsoft.com/office/word/2010/wordml" w14:paraId="569E6FBE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Louisville Metro — Anchor Employers</w:t>
      </w:r>
    </w:p>
    <w:tbl>
      <w:tblPr>
        <w:tblW w:w="98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340"/>
        <w:gridCol w:w="2000"/>
      </w:tblGrid>
      <w:tr xmlns:wp14="http://schemas.microsoft.com/office/word/2010/wordml" w:rsidTr="0D8A6E29" w14:paraId="480958CE" wp14:textId="77777777"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3056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Employer</w:t>
            </w:r>
          </w:p>
        </w:tc>
        <w:tc>
          <w:tcPr>
            <w:tcW w:w="3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D55C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6017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Local Employees</w:t>
            </w:r>
          </w:p>
        </w:tc>
      </w:tr>
      <w:tr xmlns:wp14="http://schemas.microsoft.com/office/word/2010/wordml" w:rsidTr="0D8A6E29" w14:paraId="1C3268E2" wp14:textId="77777777"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0AD3A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UPS (Worldport Hub)</w:t>
            </w:r>
          </w:p>
        </w:tc>
        <w:tc>
          <w:tcPr>
            <w:tcW w:w="3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0E4E1" wp14:textId="77777777">
            <w:r w:rsidRPr="0D8A6E29" w:rsidR="0D8A6E29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Logistics</w:t>
            </w:r>
            <w:r w:rsidRPr="0D8A6E29" w:rsidR="0D8A6E29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/ Distribution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00605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25,090</w:t>
            </w:r>
          </w:p>
        </w:tc>
      </w:tr>
      <w:tr xmlns:wp14="http://schemas.microsoft.com/office/word/2010/wordml" w:rsidTr="0D8A6E29" w14:paraId="70B81E4B" wp14:textId="77777777"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717D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Jefferson County Public Schools</w:t>
            </w:r>
          </w:p>
        </w:tc>
        <w:tc>
          <w:tcPr>
            <w:tcW w:w="3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C959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Education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B00FE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14,484</w:t>
            </w:r>
          </w:p>
        </w:tc>
      </w:tr>
      <w:tr xmlns:wp14="http://schemas.microsoft.com/office/word/2010/wordml" w:rsidTr="0D8A6E29" w14:paraId="4FADE3D3" wp14:textId="77777777"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ACC55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Norton Healthcare</w:t>
            </w:r>
          </w:p>
        </w:tc>
        <w:tc>
          <w:tcPr>
            <w:tcW w:w="3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BE5A7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Healthcare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BC895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13,828</w:t>
            </w:r>
          </w:p>
        </w:tc>
      </w:tr>
      <w:tr xmlns:wp14="http://schemas.microsoft.com/office/word/2010/wordml" w:rsidTr="0D8A6E29" w14:paraId="4B4AE6D1" wp14:textId="77777777"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724BE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Ford Motor Co. (2 plants)</w:t>
            </w:r>
          </w:p>
        </w:tc>
        <w:tc>
          <w:tcPr>
            <w:tcW w:w="3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AE0EE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Manufacturing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CDFCE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13,020</w:t>
            </w:r>
          </w:p>
        </w:tc>
      </w:tr>
      <w:tr xmlns:wp14="http://schemas.microsoft.com/office/word/2010/wordml" w:rsidTr="0D8A6E29" w14:paraId="2CF23161" wp14:textId="77777777"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B64C6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Humana</w:t>
            </w:r>
          </w:p>
        </w:tc>
        <w:tc>
          <w:tcPr>
            <w:tcW w:w="3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58821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Insurance / Health Services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11C4B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12,360</w:t>
            </w:r>
          </w:p>
        </w:tc>
      </w:tr>
      <w:tr xmlns:wp14="http://schemas.microsoft.com/office/word/2010/wordml" w:rsidTr="0D8A6E29" w14:paraId="339DEA79" wp14:textId="77777777"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31454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UofL Health</w:t>
            </w:r>
          </w:p>
        </w:tc>
        <w:tc>
          <w:tcPr>
            <w:tcW w:w="3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EC614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Healthcare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39ADD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12,000</w:t>
            </w:r>
          </w:p>
        </w:tc>
      </w:tr>
      <w:tr xmlns:wp14="http://schemas.microsoft.com/office/word/2010/wordml" w:rsidTr="0D8A6E29" w14:paraId="5DF65736" wp14:textId="77777777"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8CB0D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Kroger</w:t>
            </w:r>
          </w:p>
        </w:tc>
        <w:tc>
          <w:tcPr>
            <w:tcW w:w="3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7E922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Retail / Distribution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690B0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9,300</w:t>
            </w:r>
          </w:p>
        </w:tc>
      </w:tr>
      <w:tr xmlns:wp14="http://schemas.microsoft.com/office/word/2010/wordml" w:rsidTr="0D8A6E29" w14:paraId="20BB50EA" wp14:textId="77777777"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4ECC2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Baptist Healthcare System</w:t>
            </w:r>
          </w:p>
        </w:tc>
        <w:tc>
          <w:tcPr>
            <w:tcW w:w="3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4AC46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Healthcare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D2CB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7,346</w:t>
            </w:r>
          </w:p>
        </w:tc>
      </w:tr>
    </w:tbl>
    <w:p xmlns:wp14="http://schemas.microsoft.com/office/word/2010/wordml" w14:paraId="5198C46B" wp14:textId="77777777">
      <w:pPr>
        <w:spacing w:before="60" w:after="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Source: Greater Louisville Inc.</w:t>
      </w:r>
    </w:p>
    <w:p xmlns:wp14="http://schemas.microsoft.com/office/word/2010/wordml" w14:paraId="571F5042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Elizabethtown / Fort Knox — Anchor Employers</w:t>
      </w:r>
    </w:p>
    <w:tbl>
      <w:tblPr>
        <w:tblW w:w="98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340"/>
        <w:gridCol w:w="2000"/>
      </w:tblGrid>
      <w:tr xmlns:wp14="http://schemas.microsoft.com/office/word/2010/wordml" w14:paraId="28E7FA9A" wp14:textId="77777777"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DBF5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Employer / Installation</w:t>
            </w:r>
          </w:p>
        </w:tc>
        <w:tc>
          <w:tcPr>
            <w:tcW w:w="3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C615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FA04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Employment Impact</w:t>
            </w:r>
          </w:p>
        </w:tc>
      </w:tr>
      <w:tr xmlns:wp14="http://schemas.microsoft.com/office/word/2010/wordml" w14:paraId="19F2C1A2" wp14:textId="77777777"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E5A08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Fort Knox (U.S. Army)</w:t>
            </w:r>
          </w:p>
        </w:tc>
        <w:tc>
          <w:tcPr>
            <w:tcW w:w="3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A14FB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Defense / Federal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1352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~26,260 daytime pop.</w:t>
            </w:r>
          </w:p>
        </w:tc>
      </w:tr>
      <w:tr xmlns:wp14="http://schemas.microsoft.com/office/word/2010/wordml" w14:paraId="0FBAC41A" wp14:textId="77777777"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A0A8D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Baptist Health Hardin</w:t>
            </w:r>
          </w:p>
        </w:tc>
        <w:tc>
          <w:tcPr>
            <w:tcW w:w="3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42F7D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Healthcare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85F64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~2,700</w:t>
            </w:r>
          </w:p>
        </w:tc>
      </w:tr>
      <w:tr xmlns:wp14="http://schemas.microsoft.com/office/word/2010/wordml" w14:paraId="79B3AB28" wp14:textId="77777777"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BAC50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Ford Motor Co. (repurposed plants)</w:t>
            </w:r>
          </w:p>
        </w:tc>
        <w:tc>
          <w:tcPr>
            <w:tcW w:w="3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D1EA4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Energy / Manufacturing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14D22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2,100+ anticipated</w:t>
            </w:r>
          </w:p>
        </w:tc>
      </w:tr>
    </w:tbl>
    <w:p xmlns:wp14="http://schemas.microsoft.com/office/word/2010/wordml" w14:paraId="41B2C6C7" wp14:textId="77777777">
      <w:pPr>
        <w:spacing w:before="60" w:after="12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Sources: Military OneSource, Baptist Health, Ford Motor Co.</w:t>
      </w:r>
    </w:p>
    <w:p xmlns:wp14="http://schemas.microsoft.com/office/word/2010/wordml" w14:paraId="6B66CEB0" wp14:textId="77777777">
      <w:pPr>
        <w:spacing w:after="120" w:line="276" w:lineRule="auto"/>
      </w:pP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Fort Knox creates a durable federal employment floor with an estimated 22,000 on-post jobs, approximately 13,000 indirect jobs, and an economic impact cited around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$5.6 billion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(2024). The installation ensures a steady inflow of military households cycling through the region, generating sustained demand for quality rental housing.</w:t>
      </w:r>
    </w:p>
    <w:p xmlns:wp14="http://schemas.microsoft.com/office/word/2010/wordml" w14:paraId="397DE40B" wp14:textId="77777777">
      <w:pPr>
        <w:spacing w:after="120" w:line="276" w:lineRule="auto"/>
      </w:pP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Ford Motor Co. is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retaining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full ownership of both factory facilities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located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approximately 5 miles south of Elizabethtown. Following restructuring, Ford is repurposing these facilities for energy production storage, driven by data center growth nationally. The company has announced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anticipated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job creation of 2,100+ positions.</w:t>
      </w:r>
    </w:p>
    <w:p xmlns:wp14="http://schemas.microsoft.com/office/word/2010/wordml" w14:paraId="5DAB6C7B" wp14:textId="77777777">
      <w:pPr>
        <w:pBdr>
          <w:bottom w:val="single" w:color="E0E0E0" w:sz="4" w:space="1"/>
        </w:pBdr>
        <w:spacing w:before="200" w:after="200"/>
      </w:pPr>
    </w:p>
    <w:p w:rsidR="0D8A6E29" w:rsidP="0D8A6E29" w:rsidRDefault="0D8A6E29" w14:paraId="3B6E9BDD" w14:textId="46A728D2">
      <w:pPr>
        <w:pStyle w:val="Heading1"/>
        <w:spacing w:before="360" w:after="160"/>
        <w:rPr>
          <w:rFonts w:ascii="Arial" w:hAnsi="Arial" w:eastAsia="Arial" w:cs="Arial"/>
          <w:b w:val="1"/>
          <w:bCs w:val="1"/>
          <w:color w:val="1E2B4D"/>
          <w:sz w:val="28"/>
          <w:szCs w:val="28"/>
        </w:rPr>
      </w:pPr>
    </w:p>
    <w:p xmlns:wp14="http://schemas.microsoft.com/office/word/2010/wordml" w14:paraId="1D42873E" wp14:textId="77777777">
      <w:pPr>
        <w:pStyle w:val="Heading1"/>
        <w:spacing w:before="360" w:after="160"/>
      </w:pPr>
      <w:r>
        <w:rPr>
          <w:rFonts w:ascii="Arial" w:hAnsi="Arial" w:eastAsia="Arial" w:cs="Arial"/>
          <w:b/>
          <w:bCs/>
          <w:color w:val="1E2B4D"/>
          <w:sz w:val="28"/>
          <w:szCs w:val="28"/>
        </w:rPr>
        <w:t xml:space="preserve">2. Population &amp; Growth</w:t>
      </w:r>
    </w:p>
    <w:p xmlns:wp14="http://schemas.microsoft.com/office/word/2010/wordml" w14:paraId="5FDB4649" wp14:textId="77777777">
      <w:pPr>
        <w:spacing w:after="120" w:line="276" w:lineRule="auto"/>
      </w:pP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The Elizabethtown-Louisville corridor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demonstrates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steady, organic population growth driven by employment stability rather than speculative migration patterns. Elizabethtown has consistently ranked as one of Kentucky's fastest-growing cities over the last several years.</w:t>
      </w:r>
    </w:p>
    <w:tbl>
      <w:tblPr>
        <w:tblW w:w="98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80"/>
        <w:gridCol w:w="2280"/>
        <w:gridCol w:w="2280"/>
      </w:tblGrid>
      <w:tr xmlns:wp14="http://schemas.microsoft.com/office/word/2010/wordml" w14:paraId="79B2EB5D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D15C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Geography</w:t>
            </w:r>
          </w:p>
        </w:tc>
        <w:tc>
          <w:tcPr>
            <w:tcW w:w="2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C776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2020 Population</w:t>
            </w:r>
          </w:p>
        </w:tc>
        <w:tc>
          <w:tcPr>
            <w:tcW w:w="2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E9EA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2024 Population</w:t>
            </w:r>
          </w:p>
        </w:tc>
        <w:tc>
          <w:tcPr>
            <w:tcW w:w="2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7F16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</w:tr>
      <w:tr xmlns:wp14="http://schemas.microsoft.com/office/word/2010/wordml" w14:paraId="22E3BFB7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6FED0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Hardin County (E-town)</w:t>
            </w:r>
          </w:p>
        </w:tc>
        <w:tc>
          <w:tcPr>
            <w:tcW w:w="2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9579A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110,703</w:t>
            </w:r>
          </w:p>
        </w:tc>
        <w:tc>
          <w:tcPr>
            <w:tcW w:w="2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67490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112,826</w:t>
            </w:r>
          </w:p>
        </w:tc>
        <w:tc>
          <w:tcPr>
            <w:tcW w:w="2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923BC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+1.9%</w:t>
            </w:r>
          </w:p>
        </w:tc>
      </w:tr>
      <w:tr xmlns:wp14="http://schemas.microsoft.com/office/word/2010/wordml" w14:paraId="1E6AD3B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4B43D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City of Elizabethtown</w:t>
            </w:r>
          </w:p>
        </w:tc>
        <w:tc>
          <w:tcPr>
            <w:tcW w:w="2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3104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~33,100</w:t>
            </w:r>
          </w:p>
        </w:tc>
        <w:tc>
          <w:tcPr>
            <w:tcW w:w="2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3D4D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34,565</w:t>
            </w:r>
          </w:p>
        </w:tc>
        <w:tc>
          <w:tcPr>
            <w:tcW w:w="2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80407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+4.5% (latest yr)</w:t>
            </w:r>
          </w:p>
        </w:tc>
      </w:tr>
      <w:tr xmlns:wp14="http://schemas.microsoft.com/office/word/2010/wordml" w14:paraId="30A2D44B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91459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Louisville/Jefferson Co. MSA</w:t>
            </w:r>
          </w:p>
        </w:tc>
        <w:tc>
          <w:tcPr>
            <w:tcW w:w="2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CF0D6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1,363,012</w:t>
            </w:r>
          </w:p>
        </w:tc>
        <w:tc>
          <w:tcPr>
            <w:tcW w:w="2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E47E0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1,394,234</w:t>
            </w:r>
          </w:p>
        </w:tc>
        <w:tc>
          <w:tcPr>
            <w:tcW w:w="2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AF245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+2.3% (+31,222)</w:t>
            </w:r>
          </w:p>
        </w:tc>
      </w:tr>
    </w:tbl>
    <w:p xmlns:wp14="http://schemas.microsoft.com/office/word/2010/wordml" w14:paraId="714FE29E" wp14:textId="77777777">
      <w:pPr>
        <w:spacing w:before="60" w:after="12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Sources: U.S. Census Bureau, FRED</w:t>
      </w:r>
    </w:p>
    <w:p xmlns:wp14="http://schemas.microsoft.com/office/word/2010/wordml" w14:paraId="02B1E18D" wp14:textId="77777777">
      <w:pPr>
        <w:spacing w:after="120" w:line="276" w:lineRule="auto"/>
      </w:pP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Elizabethtown increased 4.5% in the most recent year to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34,565 residents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, making it Kentucky's fastest-growing city. A straight-line projection from the 2020-2024 trend places the Louisville MSA at approximately 1.40 million for 2025.</w:t>
      </w:r>
    </w:p>
    <w:p xmlns:wp14="http://schemas.microsoft.com/office/word/2010/wordml" w14:paraId="02EB378F" wp14:textId="77777777">
      <w:pPr>
        <w:pBdr>
          <w:bottom w:val="single" w:color="E0E0E0" w:sz="4" w:space="1"/>
        </w:pBdr>
        <w:spacing w:before="200" w:after="200"/>
      </w:pPr>
    </w:p>
    <w:p xmlns:wp14="http://schemas.microsoft.com/office/word/2010/wordml" w14:paraId="5275D8F0" wp14:textId="77777777">
      <w:pPr>
        <w:pStyle w:val="Heading1"/>
        <w:spacing w:before="360" w:after="160"/>
      </w:pPr>
      <w:r>
        <w:rPr>
          <w:rFonts w:ascii="Arial" w:hAnsi="Arial" w:eastAsia="Arial" w:cs="Arial"/>
          <w:b/>
          <w:bCs/>
          <w:color w:val="1E2B4D"/>
          <w:sz w:val="28"/>
          <w:szCs w:val="28"/>
        </w:rPr>
        <w:t xml:space="preserve">3. Employment &amp; Labor Market</w:t>
      </w:r>
    </w:p>
    <w:p xmlns:wp14="http://schemas.microsoft.com/office/word/2010/wordml" w14:paraId="450F1B39" wp14:textId="77777777">
      <w:pPr>
        <w:spacing w:after="120" w:line="276" w:lineRule="auto"/>
      </w:pP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Both metro areas have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demonstrated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strong post-pandemic job recovery with diversified employment bases that reduce concentration risk for rental housing demand.</w:t>
      </w:r>
    </w:p>
    <w:p xmlns:wp14="http://schemas.microsoft.com/office/word/2010/wordml" w14:paraId="0A008547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Louisville Metro</w:t>
      </w:r>
    </w:p>
    <w:tbl>
      <w:tblPr>
        <w:tblW w:w="98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 xmlns:wp14="http://schemas.microsoft.com/office/word/2010/wordml" w:rsidTr="0D8A6E29" w14:paraId="08BAB0D6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ECD3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5978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 xmlns:wp14="http://schemas.microsoft.com/office/word/2010/wordml" w:rsidTr="0D8A6E29" w14:paraId="630E4977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7735D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Total Nonfarm Jobs (2020)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8CBA8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649,500</w:t>
            </w:r>
          </w:p>
        </w:tc>
      </w:tr>
      <w:tr xmlns:wp14="http://schemas.microsoft.com/office/word/2010/wordml" w:rsidTr="0D8A6E29" w14:paraId="7C5C361A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5B2EA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Total Nonfarm Jobs (2024)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79575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717,700 (+10.5%)</w:t>
            </w:r>
          </w:p>
        </w:tc>
      </w:tr>
      <w:tr xmlns:wp14="http://schemas.microsoft.com/office/word/2010/wordml" w:rsidTr="0D8A6E29" w14:paraId="1AA43075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41C29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Latest Monthly (Sep 2025, SA)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1C7FF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~724,400</w:t>
            </w:r>
          </w:p>
        </w:tc>
      </w:tr>
      <w:tr xmlns:wp14="http://schemas.microsoft.com/office/word/2010/wordml" w:rsidTr="0D8A6E29" w14:paraId="7E8119E0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E8441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Unemployment Rate (Aug/Sep 2025)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F396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~4.0%</w:t>
            </w:r>
          </w:p>
        </w:tc>
      </w:tr>
      <w:tr xmlns:wp14="http://schemas.microsoft.com/office/word/2010/wordml" w:rsidTr="0D8A6E29" w14:paraId="5525F257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C7EB7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MSA GDP (2023, nominal)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D8A6E29" w14:paraId="65B9D079" wp14:textId="77777777">
            <w:pPr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0D8A6E29" w:rsidR="0D8A6E29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$97.75 billion</w:t>
            </w:r>
          </w:p>
        </w:tc>
      </w:tr>
      <w:tr xmlns:wp14="http://schemas.microsoft.com/office/word/2010/wordml" w:rsidTr="0D8A6E29" w14:paraId="720E6E34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A77E2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MSA GDP Growth (2020-2023)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F0EA2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$77.48B to $97.75B (+26.1%)</w:t>
            </w:r>
          </w:p>
        </w:tc>
      </w:tr>
    </w:tbl>
    <w:p xmlns:wp14="http://schemas.microsoft.com/office/word/2010/wordml" w14:paraId="274C2F8E" wp14:textId="77777777">
      <w:pPr>
        <w:spacing w:before="60" w:after="12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Source: Federal Reserve Economic Data (FRED)</w:t>
      </w:r>
    </w:p>
    <w:p xmlns:wp14="http://schemas.microsoft.com/office/word/2010/wordml" w14:paraId="6EACACD2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Elizabethtown-Fort Knox MSA</w:t>
      </w:r>
    </w:p>
    <w:tbl>
      <w:tblPr>
        <w:tblW w:w="98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 xmlns:wp14="http://schemas.microsoft.com/office/word/2010/wordml" w14:paraId="72BADAEB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9D08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7A47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 xmlns:wp14="http://schemas.microsoft.com/office/word/2010/wordml" w14:paraId="1BCFE5CB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818C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Total Nonfarm Jobs (2020)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5A9EB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48,400</w:t>
            </w:r>
          </w:p>
        </w:tc>
      </w:tr>
      <w:tr xmlns:wp14="http://schemas.microsoft.com/office/word/2010/wordml" w14:paraId="496927B7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7AB6E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Total Nonfarm Jobs (2024)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3EF01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53,100 (+9.7%)</w:t>
            </w:r>
          </w:p>
        </w:tc>
      </w:tr>
      <w:tr xmlns:wp14="http://schemas.microsoft.com/office/word/2010/wordml" w14:paraId="0CA4FCA1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06EE6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Unemployment Rate (Aug 2025, SA)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EBD04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~5.0%</w:t>
            </w:r>
          </w:p>
        </w:tc>
      </w:tr>
      <w:tr xmlns:wp14="http://schemas.microsoft.com/office/word/2010/wordml" w14:paraId="272F2495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BBA15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Occupational Mix: Office/Admin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43195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13.4% of employment</w:t>
            </w:r>
          </w:p>
        </w:tc>
      </w:tr>
      <w:tr xmlns:wp14="http://schemas.microsoft.com/office/word/2010/wordml" w14:paraId="5D222206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4B03E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Occupational Mix: Production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CECC3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11.8% of employment</w:t>
            </w:r>
          </w:p>
        </w:tc>
      </w:tr>
    </w:tbl>
    <w:p xmlns:wp14="http://schemas.microsoft.com/office/word/2010/wordml" w14:paraId="1117FEDE" wp14:textId="77777777">
      <w:pPr>
        <w:spacing w:before="60" w:after="12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Sources: FRED, Bureau of Labor Statistics</w:t>
      </w:r>
    </w:p>
    <w:p xmlns:wp14="http://schemas.microsoft.com/office/word/2010/wordml" w14:paraId="6A05A809" wp14:textId="77777777">
      <w:pPr>
        <w:pBdr>
          <w:bottom w:val="single" w:color="E0E0E0" w:sz="4" w:space="1"/>
        </w:pBdr>
        <w:spacing w:before="200" w:after="200"/>
      </w:pPr>
    </w:p>
    <w:p xmlns:wp14="http://schemas.microsoft.com/office/word/2010/wordml" w14:paraId="31349F60" wp14:textId="77777777">
      <w:pPr>
        <w:pStyle w:val="Heading1"/>
        <w:spacing w:before="360" w:after="160"/>
      </w:pPr>
      <w:r>
        <w:rPr>
          <w:rFonts w:ascii="Arial" w:hAnsi="Arial" w:eastAsia="Arial" w:cs="Arial"/>
          <w:b/>
          <w:bCs/>
          <w:color w:val="1E2B4D"/>
          <w:sz w:val="28"/>
          <w:szCs w:val="28"/>
        </w:rPr>
        <w:t xml:space="preserve">4. Industry Diversity &amp; Economic Resilience</w:t>
      </w:r>
    </w:p>
    <w:p xmlns:wp14="http://schemas.microsoft.com/office/word/2010/wordml" w14:paraId="23F2F4DA" wp14:textId="77777777">
      <w:pPr>
        <w:spacing w:after="120" w:line="276" w:lineRule="auto"/>
      </w:pP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Louisville Metro is not a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single-industry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market. The employer base spans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logistics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, healthcare, manufacturing, education, government, and insurance/corporate services, minimizing concentration risk and providing resilience through economic cycles.</w:t>
      </w:r>
    </w:p>
    <w:p xmlns:wp14="http://schemas.microsoft.com/office/word/2010/wordml" w14:paraId="36FF3643" wp14:textId="77777777">
      <w:pPr>
        <w:spacing w:after="120" w:line="276"/>
      </w:pPr>
      <w:r>
        <w:rPr>
          <w:rFonts w:ascii="Arial" w:hAnsi="Arial" w:eastAsia="Arial" w:cs="Arial"/>
          <w:b/>
          <w:bCs/>
          <w:color w:val="333333"/>
          <w:sz w:val="20"/>
          <w:szCs w:val="20"/>
        </w:rPr>
        <w:t xml:space="preserve">Logistics Hub: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UPS Worldport processes approximately 2 million packages per day, supports 300+ flights daily, and Louisville's airport ranks 3rd nationally for cargo weight (per Airports Council International). This infrastructure creates a ripple effect across contractors, freight, packaging, distribution, and suppliers seeking proximity to overnight air capacity.</w:t>
      </w:r>
    </w:p>
    <w:p xmlns:wp14="http://schemas.microsoft.com/office/word/2010/wordml" w14:paraId="44623066" wp14:textId="77777777">
      <w:pPr>
        <w:spacing w:after="120" w:line="276" w:lineRule="auto"/>
      </w:pPr>
      <w:r w:rsidRPr="0D8A6E29" w:rsidR="0D8A6E29">
        <w:rPr>
          <w:rFonts w:ascii="Arial" w:hAnsi="Arial" w:eastAsia="Arial" w:cs="Arial"/>
          <w:b w:val="1"/>
          <w:bCs w:val="1"/>
          <w:color w:val="333333"/>
          <w:sz w:val="20"/>
          <w:szCs w:val="20"/>
          <w:lang w:val="en-US"/>
        </w:rPr>
        <w:t xml:space="preserve">Defense Anchor: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Fort Knox provides a rare federal stabilizer with a built-in daytime population of approximately 26,260. The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installation's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commands and workforce ensure steady household inflows and turnover that directly support rental housing demand in the Elizabethtown corridor.</w:t>
      </w:r>
    </w:p>
    <w:p xmlns:wp14="http://schemas.microsoft.com/office/word/2010/wordml" w14:paraId="38147C84" wp14:textId="77777777">
      <w:pPr>
        <w:spacing w:after="120" w:line="276"/>
      </w:pPr>
      <w:r>
        <w:rPr>
          <w:rFonts w:ascii="Arial" w:hAnsi="Arial" w:eastAsia="Arial" w:cs="Arial"/>
          <w:b/>
          <w:bCs/>
          <w:color w:val="333333"/>
          <w:sz w:val="20"/>
          <w:szCs w:val="20"/>
        </w:rPr>
        <w:t xml:space="preserve">Manufacturing &amp; Energy: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The Elizabethtown area's occupational mix of 13.4% office/administrative and 11.8% production roles reflects a classic operations and manufacturing corridor. Combined with I-65 connectivity between Louisville, Elizabethtown, and Nashville, this commute shed supports both for-sale and long-term rental demand.</w:t>
      </w:r>
    </w:p>
    <w:p xmlns:wp14="http://schemas.microsoft.com/office/word/2010/wordml" w14:paraId="5A39BBE3" wp14:textId="77777777">
      <w:pPr>
        <w:pBdr>
          <w:bottom w:val="single" w:color="E0E0E0" w:sz="4" w:space="1"/>
        </w:pBdr>
        <w:spacing w:before="200" w:after="200"/>
      </w:pPr>
    </w:p>
    <w:p xmlns:wp14="http://schemas.microsoft.com/office/word/2010/wordml" w14:paraId="0814409C" wp14:textId="77777777">
      <w:pPr>
        <w:pStyle w:val="Heading1"/>
        <w:spacing w:before="360" w:after="160"/>
      </w:pPr>
      <w:r>
        <w:rPr>
          <w:rFonts w:ascii="Arial" w:hAnsi="Arial" w:eastAsia="Arial" w:cs="Arial"/>
          <w:b/>
          <w:bCs/>
          <w:color w:val="1E2B4D"/>
          <w:sz w:val="28"/>
          <w:szCs w:val="28"/>
        </w:rPr>
        <w:t xml:space="preserve">5. Business Incentives &amp; State Programs</w:t>
      </w:r>
    </w:p>
    <w:p xmlns:wp14="http://schemas.microsoft.com/office/word/2010/wordml" w14:paraId="48137A95" wp14:textId="77777777">
      <w:pPr>
        <w:spacing w:after="120" w:line="276" w:lineRule="auto"/>
      </w:pP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Kentucky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maintains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an institutional-grade incentive toolkit that has been instrumental in attracting and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retaining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major employers across manufacturing,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logistics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, technology, and corporate services:</w:t>
      </w:r>
    </w:p>
    <w:tbl>
      <w:tblPr>
        <w:tblW w:w="98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 xmlns:wp14="http://schemas.microsoft.com/office/word/2010/wordml" w14:paraId="275F172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2F95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w="7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F54C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14:paraId="5DEA9A9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D81B8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KEIA</w:t>
            </w:r>
          </w:p>
        </w:tc>
        <w:tc>
          <w:tcPr>
            <w:tcW w:w="7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9DE2F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Kentucky Enterprise Initiative Act: refunds KY sales/use tax on qualifying construction materials and certain eligible equipment categories.</w:t>
            </w:r>
          </w:p>
        </w:tc>
      </w:tr>
      <w:tr xmlns:wp14="http://schemas.microsoft.com/office/word/2010/wordml" w14:paraId="6C7B729A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59991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KBI</w:t>
            </w:r>
          </w:p>
        </w:tc>
        <w:tc>
          <w:tcPr>
            <w:tcW w:w="7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3B8DE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Kentucky Business Investment: performance-based incentives including income tax credits and wage assessments tied to job creation and expansion.</w:t>
            </w:r>
          </w:p>
        </w:tc>
      </w:tr>
      <w:tr xmlns:wp14="http://schemas.microsoft.com/office/word/2010/wordml" w14:paraId="41465675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72019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BSSC</w:t>
            </w:r>
          </w:p>
        </w:tc>
        <w:tc>
          <w:tcPr>
            <w:tcW w:w="7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9F179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Bluegrass State Skills Corporation: training support via Grant-in-Aid reimbursements and the Skills Training Investment Credit.</w:t>
            </w:r>
          </w:p>
        </w:tc>
      </w:tr>
    </w:tbl>
    <w:p xmlns:wp14="http://schemas.microsoft.com/office/word/2010/wordml" w14:paraId="00656BF9" wp14:textId="77777777">
      <w:pPr>
        <w:spacing w:before="60" w:after="12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Sources: Team Kentucky, CEDKY, Louisville Economic Development Alliance</w:t>
      </w:r>
    </w:p>
    <w:p xmlns:wp14="http://schemas.microsoft.com/office/word/2010/wordml" w14:paraId="6054D82E" wp14:textId="77777777">
      <w:pPr>
        <w:spacing w:after="120" w:line="276"/>
      </w:pPr>
      <w:r>
        <w:rPr>
          <w:rFonts w:ascii="Arial" w:hAnsi="Arial" w:eastAsia="Arial" w:cs="Arial"/>
          <w:color w:val="333333"/>
          <w:sz w:val="20"/>
          <w:szCs w:val="20"/>
        </w:rPr>
        <w:t xml:space="preserve">Louisville's regional economic development organizations actively package these tools for site selectors, which is a favorable indicator when underwriting long-term job stability and in-migration patterns for rental housing demand forecasting.</w:t>
      </w:r>
    </w:p>
    <w:p xmlns:wp14="http://schemas.microsoft.com/office/word/2010/wordml" w14:paraId="41C8F396" wp14:textId="77777777">
      <w:pPr>
        <w:pBdr>
          <w:bottom w:val="single" w:color="E0E0E0" w:sz="4" w:space="1"/>
        </w:pBdr>
        <w:spacing w:before="200" w:after="200"/>
      </w:pPr>
    </w:p>
    <w:p xmlns:wp14="http://schemas.microsoft.com/office/word/2010/wordml" w14:paraId="712F4B9A" wp14:textId="77777777">
      <w:pPr>
        <w:pStyle w:val="Heading1"/>
        <w:spacing w:before="360" w:after="160"/>
      </w:pPr>
      <w:r>
        <w:rPr>
          <w:rFonts w:ascii="Arial" w:hAnsi="Arial" w:eastAsia="Arial" w:cs="Arial"/>
          <w:b/>
          <w:bCs/>
          <w:color w:val="1E2B4D"/>
          <w:sz w:val="28"/>
          <w:szCs w:val="28"/>
        </w:rPr>
        <w:t xml:space="preserve">6. Housing Market Fundamentals</w:t>
      </w:r>
    </w:p>
    <w:p xmlns:wp14="http://schemas.microsoft.com/office/word/2010/wordml" w14:paraId="3BC861D6" wp14:textId="77777777">
      <w:pPr>
        <w:spacing w:after="120" w:line="276" w:lineRule="auto"/>
      </w:pP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The residential market in the Elizabethtown-Louisville corridor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demonstrates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healthy demand fundamentals with moderate price appreciation, active absorption, and a renter-heavy demographic profile that directly supports build-to-rent investment.</w:t>
      </w:r>
    </w:p>
    <w:p xmlns:wp14="http://schemas.microsoft.com/office/word/2010/wordml" w14:paraId="247BCE77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For-Sale Market Snapshot (November 2025)</w:t>
      </w:r>
    </w:p>
    <w:tbl>
      <w:tblPr>
        <w:tblW w:w="98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 xmlns:wp14="http://schemas.microsoft.com/office/word/2010/wordml" w14:paraId="670C173D" wp14:textId="77777777"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6F8F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38EC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Louisville Metro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776A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Elizabethtown</w:t>
            </w:r>
          </w:p>
        </w:tc>
      </w:tr>
      <w:tr xmlns:wp14="http://schemas.microsoft.com/office/word/2010/wordml" w14:paraId="16CB1083" wp14:textId="77777777"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CB47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Median Sale Price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4B86D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~$265,000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549D8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~$277,000</w:t>
            </w:r>
          </w:p>
        </w:tc>
      </w:tr>
      <w:tr xmlns:wp14="http://schemas.microsoft.com/office/word/2010/wordml" w14:paraId="721F3B39" wp14:textId="77777777"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97668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Year-over-Year Change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E1C19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+3.9%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21A27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+3.0%</w:t>
            </w:r>
          </w:p>
        </w:tc>
      </w:tr>
      <w:tr xmlns:wp14="http://schemas.microsoft.com/office/word/2010/wordml" w14:paraId="397648DB" wp14:textId="77777777"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CF96B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Days on Market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0C614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~40 days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A39CC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~49 days</w:t>
            </w:r>
          </w:p>
        </w:tc>
      </w:tr>
    </w:tbl>
    <w:p xmlns:wp14="http://schemas.microsoft.com/office/word/2010/wordml" w14:paraId="02EA7222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Rental Market Fundamentals — Elizabethtown</w:t>
      </w:r>
    </w:p>
    <w:tbl>
      <w:tblPr>
        <w:tblW w:w="98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 xmlns:wp14="http://schemas.microsoft.com/office/word/2010/wordml" w14:paraId="71335ED8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4244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715D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 xmlns:wp14="http://schemas.microsoft.com/office/word/2010/wordml" w14:paraId="6EE84AF7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663F8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Average 3-Bedroom Rent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21FA8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~$1,800/month</w:t>
            </w:r>
          </w:p>
        </w:tc>
      </w:tr>
      <w:tr xmlns:wp14="http://schemas.microsoft.com/office/word/2010/wordml" w14:paraId="6EB8F477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3022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3-BR Listing Range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178C7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~$1,350 to $2,300+</w:t>
            </w:r>
          </w:p>
        </w:tc>
      </w:tr>
      <w:tr xmlns:wp14="http://schemas.microsoft.com/office/word/2010/wordml" w14:paraId="2E10E7DB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7A706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Rental Vacancy Rate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7E81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~5.9%</w:t>
            </w:r>
          </w:p>
        </w:tc>
      </w:tr>
      <w:tr xmlns:wp14="http://schemas.microsoft.com/office/word/2010/wordml" w14:paraId="7EA14352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86BBD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Renter/Owner Split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20C78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~50% renter / 50% owner</w:t>
            </w:r>
          </w:p>
        </w:tc>
      </w:tr>
    </w:tbl>
    <w:p xmlns:wp14="http://schemas.microsoft.com/office/word/2010/wordml" w14:paraId="1BF3B8D1" wp14:textId="77777777">
      <w:pPr>
        <w:spacing w:before="60" w:after="120"/>
      </w:pPr>
      <w:r w:rsidRPr="0D8A6E29" w:rsidR="0D8A6E29">
        <w:rPr>
          <w:rFonts w:ascii="Arial" w:hAnsi="Arial" w:eastAsia="Arial" w:cs="Arial"/>
          <w:i w:val="1"/>
          <w:iCs w:val="1"/>
          <w:color w:val="888888"/>
          <w:sz w:val="16"/>
          <w:szCs w:val="16"/>
          <w:lang w:val="en-US"/>
        </w:rPr>
        <w:t xml:space="preserve">Sources: Redfin, </w:t>
      </w:r>
      <w:r w:rsidRPr="0D8A6E29" w:rsidR="0D8A6E29">
        <w:rPr>
          <w:rFonts w:ascii="Arial" w:hAnsi="Arial" w:eastAsia="Arial" w:cs="Arial"/>
          <w:i w:val="1"/>
          <w:iCs w:val="1"/>
          <w:color w:val="888888"/>
          <w:sz w:val="16"/>
          <w:szCs w:val="16"/>
          <w:lang w:val="en-US"/>
        </w:rPr>
        <w:t>RentCafe</w:t>
      </w:r>
      <w:r w:rsidRPr="0D8A6E29" w:rsidR="0D8A6E29">
        <w:rPr>
          <w:rFonts w:ascii="Arial" w:hAnsi="Arial" w:eastAsia="Arial" w:cs="Arial"/>
          <w:i w:val="1"/>
          <w:iCs w:val="1"/>
          <w:color w:val="888888"/>
          <w:sz w:val="16"/>
          <w:szCs w:val="16"/>
          <w:lang w:val="en-US"/>
        </w:rPr>
        <w:t>, Point2, Census-derived housing metrics</w:t>
      </w:r>
    </w:p>
    <w:p xmlns:wp14="http://schemas.microsoft.com/office/word/2010/wordml" w14:paraId="57E3CDED" wp14:textId="77777777">
      <w:pPr>
        <w:spacing w:after="120" w:line="276" w:lineRule="auto"/>
      </w:pP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The single-family rental market in Elizabethtown benefits from steady, real-world tenant demand driven by Fort Knox military households, manufacturing and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logistics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workers, and commuters positioned along the Louisville-central Kentucky corridor. The approximately 50/50 renter-owner split signals strong structural demand for rental product rather than a market dependent on transient or cyclical renter populations.</w:t>
      </w:r>
    </w:p>
    <w:p xmlns:wp14="http://schemas.microsoft.com/office/word/2010/wordml" w14:paraId="72A3D3EC" wp14:textId="77777777">
      <w:pPr>
        <w:pBdr>
          <w:bottom w:val="single" w:color="E0E0E0" w:sz="4" w:space="1"/>
        </w:pBdr>
        <w:spacing w:before="200" w:after="200"/>
      </w:pPr>
    </w:p>
    <w:p xmlns:wp14="http://schemas.microsoft.com/office/word/2010/wordml" w14:paraId="75FC080B" wp14:textId="77777777">
      <w:pPr>
        <w:pStyle w:val="Heading1"/>
        <w:spacing w:before="360" w:after="160"/>
      </w:pPr>
      <w:r>
        <w:rPr>
          <w:rFonts w:ascii="Arial" w:hAnsi="Arial" w:eastAsia="Arial" w:cs="Arial"/>
          <w:b/>
          <w:bCs/>
          <w:color w:val="1E2B4D"/>
          <w:sz w:val="28"/>
          <w:szCs w:val="28"/>
        </w:rPr>
        <w:t xml:space="preserve">7. Why Elizabethtown</w:t>
      </w:r>
    </w:p>
    <w:p xmlns:wp14="http://schemas.microsoft.com/office/word/2010/wordml" w14:paraId="14D06945" wp14:textId="77777777">
      <w:pPr>
        <w:spacing w:after="120" w:line="276" w:lineRule="auto"/>
      </w:pP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Lone Tree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initiated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discussions with Elizabethtown following statewide market research that consistently highlighted the city as a prime location for build-to-rent development. As Kentucky's fastest-growing city for several consecutive years, Elizabethtown has seen significant industrial and manufacturing expansion driven by major employers including Ford and its supplier network.</w:t>
      </w:r>
    </w:p>
    <w:p xmlns:wp14="http://schemas.microsoft.com/office/word/2010/wordml" w14:paraId="0BC02582" wp14:textId="77777777">
      <w:pPr>
        <w:spacing w:after="120" w:line="276" w:lineRule="auto"/>
      </w:pP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Meetings with Mayor Jeff Gregory and Economic Development Director Terry Ship confirmed an urgent need for workforce housing due to existing shortages and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anticipated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job growth. Representatives from Fort Knox further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validated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strong demand for family-oriented rental housing near the installation.</w:t>
      </w:r>
    </w:p>
    <w:p xmlns:wp14="http://schemas.microsoft.com/office/word/2010/wordml" w14:paraId="3FB68F1A" wp14:textId="77777777">
      <w:pPr>
        <w:spacing w:after="120" w:line="276" w:lineRule="auto"/>
      </w:pP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The city's planning staff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demonstrated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forward-thinking leadership by overhauling zoning codes to support master-planned communities. Lone Tree was invited to 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>submit</w:t>
      </w:r>
      <w:r w:rsidRPr="0D8A6E29" w:rsidR="0D8A6E29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the Oak Hills project under the new Planned Development District (PDD) ordinance as a pilot application, which received approval.</w:t>
      </w:r>
    </w:p>
    <w:p xmlns:wp14="http://schemas.microsoft.com/office/word/2010/wordml" w14:paraId="387CCE56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Key Milestone Dates</w:t>
      </w:r>
    </w:p>
    <w:tbl>
      <w:tblPr>
        <w:tblW w:w="98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 xmlns:wp14="http://schemas.microsoft.com/office/word/2010/wordml" w14:paraId="32598C8F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21DF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072F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 xmlns:wp14="http://schemas.microsoft.com/office/word/2010/wordml" w14:paraId="710832B3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A12C3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Land Purchase Close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BCE09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August 23, 2024</w:t>
            </w:r>
          </w:p>
        </w:tc>
      </w:tr>
      <w:tr xmlns:wp14="http://schemas.microsoft.com/office/word/2010/wordml" w14:paraId="4D2479BB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E623B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PUD/Master Plan Approval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76E9A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November 5, 2025</w:t>
            </w:r>
          </w:p>
        </w:tc>
      </w:tr>
      <w:tr xmlns:wp14="http://schemas.microsoft.com/office/word/2010/wordml" w14:paraId="10157705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0AFC5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Preliminary Plat Approval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52116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December 9, 2025</w:t>
            </w:r>
          </w:p>
        </w:tc>
      </w:tr>
      <w:tr xmlns:wp14="http://schemas.microsoft.com/office/word/2010/wordml" w14:paraId="6B525B87" wp14:textId="77777777"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5B4AC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128-Unit Plat Amendment (projected)</w:t>
            </w:r>
          </w:p>
        </w:tc>
        <w:tc>
          <w:tcPr>
            <w:tcW w:w="49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6FDB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Mid-April 2026</w:t>
            </w:r>
          </w:p>
        </w:tc>
      </w:tr>
    </w:tbl>
    <w:p xmlns:wp14="http://schemas.microsoft.com/office/word/2010/wordml" w14:paraId="136838C5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Project Team &amp; Contacts</w:t>
      </w:r>
    </w:p>
    <w:tbl>
      <w:tblPr>
        <w:tblW w:w="98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 xmlns:wp14="http://schemas.microsoft.com/office/word/2010/wordml" w14:paraId="6891EA87" wp14:textId="77777777"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0568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7F2B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Organization / Name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2B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0073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 xmlns:wp14="http://schemas.microsoft.com/office/word/2010/wordml" w14:paraId="30D570FC" wp14:textId="77777777"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7E61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Engineering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2DA06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Heritage Engineering — Gregg Bennett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DBE46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gbennett@heritageeng.com</w:t>
            </w:r>
          </w:p>
        </w:tc>
      </w:tr>
      <w:tr xmlns:wp14="http://schemas.microsoft.com/office/word/2010/wordml" w14:paraId="3A7B6A4B" wp14:textId="77777777"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2ADA9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Real Estate / Land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1B31D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National Land Realty — Thad Lucas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D0D8A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thad@landmarkengineering.net</w:t>
            </w:r>
          </w:p>
        </w:tc>
      </w:tr>
      <w:tr xmlns:wp14="http://schemas.microsoft.com/office/word/2010/wordml" w14:paraId="49E6B8BA" wp14:textId="77777777"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5F7A9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City Planning Director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CDC3A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City of Elizabethtown — Joe Reverman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BF727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Joe.reverman@elizabethtownky.gov</w:t>
            </w:r>
          </w:p>
        </w:tc>
      </w:tr>
      <w:tr xmlns:wp14="http://schemas.microsoft.com/office/word/2010/wordml" w14:paraId="7517BE68" wp14:textId="77777777"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7515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City Planner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CB055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City of Elizabethtown — Aaron Hawkins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10B9E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Aaron.hawkins@elizabethtownky.gov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00" w:bottom="1200" w:left="12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0D8A6E29" w14:paraId="2D44A09A" wp14:textId="77777777">
    <w:pPr>
      <w:jc w:val="center"/>
      <w:rPr>
        <w:lang w:val="en-US"/>
      </w:rPr>
    </w:pPr>
    <w:r w:rsidRPr="0D8A6E29" w:rsidR="0D8A6E29">
      <w:rPr>
        <w:rFonts w:ascii="Arial" w:hAnsi="Arial" w:eastAsia="Arial" w:cs="Arial"/>
        <w:color w:val="888888"/>
        <w:sz w:val="16"/>
        <w:szCs w:val="16"/>
        <w:lang w:val="en-US"/>
      </w:rPr>
      <w:t xml:space="preserve">Lone Tree </w:t>
    </w:r>
    <w:r w:rsidRPr="0D8A6E29" w:rsidR="0D8A6E29">
      <w:rPr>
        <w:rFonts w:ascii="Arial" w:hAnsi="Arial" w:eastAsia="Arial" w:cs="Arial"/>
        <w:color w:val="888888"/>
        <w:sz w:val="16"/>
        <w:szCs w:val="16"/>
        <w:lang w:val="en-US"/>
      </w:rPr>
      <w:t>Companies  |</w:t>
    </w:r>
    <w:r w:rsidRPr="0D8A6E29" w:rsidR="0D8A6E29">
      <w:rPr>
        <w:rFonts w:ascii="Arial" w:hAnsi="Arial" w:eastAsia="Arial" w:cs="Arial"/>
        <w:color w:val="888888"/>
        <w:sz w:val="16"/>
        <w:szCs w:val="16"/>
        <w:lang w:val="en-US"/>
      </w:rPr>
      <w:t xml:space="preserve">  Page </w:t>
    </w:r>
    <w:r w:rsidRPr="0D8A6E29">
      <w:rPr>
        <w:rFonts w:ascii="Arial" w:hAnsi="Arial" w:eastAsia="Arial" w:cs="Arial"/>
        <w:color w:val="888888"/>
        <w:sz w:val="16"/>
        <w:szCs w:val="16"/>
        <w:lang w:val="en-US"/>
      </w:rPr>
      <w:fldChar w:fldCharType="begin"/>
    </w:r>
    <w:r w:rsidRPr="0D8A6E29"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 w:rsidRPr="0D8A6E29">
      <w:rPr>
        <w:rFonts w:ascii="Arial" w:hAnsi="Arial" w:eastAsia="Arial" w:cs="Arial"/>
        <w:color w:val="888888"/>
        <w:sz w:val="16"/>
        <w:szCs w:val="16"/>
      </w:rPr>
      <w:fldChar w:fldCharType="separate"/>
    </w:r>
    <w:r w:rsidRPr="0D8A6E29">
      <w:rPr>
        <w:rFonts w:ascii="Arial" w:hAnsi="Arial" w:eastAsia="Arial" w:cs="Arial"/>
        <w:color w:val="888888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0D8A6E29" w14:paraId="63A60ED3" wp14:textId="77777777">
    <w:pPr>
      <w:pBdr>
        <w:bottom w:val="single" w:color="1E2B4D" w:sz="4" w:space="6"/>
      </w:pBdr>
      <w:tabs>
        <w:tab w:val="right" w:pos="9026"/>
      </w:tabs>
      <w:spacing w:after="0"/>
      <w:jc w:val="left"/>
    </w:pPr>
    <w:r w:rsidRPr="0D8A6E29" w:rsidR="0D8A6E29">
      <w:rPr>
        <w:rFonts w:ascii="Arial" w:hAnsi="Arial" w:eastAsia="Arial" w:cs="Arial"/>
        <w:b w:val="1"/>
        <w:bCs w:val="1"/>
        <w:color w:val="1E2B4D"/>
        <w:sz w:val="18"/>
        <w:szCs w:val="18"/>
        <w:lang w:val="en-US"/>
      </w:rPr>
      <w:t xml:space="preserve">OAK </w:t>
    </w:r>
    <w:r w:rsidRPr="0D8A6E29" w:rsidR="0D8A6E29">
      <w:rPr>
        <w:rFonts w:ascii="Arial" w:hAnsi="Arial" w:eastAsia="Arial" w:cs="Arial"/>
        <w:b w:val="1"/>
        <w:bCs w:val="1"/>
        <w:color w:val="1E2B4D"/>
        <w:sz w:val="18"/>
        <w:szCs w:val="18"/>
        <w:lang w:val="en-US"/>
      </w:rPr>
      <w:t xml:space="preserve">HILLS  </w:t>
    </w:r>
    <w:r w:rsidRPr="0D8A6E29" w:rsidR="0D8A6E29">
      <w:rPr>
        <w:rFonts w:ascii="Arial" w:hAnsi="Arial" w:eastAsia="Arial" w:cs="Arial"/>
        <w:color w:val="888888"/>
        <w:sz w:val="18"/>
        <w:szCs w:val="18"/>
        <w:lang w:val="en-US"/>
      </w:rPr>
      <w:t>|</w:t>
    </w:r>
    <w:r w:rsidRPr="0D8A6E29" w:rsidR="0D8A6E29">
      <w:rPr>
        <w:rFonts w:ascii="Arial" w:hAnsi="Arial" w:eastAsia="Arial" w:cs="Arial"/>
        <w:color w:val="888888"/>
        <w:sz w:val="18"/>
        <w:szCs w:val="18"/>
        <w:lang w:val="en-US"/>
      </w:rPr>
      <w:t xml:space="preserve">  Metro &amp; Market Analysis</w:t>
    </w:r>
    <w:r w:rsidRPr="0D8A6E29" w:rsidR="0D8A6E29">
      <w:rPr>
        <w:rFonts w:ascii="Arial" w:hAnsi="Arial" w:eastAsia="Arial" w:cs="Arial"/>
        <w:color w:val="888888"/>
        <w:sz w:val="16"/>
        <w:szCs w:val="16"/>
        <w:lang w:val="en-US"/>
      </w:rPr>
      <w:t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873a53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088F1A6C"/>
  <w15:docId w15:val="{21352B9B-0B7A-4FF1-B520-DCBA7C8794B9}"/>
  <w:rsids>
    <w:rsidRoot w:val="0D8A6E29"/>
    <w:rsid w:val="0D8A6E2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60"/>
      <w:outlineLvl w:val="0"/>
    </w:pPr>
    <w:rPr>
      <w:rFonts w:ascii="Arial" w:hAnsi="Arial" w:eastAsia="Arial" w:cs="Arial"/>
      <w:b/>
      <w:bCs/>
      <w:color w:val="1E2B4D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Lane Aldrich</lastModifiedBy>
  <revision>2</revision>
  <dcterms:created xsi:type="dcterms:W3CDTF">2026-02-27T06:54:30.3010000Z</dcterms:created>
  <dcterms:modified xsi:type="dcterms:W3CDTF">2026-02-28T00:13:53.0860468Z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