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 RunTime是介于底层部署与DataSteamApi或DataSetApi之间的一层，以JobGraph形式接收程序,将任务task提交到集群上执行，RunTime层可以适用不同底层部署模式。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2680" cy="2917825"/>
            <wp:effectExtent l="0" t="0" r="1270" b="1587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solt分配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677670"/>
            <wp:effectExtent l="0" t="0" r="10795" b="17780"/>
            <wp:docPr id="4" name="图片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那么slot是如何保存和分配的呢？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1.在Tm启动时，tm会将自己所拥有的slot用心跳的方式汇报给jm中的Resourcemanager组件，由SlotManager进行管理。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2.当有任务提交过来到Jm后JobManager会向ResourceManager request slot，这时候ResourceManager就会分配一个Slot并向对应的Tm发送消息说，你拥有的这个slot我要分配给别人了。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3.Tm收到请求后，会回复消息给Jm说，我的这个slot分配给你了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4.Jm收到消息后，会将这个slot先缓存到slotPool中。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5.JM会将task 提交到对应的Slot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6.当task执行结束，tm会告诉resourcemanager任务结束了，这个slot被释放掉了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7.resourcemanager会更新slot状态为free，可以供后续任务申请。（tm会定时发送slot的状态过来，避免free丢失导致的slot丢失）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Flink作业提交有2种方式，一种是PerJob模式，一种是Session模式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PerJob模式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（1）TM和AM没有提前启动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独享Dispatcher和ResourceManager组件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按需申请资源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适合执行时间长，规模较大的任务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（2）TM 和 AM是提前启动的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 Dispatcher和ResourceManager组件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资源是共享的，可以跑多个任务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适用于规模小，执行时间短的任务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以On-Yarn为例，描述一下任务的提交过程。主流程看下图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22830"/>
            <wp:effectExtent l="0" t="0" r="10160" b="1270"/>
            <wp:docPr id="5" name="图片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PerJob模式提交任务流程：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（1）Client向yarn的Resourcemanager提交一个任务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（2）Resourcemanager接收到请求，启动AppMaster进程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（3）Client提交JobGraph给Jm中的DisPatcher组件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（4）DisPatcher将JobGraph给JobManger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（5）JobManager向ResourceManager申请slot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（6）ResourceManager向yarn申请container启动tm进程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（7）tm进程汇报slot给ResourceManager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（8）ResourceManager告诉tm分配了哪个slot给任务了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（9）tm向Jm回复自己个一个slot属于你这个任务了，jm会将slot缓存到slotpool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（10）jm提交task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（11）task执行结束，tm告诉resourcemanager slot释放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Session模式提交任务流程：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session模式因为jm和tm是提前启动的，上述步骤的 1，2，6，7 没有，其他是一样的。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Flink作业有2中调度策略：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Eager调度 适用与流作业，一次性调度所有作业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Lazy_FROM_SOURCE 适用于批作业，上游作业完成后，调度下游作业，资源会比较省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4625" cy="2651760"/>
            <wp:effectExtent l="0" t="0" r="3175" b="15240"/>
            <wp:docPr id="7" name="图片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4.错误恢复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Flink任务的错误有2大类，一种是tm执行失败（逻辑错误，tm挂了等），一种是Jm失败即Master失败，接下来看下这两种失败各自恢复的机制。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Task Failover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（1）Restart All 重启所有Task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（2）Restart-individual 只重启单个出错的Task，这种方式适用有限，适用与task间无连接的情况。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（3）Restart Region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Blocking数据落盘，可以直接读取，逻辑上仅重启通过pipeline边关联的Task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（Blocking依赖是结果存储在磁盘或其他，可以重新读取。pipeline依赖一般是只数据走网络的情况）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下图中B1执行完落盘,即blocking边。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A1-&gt;B1,A2-B2到B1即Pipeline边。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478145"/>
            <wp:effectExtent l="0" t="0" r="7620" b="8255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4.2Master Failover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如果Master开启了Ha，会通过zk进行选主，备用节点会转为主节点。目前master failover会将全图重启。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0A478"/>
    <w:multiLevelType w:val="singleLevel"/>
    <w:tmpl w:val="B6B0A4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138D7AD5"/>
    <w:rsid w:val="16C672DC"/>
    <w:rsid w:val="18953624"/>
    <w:rsid w:val="19CC109F"/>
    <w:rsid w:val="19D078E7"/>
    <w:rsid w:val="1B2862B3"/>
    <w:rsid w:val="1C240F8A"/>
    <w:rsid w:val="1E653F10"/>
    <w:rsid w:val="253B38B4"/>
    <w:rsid w:val="257664B9"/>
    <w:rsid w:val="263555A5"/>
    <w:rsid w:val="276905DF"/>
    <w:rsid w:val="28C04F02"/>
    <w:rsid w:val="2D5E7C94"/>
    <w:rsid w:val="2E527B76"/>
    <w:rsid w:val="311B06D7"/>
    <w:rsid w:val="3C255F0A"/>
    <w:rsid w:val="3CFD0E13"/>
    <w:rsid w:val="3EE31CEE"/>
    <w:rsid w:val="40633F78"/>
    <w:rsid w:val="46097283"/>
    <w:rsid w:val="488506B7"/>
    <w:rsid w:val="4D83064F"/>
    <w:rsid w:val="4E4A74D7"/>
    <w:rsid w:val="4E4B04C6"/>
    <w:rsid w:val="4E8C3B2A"/>
    <w:rsid w:val="501F34D0"/>
    <w:rsid w:val="52DA60AB"/>
    <w:rsid w:val="545D59C8"/>
    <w:rsid w:val="55BE3B74"/>
    <w:rsid w:val="58AE60CF"/>
    <w:rsid w:val="58DF2C59"/>
    <w:rsid w:val="5B4478F0"/>
    <w:rsid w:val="5B59189A"/>
    <w:rsid w:val="5D5D794C"/>
    <w:rsid w:val="5D787428"/>
    <w:rsid w:val="5F8736A2"/>
    <w:rsid w:val="656E52D6"/>
    <w:rsid w:val="66972FE5"/>
    <w:rsid w:val="68D82E65"/>
    <w:rsid w:val="69A52C29"/>
    <w:rsid w:val="6CB26004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2020-03-23T13:11:06Z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