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Arial" w:hAnsi="Arial"/>
          <w:b/>
          <w:color w:val="1A365D"/>
          <w:sz w:val="48"/>
        </w:rPr>
        <w:t>Global Index</w:t>
      </w:r>
    </w:p>
    <w:p>
      <w:pPr>
        <w:spacing w:before="360" w:after="160"/>
      </w:pPr>
      <w:r>
        <w:rPr>
          <w:rFonts w:ascii="Arial" w:hAnsi="Arial"/>
          <w:b/>
          <w:color w:val="1A365D"/>
          <w:sz w:val="36"/>
        </w:rPr>
        <w:t>📚 Global Documentation Index</w:t>
      </w:r>
    </w:p>
    <w:p>
      <w:pPr>
        <w:spacing w:after="120"/>
      </w:pPr>
    </w:p>
    <w:p>
      <w:pPr>
        <w:spacing w:after="120"/>
      </w:pPr>
      <w:r>
        <w:rPr>
          <w:rFonts w:ascii="Arial" w:hAnsi="Arial"/>
          <w:sz w:val="20"/>
        </w:rPr>
        <w:t>Complete index of the Project Antigravity manual set.</w:t>
      </w:r>
    </w:p>
    <w:p>
      <w:pPr>
        <w:spacing w:after="120"/>
      </w:pPr>
    </w:p>
    <w:p>
      <w:pPr>
        <w:pStyle w:val="ListBullet"/>
        <w:spacing w:after="80"/>
      </w:pPr>
      <w:r>
        <w:rPr>
          <w:rFonts w:ascii="Arial" w:hAnsi="Arial"/>
          <w:sz w:val="20"/>
        </w:rPr>
        <w:t>**[Installation Guide](file:///docs/Installation_Guide.pdf)**: WSL setup manual.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**[Backup Procedure](file:///docs/Backup_Procedure.pdf)**: Snapshots guide.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**[Disaster Recovery](file:///docs/disaster_recovery_plan.pdf)**: Failover steps.</w:t>
      </w:r>
    </w:p>
    <w:p>
      <w:pPr>
        <w:pStyle w:val="ListBullet"/>
        <w:spacing w:after="80"/>
      </w:pPr>
      <w:r>
        <w:rPr>
          <w:rFonts w:ascii="Arial" w:hAnsi="Arial"/>
          <w:sz w:val="20"/>
        </w:rPr>
        <w:t>**[Uninstall Guide](file:///docs/Uninstall_Guide.pdf)**: De-provisioning steps.</w:t>
      </w:r>
    </w:p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