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80"/>
        <w:jc w:val="center"/>
      </w:pPr>
      <w:r>
        <w:rPr>
          <w:rFonts w:ascii="Arial" w:hAnsi="Arial"/>
          <w:b/>
          <w:color w:val="1A365D"/>
          <w:sz w:val="48"/>
        </w:rPr>
        <w:t>Description</w:t>
      </w:r>
    </w:p>
    <w:p>
      <w:pPr>
        <w:spacing w:before="360" w:after="160"/>
      </w:pPr>
      <w:r>
        <w:rPr>
          <w:rFonts w:ascii="Arial" w:hAnsi="Arial"/>
          <w:b/>
          <w:color w:val="1A365D"/>
          <w:sz w:val="36"/>
        </w:rPr>
        <w:t>Project Description: Antigravity DEVOP1</w:t>
      </w:r>
    </w:p>
    <w:p>
      <w:pPr>
        <w:spacing w:after="120"/>
      </w:pPr>
    </w:p>
    <w:p>
      <w:pPr>
        <w:spacing w:after="120"/>
      </w:pPr>
      <w:r>
        <w:rPr>
          <w:rFonts w:ascii="Arial" w:hAnsi="Arial"/>
          <w:sz w:val="20"/>
        </w:rPr>
        <w:t>This project represents the Proof of Concept (PoC) for an automated, high-availability financial tracking DevOps pipeline named **Project Antigravity (DEVOP1)**.</w:t>
      </w:r>
    </w:p>
    <w:p>
      <w:pPr>
        <w:spacing w:after="120"/>
      </w:pPr>
    </w:p>
    <w:p>
      <w:pPr>
        <w:spacing w:before="280" w:after="120"/>
      </w:pPr>
      <w:r>
        <w:rPr>
          <w:rFonts w:ascii="Arial" w:hAnsi="Arial"/>
          <w:b/>
          <w:color w:val="2B6CB0"/>
          <w:sz w:val="28"/>
        </w:rPr>
        <w:t>Core System Goals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**Telemetry Ingestion**: Scrapes and stores hourly commodity rates (XAU Gold) from financial services APIs.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**Orchestration**: Operates a containerized multi-service stack (MySQL, Airflow, Zabbix Server, Flask, Jenkins).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**Mixed VM Deployments**: Provides cross-platform deployment matrices (WSL, Hyper-V, VirtualBox).</w:t>
      </w:r>
    </w:p>
    <w:p>
      <w:pPr>
        <w:spacing w:after="120"/>
      </w:pP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